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group-79aec264a8d4ad79bda1</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Urban cooperation for sustainable development in Europe: a co-designed methodology to foster multi-level governance — https://doi.org/10.1108/ijpsm-12-2025-0662</w:t>
      </w:r>
    </w:p>
    <w:p>
      <w:pPr/>
      <w:r>
        <w:rPr>
          <w:b/>
        </w:rPr>
        <w:t>Later source:</w:t>
      </w:r>
      <w:r>
        <w:t xml:space="preserve"> Methodologies for the design of positive energy districts: A scoping literature review and a proposal for a new approach (PlanPED) — https://doi.org/10.1016/j.buildenv.2024.111667</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group-00bdbb0525623c3e5583</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Current and projected regional economic impacts of heatwaves in Europe — https://doi.org/10.1038/s41467-021-26050-z</w:t>
      </w:r>
    </w:p>
    <w:p>
      <w:pPr/>
      <w:r>
        <w:rPr>
          <w:b/>
        </w:rPr>
        <w:t>Later source:</w:t>
      </w:r>
      <w:r>
        <w:t xml:space="preserve"> Economic Burden of Physical Inactivity in Europe — https://doi.org/10.71125/sporteconres.25</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group-a34173503b6e149e8c84</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Accelerating Light-Duty Fleet Decarbonisation through Energy Efficiency Audits: Results and Methodology Assessment — https://doi.org/10.1051/e3sconf/202448702001</w:t>
      </w:r>
    </w:p>
    <w:p>
      <w:pPr/>
      <w:r>
        <w:rPr>
          <w:b/>
        </w:rPr>
        <w:t>Later source:</w:t>
      </w:r>
      <w:r>
        <w:t xml:space="preserve"> EU Railways: Contribution to Decarbonisation Solution — https://doi.org/10.31857/s0201708324020062</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group-39996fa62cb29087104d</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Research Infrastructures and the Open Science Roadmap: European and Italian Strategies and Policies — https://doi.org/10.1007/978-3-032-29575-0_2</w:t>
      </w:r>
    </w:p>
    <w:p>
      <w:pPr/>
      <w:r>
        <w:rPr>
          <w:b/>
        </w:rPr>
        <w:t>Later source:</w:t>
      </w:r>
      <w:r>
        <w:t xml:space="preserve"> Diamond OA Policy Forum Europe: Strategies for Funding Diamond OA in Europe — https://doi.org/10.5281/zenodo.23301450</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group-61e1d32ccdd0284c18e7</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Projections of streamflow intermittence under climate change in European drying river networks — https://doi.org/10.5194/hess-29-1615-2025</w:t>
      </w:r>
    </w:p>
    <w:p>
      <w:pPr/>
      <w:r>
        <w:rPr>
          <w:b/>
        </w:rPr>
        <w:t>Later source:</w:t>
      </w:r>
      <w:r>
        <w:t xml:space="preserve"> The Accelerating Exposure of European Protected Areas to Climate Change — https://doi.org/10.1111/gcb.70261</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group-b1d659edae3729afb891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Population exposure to multiple air pollutants and its compound episodes in Europe — https://doi.org/10.1038/s41467-024-46103-3</w:t>
      </w:r>
    </w:p>
    <w:p>
      <w:pPr/>
      <w:r>
        <w:rPr>
          <w:b/>
        </w:rPr>
        <w:t>Later source:</w:t>
      </w:r>
      <w:r>
        <w:t xml:space="preserve"> Population Genetics and Invasion History of the European Starling Across Aotearoa New Zealand — https://doi.org/10.1111/mec.17579</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group-7950399ceee1d2c18f86</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Background report of ex-ante LCAs for CBE JU application IRIS — https://openalex.org/W7112006283</w:t>
      </w:r>
    </w:p>
    <w:p>
      <w:pPr/>
      <w:r>
        <w:rPr>
          <w:b/>
        </w:rPr>
        <w:t>Later source:</w:t>
      </w:r>
      <w:r>
        <w:t xml:space="preserve"> Prospective Environmental Assessment of Citric Acid Production: An Integrated Framework of Ex-Ante LCA and Technological Learning — https://doi.org/10.3390/su18062848</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group-1a9c2294252da9a32554</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Format of emergency department electronic health records in Europe. The European initiative and the eCREAM proposal — https://doi.org/10.3389/femer.2025.1558208</w:t>
      </w:r>
    </w:p>
    <w:p>
      <w:pPr/>
      <w:r>
        <w:rPr>
          <w:b/>
        </w:rPr>
        <w:t>Later source:</w:t>
      </w:r>
      <w:r>
        <w:t xml:space="preserve"> Strategic partner election: proposal for a Binary Logistic Model for the European Union — https://doi.org/10.1057/s41599-023-02121-y</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group-5d19683ac9ca8ee44978</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Collaborative effort between fishers and scientists reveals first-time evidence of the smalltooth sandtiger shark (Odontaspis ferox) in Puerto Rico — https://doi.org/10.1017/s0025315425100246</w:t>
      </w:r>
    </w:p>
    <w:p>
      <w:pPr/>
      <w:r>
        <w:rPr>
          <w:b/>
        </w:rPr>
        <w:t>Later source:</w:t>
      </w:r>
      <w:r>
        <w:t xml:space="preserve"> Bioassay tests reveal for the first time pyrethroid resistance in — https://doi.org/10.1051/parasite/2025036/pdf</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group-aaf9d33ed27074479fb6</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Air pollution and greenspace exposure disparities revealed by hyperlocal exposure metrics across European cities — https://doi.org/10.1038/s44458-026-00046-6</w:t>
      </w:r>
    </w:p>
    <w:p>
      <w:pPr/>
      <w:r>
        <w:rPr>
          <w:b/>
        </w:rPr>
        <w:t>Later source:</w:t>
      </w:r>
      <w:r>
        <w:t xml:space="preserve"> Air pollution hotspots in the European Union: A city-level risk assessment — https://doi.org/10.18686/cest622</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group-ff4fc662ebe00e0f0377</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CLIMATE CHANGE AND GLOBAL POLITICS IN CONTEMPORARY AGE — https://doi.org/10.56815/ijmrr.v5i7.2026.395-411</w:t>
      </w:r>
    </w:p>
    <w:p>
      <w:pPr/>
      <w:r>
        <w:rPr>
          <w:b/>
        </w:rPr>
        <w:t>Later source:</w:t>
      </w:r>
      <w:r>
        <w:t xml:space="preserve"> Bodily Autonomy and Identity Politics: Feminist Approaches in the Era of Global Political Changes : Editors’ Note — https://openalex.org/W7125467776</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group-a42d401c203e1ace5b24</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The impacts of virtual try-on for online shopping on consumer purchase intention: the moderating role of technology experience — https://doi.org/10.1080/23311975.2025.2500774</w:t>
      </w:r>
    </w:p>
    <w:p>
      <w:pPr/>
      <w:r>
        <w:rPr>
          <w:b/>
        </w:rPr>
        <w:t>Later source:</w:t>
      </w:r>
      <w:r>
        <w:t xml:space="preserve"> Significance of Anatomical Constraints in Virtual Try-On — https://doi.org/10.1109/tetci.2024.3353080</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group-cba14afbde76a7027f5d</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The Current Landscape of Ophthalmology Training in Europe — https://doi.org/10.7759/cureus.103487</w:t>
      </w:r>
    </w:p>
    <w:p>
      <w:pPr/>
      <w:r>
        <w:rPr>
          <w:b/>
        </w:rPr>
        <w:t>Later source:</w:t>
      </w:r>
      <w:r>
        <w:t xml:space="preserve"> A Focus Group Study on Participatory Practices in Early Childhood Education and Care Across Four European Countries — https://doi.org/10.1080/10409289.2024.2360868</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group-a073486a1da6c33f2caa</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From Reaction to Foresight: EUPHA’s vision for health security in Europe — https://doi.org/10.1093/eurpub/ckaf071</w:t>
      </w:r>
    </w:p>
    <w:p>
      <w:pPr/>
      <w:r>
        <w:rPr>
          <w:b/>
        </w:rPr>
        <w:t>Later source:</w:t>
      </w:r>
      <w:r>
        <w:t xml:space="preserve"> Foresight in heritage: fostering future consciousness to proactively face change — https://doi.org/10.1108/jchmsd-12-2024-0298</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group-101a6d10e92bcf32e043</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Social workers in schools: A feasibility study of three local authorities — https://doi.org/10.1177/14680173241258927</w:t>
      </w:r>
    </w:p>
    <w:p>
      <w:pPr/>
      <w:r>
        <w:rPr>
          <w:b/>
        </w:rPr>
        <w:t>Later source:</w:t>
      </w:r>
      <w:r>
        <w:t xml:space="preserve"> A Gender-Informed Smoking Cessation App for Women: Protocol for an Acceptability and Feasibility Study — https://doi.org/10.2196/60677</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group-1c21a371edf3df4d6990</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European Language Grid: An Overview — https://doi.org/10.48550/arxiv.2003.13551</w:t>
      </w:r>
    </w:p>
    <w:p>
      <w:pPr/>
      <w:r>
        <w:rPr>
          <w:b/>
        </w:rPr>
        <w:t>Later source:</w:t>
      </w:r>
      <w:r>
        <w:t xml:space="preserve"> A graphical analysis of the intellectual structure of The Australian Journal of Indigenous Education — https://doi.org/10.55146/ajie.v54i2.2031</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group-5f45351bdea666869ce5</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Kickstarting CCS Adoption: Tailoring Subsidies to Emitters' Needs — https://openalex.org/W4400372560</w:t>
      </w:r>
    </w:p>
    <w:p>
      <w:pPr/>
      <w:r>
        <w:rPr>
          <w:b/>
        </w:rPr>
        <w:t>Later source:</w:t>
      </w:r>
      <w:r>
        <w:t xml:space="preserve"> Cost estimation of CCS integration into thermal power plants in Japan — https://doi.org/10.1299/mej.22-00028</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group-6acaff679b652e52016b</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Fleet renewal and retrofit for emission reductions in offshore logistics — https://doi.org/10.1016/j.martra.2026.100150</w:t>
      </w:r>
    </w:p>
    <w:p>
      <w:pPr/>
      <w:r>
        <w:rPr>
          <w:b/>
        </w:rPr>
        <w:t>Later source:</w:t>
      </w:r>
      <w:r>
        <w:t xml:space="preserve"> Nuclear Data Uncertainty Analysis to Meet the Target Accuracy Requirements on the MYRRHAkeff — https://doi.org/10.1051/epjconf/202328408012</w:t>
      </w:r>
    </w:p>
    <w:p>
      <w:pPr>
        <w:pStyle w:val="SourceNote"/>
      </w:pPr>
      <w:r>
        <w:rPr>
          <w:b/>
        </w:rPr>
        <w:t>Review status:</w:t>
      </w:r>
      <w:r>
        <w:t xml:space="preserve"> unchecked — possible relationship only</w:t>
      </w:r>
    </w:p>
    <w:p>
      <w:pPr>
        <w:pStyle w:val="Heading2"/>
      </w:pPr>
      <w:r>
        <w:t>20. Claim + two later sources: Scenario Forecasting of Agriculture Institutional Transformation on Sustainable Development Base</w:t>
      </w:r>
    </w:p>
    <w:p>
      <w:pPr>
        <w:pStyle w:val="SourceNote"/>
      </w:pPr>
      <w:r>
        <w:rPr>
          <w:b/>
        </w:rPr>
        <w:t>Group ID:</w:t>
      </w:r>
      <w:r>
        <w:t xml:space="preserve"> group-13c25b67ed41d8512348</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Agricultural Development and Industrialisation in South Korea: A Three-level Analysis of Productivity, Inter-sectoral Linkages, and GHGs Emissions — https://doi.org/10.25501/soas.01025535</w:t>
      </w:r>
    </w:p>
    <w:p>
      <w:pPr/>
      <w:r>
        <w:rPr>
          <w:b/>
        </w:rPr>
        <w:t>Later source:</w:t>
      </w:r>
      <w:r>
        <w:t xml:space="preserve"> Nexus between stock market and agricultural sector development in Nigeria and South Africa: Accounting for three-regime marginal-threshold effects — https://doi.org/10.1016/j.sciaf.2025.e02575</w:t>
      </w:r>
    </w:p>
    <w:p>
      <w:pPr>
        <w:pStyle w:val="SourceNote"/>
      </w:pPr>
      <w:r>
        <w:rPr>
          <w:b/>
        </w:rPr>
        <w:t>Review status:</w:t>
      </w:r>
      <w:r>
        <w:t xml:space="preserve"> unchecked — possible relationship only</w:t>
      </w:r>
    </w:p>
    <w:p>
      <w:pPr>
        <w:pStyle w:val="Heading2"/>
      </w:pPr>
      <w:r>
        <w:t>21. Claim + two later sources: Reform of experimental structures in animal science in France: From exploratory foresight to operational set-up</w:t>
      </w:r>
    </w:p>
    <w:p>
      <w:pPr>
        <w:pStyle w:val="SourceNote"/>
      </w:pPr>
      <w:r>
        <w:rPr>
          <w:b/>
        </w:rPr>
        <w:t>Group ID:</w:t>
      </w:r>
      <w:r>
        <w:t xml:space="preserve"> group-c79db56034b7d9c4220d</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Eye of Europe Foresight Training Manual — https://openalex.org/W7220785974</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22. Claim + two later sources: First-mover advantages of the European Union's climate change mitigation strategy</w:t>
      </w:r>
    </w:p>
    <w:p>
      <w:pPr>
        <w:pStyle w:val="SourceNote"/>
      </w:pPr>
      <w:r>
        <w:rPr>
          <w:b/>
        </w:rPr>
        <w:t>Group ID:</w:t>
      </w:r>
      <w:r>
        <w:t xml:space="preserve"> group-a52812ae21430934dbed</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Famines in medieval and early modern Europe—Connecting climate and society — https://doi.org/10.1002/wcc.859</w:t>
      </w:r>
    </w:p>
    <w:p>
      <w:pPr/>
      <w:r>
        <w:rPr>
          <w:b/>
        </w:rPr>
        <w:t>Later source:</w:t>
      </w:r>
      <w:r>
        <w:t xml:space="preserve"> Emergent vulnerability to climate-driven disturbances in European forests — https://doi.org/10.1038/s41467-021-21399-7</w:t>
      </w:r>
    </w:p>
    <w:p>
      <w:pPr>
        <w:pStyle w:val="SourceNote"/>
      </w:pPr>
      <w:r>
        <w:rPr>
          <w:b/>
        </w:rPr>
        <w:t>Review status:</w:t>
      </w:r>
      <w:r>
        <w:t xml:space="preserve"> unchecked — possible relationship only</w:t>
      </w:r>
    </w:p>
    <w:p>
      <w:pPr>
        <w:pStyle w:val="Heading2"/>
      </w:pPr>
      <w:r>
        <w:t>23. Claim + two later sources: Decarbonizing Sweden’s energy and transportation system by 2050</w:t>
      </w:r>
    </w:p>
    <w:p>
      <w:pPr>
        <w:pStyle w:val="SourceNote"/>
      </w:pPr>
      <w:r>
        <w:rPr>
          <w:b/>
        </w:rPr>
        <w:t>Group ID:</w:t>
      </w:r>
      <w:r>
        <w:t xml:space="preserve"> group-a111d86bf2caa66d0804</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Decarbonization of European Industry: Modelling and Open Science (DEIMOS) — https://doi.org/10.5445/ir/1000196316</w:t>
      </w:r>
    </w:p>
    <w:p>
      <w:pPr/>
      <w:r>
        <w:rPr>
          <w:b/>
        </w:rPr>
        <w:t>Later source:</w:t>
      </w:r>
      <w:r>
        <w:t xml:space="preserve"> Decarbonization, Dematerialization, and Economic Gains in Circular Economy for Construction and Demolition Waste Management in Europe — https://doi.org/10.1021/acs.est.6c02401</w:t>
      </w:r>
    </w:p>
    <w:p>
      <w:pPr>
        <w:pStyle w:val="SourceNote"/>
      </w:pPr>
      <w:r>
        <w:rPr>
          <w:b/>
        </w:rPr>
        <w:t>Review status:</w:t>
      </w:r>
      <w:r>
        <w:t xml:space="preserve"> unchecked — possible relationship only</w:t>
      </w:r>
    </w:p>
    <w:p>
      <w:pPr>
        <w:pStyle w:val="Heading2"/>
      </w:pPr>
      <w:r>
        <w:t>24. Claim + two later sources: Boosting the EU forest-based bioeconomy: Market, climate, and employment impacts</w:t>
      </w:r>
    </w:p>
    <w:p>
      <w:pPr>
        <w:pStyle w:val="SourceNote"/>
      </w:pPr>
      <w:r>
        <w:rPr>
          <w:b/>
        </w:rPr>
        <w:t>Group ID:</w:t>
      </w:r>
      <w:r>
        <w:t xml:space="preserve"> group-a3eb909648688e9e359c</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CHANGES IN FRUIT PRODUCTION AND IMPORTS FROM TURKEY TO EUROPEAN UNION COUNTRIES — https://doi.org/10.5604/01.3001.0055.6187</w:t>
      </w:r>
    </w:p>
    <w:p>
      <w:pPr/>
      <w:r>
        <w:rPr>
          <w:b/>
        </w:rPr>
        <w:t>Later source:</w:t>
      </w:r>
      <w:r>
        <w:t xml:space="preserve"> THE IMPORT OF THE NATURAL GAS FROM THE REPUBLIC OF AZERBAIJAN IN THE CONTEXT OF THE ENERGY POLICY OF THE EUROPEAN UNION — https://doi.org/10.48137/26870703_2026_35_3_61</w:t>
      </w:r>
    </w:p>
    <w:p>
      <w:pPr>
        <w:pStyle w:val="SourceNote"/>
      </w:pPr>
      <w:r>
        <w:rPr>
          <w:b/>
        </w:rPr>
        <w:t>Review status:</w:t>
      </w:r>
      <w:r>
        <w:t xml:space="preserve"> unchecked — possible relationship only</w:t>
      </w:r>
    </w:p>
    <w:p>
      <w:pPr>
        <w:pStyle w:val="Heading2"/>
      </w:pPr>
      <w:r>
        <w:t>25. Claim + two later sources: The Great Future Debate and the Struggle for the World</w:t>
      </w:r>
    </w:p>
    <w:p>
      <w:pPr>
        <w:pStyle w:val="SourceNote"/>
      </w:pPr>
      <w:r>
        <w:rPr>
          <w:b/>
        </w:rPr>
        <w:t>Group ID:</w:t>
      </w:r>
      <w:r>
        <w:t xml:space="preserve"> group-fc4cb92561b6f03cad00</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THE ANTI-THEATER OF FUTURISTS AND DADAISTS AS A REFUTATION OF ARISTOTLE’S CONCEPT OF MIMETIC THEATER — https://doi.org/10.30970/vas.26.2025.206-216</w:t>
      </w:r>
    </w:p>
    <w:p>
      <w:pPr/>
      <w:r>
        <w:rPr>
          <w:b/>
        </w:rPr>
        <w:t>Later source:</w:t>
      </w:r>
      <w:r>
        <w:t xml:space="preserve"> The Digital Divide and Futurist Imaginings of Zelle‐ous Resistors — https://doi.org/10.17645/si.v11i3.6867</w:t>
      </w:r>
    </w:p>
    <w:p>
      <w:pPr>
        <w:pStyle w:val="SourceNote"/>
      </w:pPr>
      <w:r>
        <w:rPr>
          <w:b/>
        </w:rPr>
        <w:t>Review status:</w:t>
      </w:r>
      <w:r>
        <w:t xml:space="preserve"> unchecked — possible relationship only</w:t>
      </w:r>
    </w:p>
    <w:p>
      <w:pPr>
        <w:pStyle w:val="Heading2"/>
      </w:pPr>
      <w:r>
        <w:t>26. Claim + two later sources: Clean Disruption for Abundant Futures - Neo-Carbon Energy Futures Clinique III</w:t>
      </w:r>
    </w:p>
    <w:p>
      <w:pPr>
        <w:pStyle w:val="SourceNote"/>
      </w:pPr>
      <w:r>
        <w:rPr>
          <w:b/>
        </w:rPr>
        <w:t>Group ID:</w:t>
      </w:r>
      <w:r>
        <w:t xml:space="preserve"> group-6ef26a012aaef17c2b88</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DRIVERS OF AGILE TRANSFORMATION IN PREDICTIVE PROJECT MANAGEMENT ENVIRONMENTS — https://doi.org/10.32782/bses.100-20</w:t>
      </w:r>
    </w:p>
    <w:p>
      <w:pPr/>
      <w:r>
        <w:rPr>
          <w:b/>
        </w:rPr>
        <w:t>Later source:</w:t>
      </w:r>
      <w:r>
        <w:t xml:space="preserve"> Leading Digital Transformation Project: A Case of NADRA — https://openalex.org/W7213482378</w:t>
      </w:r>
    </w:p>
    <w:p>
      <w:pPr>
        <w:pStyle w:val="SourceNote"/>
      </w:pPr>
      <w:r>
        <w:rPr>
          <w:b/>
        </w:rPr>
        <w:t>Review status:</w:t>
      </w:r>
      <w:r>
        <w:t xml:space="preserve"> unchecked — possible relationship only</w:t>
      </w:r>
    </w:p>
    <w:p>
      <w:pPr>
        <w:pStyle w:val="Heading2"/>
      </w:pPr>
      <w:r>
        <w:t>27. Claim + two later sources: Pressures on soil functions from soil management in Germany. A foresight review</w:t>
      </w:r>
    </w:p>
    <w:p>
      <w:pPr>
        <w:pStyle w:val="SourceNote"/>
      </w:pPr>
      <w:r>
        <w:rPr>
          <w:b/>
        </w:rPr>
        <w:t>Group ID:</w:t>
      </w:r>
      <w:r>
        <w:t xml:space="preserve"> group-c283ced019c0606ebd63</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Public Acceptance and Socio-Economic Drivers of Renewable District Heating: Evidence from Italy — https://doi.org/10.3390/en19010096</w:t>
      </w:r>
    </w:p>
    <w:p>
      <w:pPr/>
      <w:r>
        <w:rPr>
          <w:b/>
        </w:rPr>
        <w:t>Later source:</w:t>
      </w:r>
      <w:r>
        <w:t xml:space="preserve"> Detecting the socio-economic drivers of confidence in government with eXplainable Artificial Intelligence — https://doi.org/10.1038/s41598-023-28020-5</w:t>
      </w:r>
    </w:p>
    <w:p>
      <w:pPr>
        <w:pStyle w:val="SourceNote"/>
      </w:pPr>
      <w:r>
        <w:rPr>
          <w:b/>
        </w:rPr>
        <w:t>Review status:</w:t>
      </w:r>
      <w:r>
        <w:t xml:space="preserve"> unchecked — possible relationship only</w:t>
      </w:r>
    </w:p>
    <w:p>
      <w:pPr>
        <w:pStyle w:val="Heading2"/>
      </w:pPr>
      <w:r>
        <w:t>28. Claim + two later sources: Energy Vision Strategies for the EU Green New Deal: A Case Study of European Cities</w:t>
      </w:r>
    </w:p>
    <w:p>
      <w:pPr>
        <w:pStyle w:val="SourceNote"/>
      </w:pPr>
      <w:r>
        <w:rPr>
          <w:b/>
        </w:rPr>
        <w:t>Group ID:</w:t>
      </w:r>
      <w:r>
        <w:t xml:space="preserve"> group-81d26f7918e4394b5c8a</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Reassessing the benefits of European integration and the European Union's ability to achieve strategic autonomy — https://openalex.org/W7130901115</w:t>
      </w:r>
    </w:p>
    <w:p>
      <w:pPr/>
      <w:r>
        <w:rPr>
          <w:b/>
        </w:rPr>
        <w:t>Later source:</w:t>
      </w:r>
      <w:r>
        <w:t xml:space="preserve"> France's Strategic Gamble for Europe — https://doi.org/10.17613/cdevw-3gx51</w:t>
      </w:r>
    </w:p>
    <w:p>
      <w:pPr>
        <w:pStyle w:val="SourceNote"/>
      </w:pPr>
      <w:r>
        <w:rPr>
          <w:b/>
        </w:rPr>
        <w:t>Review status:</w:t>
      </w:r>
      <w:r>
        <w:t xml:space="preserve"> unchecked — possible relationship only</w:t>
      </w:r>
    </w:p>
    <w:p>
      <w:pPr>
        <w:pStyle w:val="Heading2"/>
      </w:pPr>
      <w:r>
        <w:t>29. Claim + two later sources: Developed Foresight for Borders Model Predicts the Amount of Borders Traffic in Finland</w:t>
      </w:r>
    </w:p>
    <w:p>
      <w:pPr>
        <w:pStyle w:val="SourceNote"/>
      </w:pPr>
      <w:r>
        <w:rPr>
          <w:b/>
        </w:rPr>
        <w:t>Group ID:</w:t>
      </w:r>
      <w:r>
        <w:t xml:space="preserve"> group-fd338f63a084015324c3</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Determinants of Financial Security of European Union Farms—A Factor Analysis Model Approach — https://doi.org/10.3390/agriculture14010119</w:t>
      </w:r>
    </w:p>
    <w:p>
      <w:pPr/>
      <w:r>
        <w:rPr>
          <w:b/>
        </w:rPr>
        <w:t>Later source:</w:t>
      </w:r>
      <w:r>
        <w:t xml:space="preserve"> Factors influencing antimicrobial resistance in the European food system and potential leverage points for intervention: A participatory, One Health study — https://doi.org/10.1371/journal.pone.0263914</w:t>
      </w:r>
    </w:p>
    <w:p>
      <w:pPr>
        <w:pStyle w:val="SourceNote"/>
      </w:pPr>
      <w:r>
        <w:rPr>
          <w:b/>
        </w:rPr>
        <w:t>Review status:</w:t>
      </w:r>
      <w:r>
        <w:t xml:space="preserve"> unchecked — possible relationship only</w:t>
      </w:r>
    </w:p>
    <w:p>
      <w:pPr>
        <w:pStyle w:val="Heading2"/>
      </w:pPr>
      <w:r>
        <w:t>30.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31. Claim + two later sources: Implementing exogenous scenarios in a global MRIO model for the estimation of future environmental footprints</w:t>
      </w:r>
    </w:p>
    <w:p>
      <w:pPr>
        <w:pStyle w:val="SourceNote"/>
      </w:pPr>
      <w:r>
        <w:rPr>
          <w:b/>
        </w:rPr>
        <w:t>Group ID:</w:t>
      </w:r>
      <w:r>
        <w:t xml:space="preserve"> group-b9f56664751457d2483a</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Challenges in digitalization in outdoor recreation: The example of the European pond turtle — https://doi.org/10.1016/j.jort.2026.101095</w:t>
      </w:r>
    </w:p>
    <w:p>
      <w:pPr/>
      <w:r>
        <w:rPr>
          <w:b/>
        </w:rPr>
        <w:t>Later source:</w:t>
      </w:r>
      <w:r>
        <w:t xml:space="preserve"> Future evolution of large floods in Europe — https://doi.org/10.5194/egusphere-egu25-9464</w:t>
      </w:r>
    </w:p>
    <w:p>
      <w:pPr>
        <w:pStyle w:val="SourceNote"/>
      </w:pPr>
      <w:r>
        <w:rPr>
          <w:b/>
        </w:rPr>
        <w:t>Review status:</w:t>
      </w:r>
      <w:r>
        <w:t xml:space="preserve"> unchecked — possible relationship only</w:t>
      </w:r>
    </w:p>
    <w:p>
      <w:pPr>
        <w:pStyle w:val="Heading2"/>
      </w:pPr>
      <w:r>
        <w:t>32. Claim + two later sources: Assessing the impact of the 2011 EU Transport White Paper - a rail freight demand forecast up to 2050 for the EU27</w:t>
      </w:r>
    </w:p>
    <w:p>
      <w:pPr>
        <w:pStyle w:val="SourceNote"/>
      </w:pPr>
      <w:r>
        <w:rPr>
          <w:b/>
        </w:rPr>
        <w:t>Group ID:</w:t>
      </w:r>
      <w:r>
        <w:t xml:space="preserve"> group-d868b90130e0781cca50</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Right-Wing Extremism and Terrorism in Europe: Current Developments and Issues for the Future — https://openalex.org/W2994049625</w:t>
      </w:r>
    </w:p>
    <w:p>
      <w:pPr/>
      <w:r>
        <w:rPr>
          <w:b/>
        </w:rPr>
        <w:t>Later source:</w:t>
      </w:r>
      <w:r>
        <w:t xml:space="preserve"> Nonlinearity-enhanced quantum sensing in Stark probes — https://doi.org/10.1103/physrevapplied.23.014019</w:t>
      </w:r>
    </w:p>
    <w:p>
      <w:pPr>
        <w:pStyle w:val="SourceNote"/>
      </w:pPr>
      <w:r>
        <w:rPr>
          <w:b/>
        </w:rPr>
        <w:t>Review status:</w:t>
      </w:r>
      <w:r>
        <w:t xml:space="preserve"> unchecked — possible relationship only</w:t>
      </w:r>
    </w:p>
    <w:p>
      <w:pPr>
        <w:pStyle w:val="Heading2"/>
      </w:pPr>
      <w:r>
        <w:t>33. Claim + two later sources: Investigating syndromes of agricultural land degradation through past trajectories and future scenarios</w:t>
      </w:r>
    </w:p>
    <w:p>
      <w:pPr>
        <w:pStyle w:val="SourceNote"/>
      </w:pPr>
      <w:r>
        <w:rPr>
          <w:b/>
        </w:rPr>
        <w:t>Group ID:</w:t>
      </w:r>
      <w:r>
        <w:t xml:space="preserve"> group-4c2a985925aff5e514f4</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Integrating equity and productivity in health evaluation — https://openalex.org/W7160458284</w:t>
      </w:r>
    </w:p>
    <w:p>
      <w:pPr/>
      <w:r>
        <w:rPr>
          <w:b/>
        </w:rPr>
        <w:t>Later source:</w:t>
      </w:r>
      <w:r>
        <w:t xml:space="preserve"> Impact resistance of concrete and fibre-reinforced concrete: A review — https://doi.org/10.1016/j.ijimpeng.2023.104722</w:t>
      </w:r>
    </w:p>
    <w:p>
      <w:pPr>
        <w:pStyle w:val="SourceNote"/>
      </w:pPr>
      <w:r>
        <w:rPr>
          <w:b/>
        </w:rPr>
        <w:t>Review status:</w:t>
      </w:r>
      <w:r>
        <w:t xml:space="preserve"> unchecked — possible relationship only</w:t>
      </w:r>
    </w:p>
    <w:p>
      <w:pPr>
        <w:pStyle w:val="Heading2"/>
      </w:pPr>
      <w:r>
        <w:t>34. Claim + two later sources: Making the EU Carbon Border Adjustment Mechanism acceptable and climate friendly for least developed countries</w:t>
      </w:r>
    </w:p>
    <w:p>
      <w:pPr>
        <w:pStyle w:val="SourceNote"/>
      </w:pPr>
      <w:r>
        <w:rPr>
          <w:b/>
        </w:rPr>
        <w:t>Group ID:</w:t>
      </w:r>
      <w:r>
        <w:t xml:space="preserve"> group-dd7dff392cafc04ced10</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Climate disclosure and risk premium in the European bond market — https://doi.org/10.1007/s40822-026-00401-x</w:t>
      </w:r>
    </w:p>
    <w:p>
      <w:pPr/>
      <w:r>
        <w:rPr>
          <w:b/>
        </w:rPr>
        <w:t>Later source:</w:t>
      </w:r>
      <w:r>
        <w:t xml:space="preserve"> Delivering a Climate Neutral Europe — https://doi.org/10.4324/9781003493730</w:t>
      </w:r>
    </w:p>
    <w:p>
      <w:pPr>
        <w:pStyle w:val="SourceNote"/>
      </w:pPr>
      <w:r>
        <w:rPr>
          <w:b/>
        </w:rPr>
        <w:t>Review status:</w:t>
      </w:r>
      <w:r>
        <w:t xml:space="preserve"> unchecked — possible relationship only</w:t>
      </w:r>
    </w:p>
    <w:p>
      <w:pPr>
        <w:pStyle w:val="Heading2"/>
      </w:pPr>
      <w:r>
        <w:t>35. Claim + two later sources: After crisis scenarios for Europe: alternative evolutions of structural adjustments</w:t>
      </w:r>
    </w:p>
    <w:p>
      <w:pPr>
        <w:pStyle w:val="SourceNote"/>
      </w:pPr>
      <w:r>
        <w:rPr>
          <w:b/>
        </w:rPr>
        <w:t>Group ID:</w:t>
      </w:r>
      <w:r>
        <w:t xml:space="preserve"> group-bb2bf052b8e57473c1d6</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Changes in Agricultural Cooperatives Following Bulgaria’s European Union Integration — https://doi.org/10.37075/isa.2020.4.05</w:t>
      </w:r>
    </w:p>
    <w:p>
      <w:pPr/>
      <w:r>
        <w:rPr>
          <w:b/>
        </w:rPr>
        <w:t>Later source:</w:t>
      </w:r>
      <w:r>
        <w:t xml:space="preserve"> The new ambitions for 2014-2020 European structural and investment funds evaluation: pouring water in a leaking container? — https://openalex.org/W2552820326</w:t>
      </w:r>
    </w:p>
    <w:p>
      <w:pPr>
        <w:pStyle w:val="SourceNote"/>
      </w:pPr>
      <w:r>
        <w:rPr>
          <w:b/>
        </w:rPr>
        <w:t>Review status:</w:t>
      </w:r>
      <w:r>
        <w:t xml:space="preserve"> unchecked — possible relationship only</w:t>
      </w:r>
    </w:p>
    <w:p>
      <w:pPr>
        <w:pStyle w:val="Heading2"/>
      </w:pPr>
      <w:r>
        <w:t>36. Claim + two later sources: Two futures: EU-Russia relations in the context of Ukraine.</w:t>
      </w:r>
    </w:p>
    <w:p>
      <w:pPr>
        <w:pStyle w:val="SourceNote"/>
      </w:pPr>
      <w:r>
        <w:rPr>
          <w:b/>
        </w:rPr>
        <w:t>Group ID:</w:t>
      </w:r>
      <w:r>
        <w:t xml:space="preserve"> group-a94255afcfec383b616a</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THE APPROACH OF FINLAND TO RUSSIAN OCCUPATION OF UKRAINE: SECURITISATION OF THE PUTIN REGIME / Rusya’nın Ukrayna’yı İşgaline Finlandiya’nın Yaklaşımı: Putin Rejiminin Güvenlikleştirilmesi — https://doi.org/10.29216/ueip.1144817</w:t>
      </w:r>
    </w:p>
    <w:p>
      <w:pPr/>
      <w:r>
        <w:rPr>
          <w:b/>
        </w:rPr>
        <w:t>Later source:</w:t>
      </w:r>
      <w:r>
        <w:t xml:space="preserve"> Vladimir Putin — https://doi.org/10.4324/9781003100508-13</w:t>
      </w:r>
    </w:p>
    <w:p>
      <w:pPr>
        <w:pStyle w:val="SourceNote"/>
      </w:pPr>
      <w:r>
        <w:rPr>
          <w:b/>
        </w:rPr>
        <w:t>Review status:</w:t>
      </w:r>
      <w:r>
        <w:t xml:space="preserve"> unchecked — possible relationship only</w:t>
      </w:r>
    </w:p>
    <w:p>
      <w:pPr>
        <w:pStyle w:val="Heading2"/>
      </w:pPr>
      <w:r>
        <w:t>37. Claim + two later sources: Post-normal times: re-thinking the futures of the EU-Africa relationship</w:t>
      </w:r>
    </w:p>
    <w:p>
      <w:pPr>
        <w:pStyle w:val="SourceNote"/>
      </w:pPr>
      <w:r>
        <w:rPr>
          <w:b/>
        </w:rPr>
        <w:t>Group ID:</w:t>
      </w:r>
      <w:r>
        <w:t xml:space="preserve"> group-ffb6baedbec1cecd4120</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The separation of powers and the administrative branch in the European Union — https://doi.org/10.1093/icon/moaf048</w:t>
      </w:r>
    </w:p>
    <w:p>
      <w:pPr/>
      <w:r>
        <w:rPr>
          <w:b/>
        </w:rPr>
        <w:t>Later source:</w:t>
      </w:r>
      <w:r>
        <w:t xml:space="preserve"> THE EUROPEAN UNION: THE HISTORY OF ESTABLISHMENT AND SIGNIFICANCE FOR UKRAINE — https://doi.org/10.30970/vla.2023.76.015</w:t>
      </w:r>
    </w:p>
    <w:p>
      <w:pPr>
        <w:pStyle w:val="SourceNote"/>
      </w:pPr>
      <w:r>
        <w:rPr>
          <w:b/>
        </w:rPr>
        <w:t>Review status:</w:t>
      </w:r>
      <w:r>
        <w:t xml:space="preserve"> unchecked — possible relationship only</w:t>
      </w:r>
    </w:p>
    <w:p>
      <w:pPr>
        <w:pStyle w:val="Heading2"/>
      </w:pPr>
      <w:r>
        <w:t>38. Claim + two later sources: Problem of “Dinosauring” of European Union and Mapping of Its Future</w:t>
      </w:r>
    </w:p>
    <w:p>
      <w:pPr>
        <w:pStyle w:val="SourceNote"/>
      </w:pPr>
      <w:r>
        <w:rPr>
          <w:b/>
        </w:rPr>
        <w:t>Group ID:</w:t>
      </w:r>
      <w:r>
        <w:t xml:space="preserve"> group-95fab3af285633485a88</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H.C. ANDERSEN’S TRAVEL BOOKS – A FAIRY-TALE VISION OF EUROPE — https://doi.org/10.2307/j.ctvggx29s.22</w:t>
      </w:r>
    </w:p>
    <w:p>
      <w:pPr/>
      <w:r>
        <w:rPr>
          <w:b/>
        </w:rPr>
        <w:t>Later source:</w:t>
      </w:r>
      <w:r>
        <w:t xml:space="preserve"> Conan Fischer. A Vision of Europe: Franco-German Relations during the Great Depression, 1929–1932. — https://doi.org/10.1093/ahr/rhz1012</w:t>
      </w:r>
    </w:p>
    <w:p>
      <w:pPr>
        <w:pStyle w:val="SourceNote"/>
      </w:pPr>
      <w:r>
        <w:rPr>
          <w:b/>
        </w:rPr>
        <w:t>Review status:</w:t>
      </w:r>
      <w:r>
        <w:t xml:space="preserve"> unchecked — possible relationship only</w:t>
      </w:r>
    </w:p>
    <w:p>
      <w:pPr>
        <w:pStyle w:val="Heading2"/>
      </w:pPr>
      <w:r>
        <w:t>39. Claim + two later sources: Comparison of temperature indices for three IPCC SRES scenarios based on RegCM simulations for Poland in 2011–2030 period</w:t>
      </w:r>
    </w:p>
    <w:p>
      <w:pPr>
        <w:pStyle w:val="SourceNote"/>
      </w:pPr>
      <w:r>
        <w:rPr>
          <w:b/>
        </w:rPr>
        <w:t>Group ID:</w:t>
      </w:r>
      <w:r>
        <w:t xml:space="preserve"> group-b3413b6b18a793d54229</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Investigating the future urban climates of European cities using an ensemble of convection permitting regional climate models — https://doi.org/10.5194/egusphere-egu25-1307</w:t>
      </w:r>
    </w:p>
    <w:p>
      <w:pPr/>
      <w:r>
        <w:rPr>
          <w:b/>
        </w:rPr>
        <w:t>Later source:</w:t>
      </w:r>
      <w:r>
        <w:t xml:space="preserve"> The impact of lakes on the European climate as simulated by a regional climate model — https://doi.org/10.60910/3pj6-v2hf</w:t>
      </w:r>
    </w:p>
    <w:p>
      <w:pPr>
        <w:pStyle w:val="SourceNote"/>
      </w:pPr>
      <w:r>
        <w:rPr>
          <w:b/>
        </w:rPr>
        <w:t>Review status:</w:t>
      </w:r>
      <w:r>
        <w:t xml:space="preserve"> unchecked — possible relationship only</w:t>
      </w:r>
    </w:p>
    <w:p>
      <w:pPr>
        <w:pStyle w:val="Heading2"/>
      </w:pPr>
      <w:r>
        <w:t>40. Claim + two later sources: Use and perception of weather forecast information across Europe</w:t>
      </w:r>
    </w:p>
    <w:p>
      <w:pPr>
        <w:pStyle w:val="SourceNote"/>
      </w:pPr>
      <w:r>
        <w:rPr>
          <w:b/>
        </w:rPr>
        <w:t>Group ID:</w:t>
      </w:r>
      <w:r>
        <w:t xml:space="preserve"> group-0c70acfb4e71c26d0548</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Management Measures and Trends of Biological Invasions in Europe: A Survey‐Based Assessment of Local Managers — https://doi.org/10.1111/gcb.70028</w:t>
      </w:r>
    </w:p>
    <w:p>
      <w:pPr>
        <w:pStyle w:val="SourceNote"/>
      </w:pPr>
      <w:r>
        <w:rPr>
          <w:b/>
        </w:rPr>
        <w:t>Review status:</w:t>
      </w:r>
      <w:r>
        <w:t xml:space="preserve"> unchecked — possible relationship only</w:t>
      </w:r>
    </w:p>
    <w:p>
      <w:pPr>
        <w:pStyle w:val="Heading2"/>
      </w:pPr>
      <w:r>
        <w:t>41. Claim + two later sources: EU climate and energy governance in times of crisis: towards a new agenda</w:t>
      </w:r>
    </w:p>
    <w:p>
      <w:pPr>
        <w:pStyle w:val="SourceNote"/>
      </w:pPr>
      <w:r>
        <w:rPr>
          <w:b/>
        </w:rPr>
        <w:t>Group ID:</w:t>
      </w:r>
      <w:r>
        <w:t xml:space="preserve"> group-ca0cfafa18ce5233810f</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Scope for EU–Japan cooperation in decarbonising the global LNG market — https://doi.org/10.26485/spe/2022/124/7</w:t>
      </w:r>
    </w:p>
    <w:p>
      <w:pPr/>
      <w:r>
        <w:rPr>
          <w:b/>
        </w:rPr>
        <w:t>Later source:</w:t>
      </w:r>
      <w:r>
        <w:t xml:space="preserve"> What Motivates Companies to Take the Decision to Decarbonise? — https://doi.org/10.3390/en18143780</w:t>
      </w:r>
    </w:p>
    <w:p>
      <w:pPr>
        <w:pStyle w:val="SourceNote"/>
      </w:pPr>
      <w:r>
        <w:rPr>
          <w:b/>
        </w:rPr>
        <w:t>Review status:</w:t>
      </w:r>
      <w:r>
        <w:t xml:space="preserve"> unchecked — possible relationship only</w:t>
      </w:r>
    </w:p>
    <w:p>
      <w:pPr>
        <w:pStyle w:val="Heading2"/>
      </w:pPr>
      <w:r>
        <w:t>42. Claim + two later sources: Douglas‐fir plantations in Europe: a retrospective test of assisted migration to address climate change</w:t>
      </w:r>
    </w:p>
    <w:p>
      <w:pPr>
        <w:pStyle w:val="SourceNote"/>
      </w:pPr>
      <w:r>
        <w:rPr>
          <w:b/>
        </w:rPr>
        <w:t>Group ID:</w:t>
      </w:r>
      <w:r>
        <w:t xml:space="preserve"> group-a049840802f9cb098ed7</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Forest-based climate change mitigation and adaptation in Europe — https://doi.org/10.36333/fs14</w:t>
      </w:r>
    </w:p>
    <w:p>
      <w:pPr>
        <w:pStyle w:val="SourceNote"/>
      </w:pPr>
      <w:r>
        <w:rPr>
          <w:b/>
        </w:rPr>
        <w:t>Review status:</w:t>
      </w:r>
      <w:r>
        <w:t xml:space="preserve"> unchecked — possible relationship only</w:t>
      </w:r>
    </w:p>
    <w:p>
      <w:pPr>
        <w:pStyle w:val="Heading2"/>
      </w:pPr>
      <w:r>
        <w:t>43. Claim + two later sources: Alternative futures for shared mobility systems: impacts on transport planning tools and techniques</w:t>
      </w:r>
    </w:p>
    <w:p>
      <w:pPr>
        <w:pStyle w:val="SourceNote"/>
      </w:pPr>
      <w:r>
        <w:rPr>
          <w:b/>
        </w:rPr>
        <w:t>Group ID:</w:t>
      </w:r>
      <w:r>
        <w:t xml:space="preserve"> group-ee9129f4102e6feb221b</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The Heritagemonitor: Exploring projects, works and institutions in cultural heritage across Europe — https://doi.org/10.5281/zenodo.20642926</w:t>
      </w:r>
    </w:p>
    <w:p>
      <w:pPr/>
      <w:r>
        <w:rPr>
          <w:b/>
        </w:rPr>
        <w:t>Later source:</w:t>
      </w:r>
      <w:r>
        <w:t xml:space="preserve"> The Heritagemonitor: Exploring projects, works and institutions in cultural heritage across Europe — https://doi.org/10.5281/zenodo.20643287</w:t>
      </w:r>
    </w:p>
    <w:p>
      <w:pPr>
        <w:pStyle w:val="SourceNote"/>
      </w:pPr>
      <w:r>
        <w:rPr>
          <w:b/>
        </w:rPr>
        <w:t>Review status:</w:t>
      </w:r>
      <w:r>
        <w:t xml:space="preserve"> unchecked — possible relationship only</w:t>
      </w:r>
    </w:p>
    <w:p>
      <w:pPr>
        <w:pStyle w:val="Heading2"/>
      </w:pPr>
      <w:r>
        <w:t>44. Claim + two later sources: Integrated assessment of the role of bioenergy within the EU energy transition targets to 2050</w:t>
      </w:r>
    </w:p>
    <w:p>
      <w:pPr>
        <w:pStyle w:val="SourceNote"/>
      </w:pPr>
      <w:r>
        <w:rPr>
          <w:b/>
        </w:rPr>
        <w:t>Group ID:</w:t>
      </w:r>
      <w:r>
        <w:t xml:space="preserve"> group-b14d858e78fe4cc8a80e</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"Biomass crops for sustainable energy in Europe: contributions to bioenergy, environment, and energy security" — https://doi.org/10.1080/17429145.2025.2564839</w:t>
      </w:r>
    </w:p>
    <w:p>
      <w:pPr/>
      <w:r>
        <w:rPr>
          <w:b/>
        </w:rPr>
        <w:t>Later source:</w:t>
      </w:r>
      <w:r>
        <w:t xml:space="preserve"> Bioenergy in Europe is unlikely to make a timely contribution to climate change targets — https://doi.org/10.1088/1748-9326/ad2d11</w:t>
      </w:r>
    </w:p>
    <w:p>
      <w:pPr>
        <w:pStyle w:val="SourceNote"/>
      </w:pPr>
      <w:r>
        <w:rPr>
          <w:b/>
        </w:rPr>
        <w:t>Review status:</w:t>
      </w:r>
      <w:r>
        <w:t xml:space="preserve"> unchecked — possible relationship only</w:t>
      </w:r>
    </w:p>
    <w:p>
      <w:pPr>
        <w:pStyle w:val="Heading2"/>
      </w:pPr>
      <w:r>
        <w:t>45. Claim + two later sources: GHG emissions, trade balance, and carbon leakage: Insights from modeling thirty-one European decarbonization pathways towards 2050</w:t>
      </w:r>
    </w:p>
    <w:p>
      <w:pPr>
        <w:pStyle w:val="SourceNote"/>
      </w:pPr>
      <w:r>
        <w:rPr>
          <w:b/>
        </w:rPr>
        <w:t>Group ID:</w:t>
      </w:r>
      <w:r>
        <w:t xml:space="preserve"> group-8bd09e6937fb91f471cd</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Later source:</w:t>
      </w:r>
      <w:r>
        <w:t xml:space="preserve"> Linguistic diversity of new minorities in Europe: A crossroads of rights and duties — https://doi.org/10.5281/zenodo.18845601</w:t>
      </w:r>
    </w:p>
    <w:p>
      <w:pPr>
        <w:pStyle w:val="SourceNote"/>
      </w:pPr>
      <w:r>
        <w:rPr>
          <w:b/>
        </w:rPr>
        <w:t>Review status:</w:t>
      </w:r>
      <w:r>
        <w:t xml:space="preserve"> unchecked — possible relationship only</w:t>
      </w:r>
    </w:p>
    <w:p>
      <w:pPr>
        <w:pStyle w:val="Heading2"/>
      </w:pPr>
      <w:r>
        <w:t>46. Claim + two later sources: Low-carbon energy scenarios 2050 in north-west European countries: Towards a more harmonised approach to achieve the EU targets</w:t>
      </w:r>
    </w:p>
    <w:p>
      <w:pPr>
        <w:pStyle w:val="SourceNote"/>
      </w:pPr>
      <w:r>
        <w:rPr>
          <w:b/>
        </w:rPr>
        <w:t>Group ID:</w:t>
      </w:r>
      <w:r>
        <w:t xml:space="preserve"> group-f764801de0c8e2787930</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Flood trends in Europe: are changes in small and big floods different? — https://doi.org/10.5194/hess-24-1805-2020</w:t>
      </w:r>
    </w:p>
    <w:p>
      <w:pPr/>
      <w:r>
        <w:rPr>
          <w:b/>
        </w:rPr>
        <w:t>Later source:</w:t>
      </w:r>
      <w:r>
        <w:t xml:space="preserve"> Regional climate downscaling over Europe: perspectives from the EURO-CORDEX community — https://doi.org/10.1007/s10113-020-01606-9</w:t>
      </w:r>
    </w:p>
    <w:p>
      <w:pPr>
        <w:pStyle w:val="SourceNote"/>
      </w:pPr>
      <w:r>
        <w:rPr>
          <w:b/>
        </w:rPr>
        <w:t>Review status:</w:t>
      </w:r>
      <w:r>
        <w:t xml:space="preserve"> unchecked — possible relationship only</w:t>
      </w:r>
    </w:p>
    <w:p>
      <w:pPr>
        <w:pStyle w:val="Heading2"/>
      </w:pPr>
      <w:r>
        <w:t>47.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48. Claim + two later sources: Health impact assessment of waste management facilities in three European countries</w:t>
      </w:r>
    </w:p>
    <w:p>
      <w:pPr>
        <w:pStyle w:val="SourceNote"/>
      </w:pPr>
      <w:r>
        <w:rPr>
          <w:b/>
        </w:rPr>
        <w:t>Group ID:</w:t>
      </w:r>
      <w:r>
        <w:t xml:space="preserve"> group-7623b15e0d6b995d09d5</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Location choice for large‐scale battery manufacturing plants: Exploring the role of clean energy, costs, and knowledge on location decisions in Europe — https://doi.org/10.1111/jiec.13292</w:t>
      </w:r>
    </w:p>
    <w:p>
      <w:pPr/>
      <w:r>
        <w:rPr>
          <w:b/>
        </w:rPr>
        <w:t>Later source:</w:t>
      </w:r>
      <w:r>
        <w:t xml:space="preserve"> Polychlorinated dibenzo-p-dioxins (PCDDs) and dibenzofurans (PCDFs) soil contamination in Lausanne, Switzerland: Combining pollution mapping and human exposure assessment for targeted risk management — https://doi.org/10.1016/j.envpol.2022.120441</w:t>
      </w:r>
    </w:p>
    <w:p>
      <w:pPr>
        <w:pStyle w:val="SourceNote"/>
      </w:pPr>
      <w:r>
        <w:rPr>
          <w:b/>
        </w:rPr>
        <w:t>Review status:</w:t>
      </w:r>
      <w:r>
        <w:t xml:space="preserve"> unchecked — possible relationship only</w:t>
      </w:r>
    </w:p>
    <w:p>
      <w:pPr>
        <w:pStyle w:val="Heading2"/>
      </w:pPr>
      <w:r>
        <w:t>49. Claim + two later sources: Linking Local Food Systems and the Social Economy? Future Roles for Farmers' Markets in Alberta and British Columbia*</w:t>
      </w:r>
    </w:p>
    <w:p>
      <w:pPr>
        <w:pStyle w:val="SourceNote"/>
      </w:pPr>
      <w:r>
        <w:rPr>
          <w:b/>
        </w:rPr>
        <w:t>Group ID:</w:t>
      </w:r>
      <w:r>
        <w:t xml:space="preserve"> group-fe4ba62db0302d1201b3</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AI literacy for K–12 education: an international Delphi study — https://doi.org/10.1080/10494820.2026.2649553</w:t>
      </w:r>
    </w:p>
    <w:p>
      <w:pPr/>
      <w:r>
        <w:rPr>
          <w:b/>
        </w:rPr>
        <w:t>Later source:</w:t>
      </w:r>
      <w:r>
        <w:t xml:space="preserve"> Developing a Body of Knowledge for Sustainability Engineering Using the Delphi Method: A Work in Progress — https://doi.org/10.18260/1-2--58714</w:t>
      </w:r>
    </w:p>
    <w:p>
      <w:pPr>
        <w:pStyle w:val="SourceNote"/>
      </w:pPr>
      <w:r>
        <w:rPr>
          <w:b/>
        </w:rPr>
        <w:t>Review status:</w:t>
      </w:r>
      <w:r>
        <w:t xml:space="preserve"> unchecked — possible relationship only</w:t>
      </w:r>
    </w:p>
    <w:p>
      <w:pPr>
        <w:pStyle w:val="Heading2"/>
      </w:pPr>
      <w:r>
        <w:t>50. Claim + two later sources: Legume dreams: The contested futures of sustainable plant-based food systems in Europe</w:t>
      </w:r>
    </w:p>
    <w:p>
      <w:pPr>
        <w:pStyle w:val="SourceNote"/>
      </w:pPr>
      <w:r>
        <w:rPr>
          <w:b/>
        </w:rPr>
        <w:t>Group ID:</w:t>
      </w:r>
      <w:r>
        <w:t xml:space="preserve"> group-01ffa0daa1d321529d22</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European consumers' involvement with date labels and implications for household food waste — https://doi.org/10.1016/j.foodqual.2025.105522</w:t>
      </w:r>
    </w:p>
    <w:p>
      <w:pPr/>
      <w:r>
        <w:rPr>
          <w:b/>
        </w:rPr>
        <w:t>Later source:</w:t>
      </w:r>
      <w:r>
        <w:t xml:space="preserve"> Food allergy outside the eight big foods in Europe: A systematic review and meta‐analysis — https://doi.org/10.1002/clt2.12338</w:t>
      </w:r>
    </w:p>
    <w:p>
      <w:pPr>
        <w:pStyle w:val="SourceNote"/>
      </w:pPr>
      <w:r>
        <w:rPr>
          <w:b/>
        </w:rPr>
        <w:t>Review status:</w:t>
      </w:r>
      <w:r>
        <w:t xml:space="preserve"> unchecked — possible relationship only</w:t>
      </w:r>
    </w:p>
    <w:p>
      <w:pPr>
        <w:pStyle w:val="Heading2"/>
      </w:pPr>
      <w:r>
        <w:t>51. Claim + two later sources: Energy and Climate Change Scenarios in the Mediterranean: An opportunity for cooperation</w:t>
      </w:r>
    </w:p>
    <w:p>
      <w:pPr>
        <w:pStyle w:val="SourceNote"/>
      </w:pPr>
      <w:r>
        <w:rPr>
          <w:b/>
        </w:rPr>
        <w:t>Group ID:</w:t>
      </w:r>
      <w:r>
        <w:t xml:space="preserve"> group-0726058966beee040b4e</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Endangered Languages and Environmental Degradation Among Minority Communities in Europe: An Ecological Perspective — https://doi.org/10.18485/vlings_vele.2025.ch3</w:t>
      </w:r>
    </w:p>
    <w:p>
      <w:pPr/>
      <w:r>
        <w:rPr>
          <w:b/>
        </w:rPr>
        <w:t>Later source:</w:t>
      </w:r>
      <w:r>
        <w:t xml:space="preserve"> The Impact of Environmental Degradation on Children’s Rights in Central Europe — https://doi.org/10.21029/jael.2025.39.365</w:t>
      </w:r>
    </w:p>
    <w:p>
      <w:pPr>
        <w:pStyle w:val="SourceNote"/>
      </w:pPr>
      <w:r>
        <w:rPr>
          <w:b/>
        </w:rPr>
        <w:t>Review status:</w:t>
      </w:r>
      <w:r>
        <w:t xml:space="preserve"> unchecked — possible relationship only</w:t>
      </w:r>
    </w:p>
    <w:p>
      <w:pPr>
        <w:pStyle w:val="Heading2"/>
      </w:pPr>
      <w:r>
        <w:t>52. Claim + two later sources: Abandonment landscapes: user attitudes, alternative futures and land management in Castro Laboreiro, Portugal</w:t>
      </w:r>
    </w:p>
    <w:p>
      <w:pPr>
        <w:pStyle w:val="SourceNote"/>
      </w:pPr>
      <w:r>
        <w:rPr>
          <w:b/>
        </w:rPr>
        <w:t>Group ID:</w:t>
      </w:r>
      <w:r>
        <w:t xml:space="preserve"> group-232161c3e6647c04536e</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Motivation and perception of farmers on the benefits and challenges of agroforestry in Sweden (Northern Europe) — https://doi.org/10.1007/s10457-024-00964-1</w:t>
      </w:r>
    </w:p>
    <w:p>
      <w:pPr>
        <w:pStyle w:val="SourceNote"/>
      </w:pPr>
      <w:r>
        <w:rPr>
          <w:b/>
        </w:rPr>
        <w:t>Review status:</w:t>
      </w:r>
      <w:r>
        <w:t xml:space="preserve"> unchecked — possible relationship only</w:t>
      </w:r>
    </w:p>
    <w:p>
      <w:pPr>
        <w:pStyle w:val="Heading2"/>
      </w:pPr>
      <w:r>
        <w:t>53. Claim + two later sources: Is clean energy contested? Exploring which issues matter to stakeholders in the European Green Deal</w:t>
      </w:r>
    </w:p>
    <w:p>
      <w:pPr>
        <w:pStyle w:val="SourceNote"/>
      </w:pPr>
      <w:r>
        <w:rPr>
          <w:b/>
        </w:rPr>
        <w:t>Group ID:</w:t>
      </w:r>
      <w:r>
        <w:t xml:space="preserve"> group-841ef54ad3f244d16c4a</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CAP environmental and climate aims for EU’s countries vs. European Green Deal expectations — https://doi.org/10.34659/eis.2024.90.3.819</w:t>
      </w:r>
    </w:p>
    <w:p>
      <w:pPr/>
      <w:r>
        <w:rPr>
          <w:b/>
        </w:rPr>
        <w:t>Later source:</w:t>
      </w:r>
      <w:r>
        <w:t xml:space="preserve"> European Green Deal Index: A new composite tool for monitoring European Union's Green Deal strategy — https://doi.org/10.1016/j.jclepro.2025.145077</w:t>
      </w:r>
    </w:p>
    <w:p>
      <w:pPr>
        <w:pStyle w:val="SourceNote"/>
      </w:pPr>
      <w:r>
        <w:rPr>
          <w:b/>
        </w:rPr>
        <w:t>Review status:</w:t>
      </w:r>
      <w:r>
        <w:t xml:space="preserve"> unchecked — possible relationship only</w:t>
      </w:r>
    </w:p>
    <w:p>
      <w:pPr>
        <w:pStyle w:val="Heading2"/>
      </w:pPr>
      <w:r>
        <w:t>54. Claim + two later sources: Scenarios of the organic food market in Europe</w:t>
      </w:r>
    </w:p>
    <w:p>
      <w:pPr>
        <w:pStyle w:val="SourceNote"/>
      </w:pPr>
      <w:r>
        <w:rPr>
          <w:b/>
        </w:rPr>
        <w:t>Group ID:</w:t>
      </w:r>
      <w:r>
        <w:t xml:space="preserve"> group-69f01aaa1289552c5cf0</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VIRTUAL REALITY AS A STRATEGIC SPORT MARKETING TOOL IN PROFESSIONAL FOOTBALL: EVIDENCE FROM EUROPE AND GREECE — https://doi.org/10.46827/ejmms.v11i2.2215</w:t>
      </w:r>
    </w:p>
    <w:p>
      <w:pPr>
        <w:pStyle w:val="SourceNote"/>
      </w:pPr>
      <w:r>
        <w:rPr>
          <w:b/>
        </w:rPr>
        <w:t>Review status:</w:t>
      </w:r>
      <w:r>
        <w:t xml:space="preserve"> unchecked — possible relationship only</w:t>
      </w:r>
    </w:p>
    <w:p>
      <w:pPr>
        <w:pStyle w:val="Heading2"/>
      </w:pPr>
      <w:r>
        <w:t>55. Claim + two later sources: The Conference on the Future of Europe: possible scenarios of the forthcoming European Perestroika</w:t>
      </w:r>
    </w:p>
    <w:p>
      <w:pPr>
        <w:pStyle w:val="SourceNote"/>
      </w:pPr>
      <w:r>
        <w:rPr>
          <w:b/>
        </w:rPr>
        <w:t>Group ID:</w:t>
      </w:r>
      <w:r>
        <w:t xml:space="preserve"> group-5c026fa977342d0b26dc</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Preventing Child Sexual Abuse and Exploitation: Current Efforts and Future Directions in the European Union — https://doi.org/10.1080/15564886.2025.2603478</w:t>
      </w:r>
    </w:p>
    <w:p>
      <w:pPr/>
      <w:r>
        <w:rPr>
          <w:b/>
        </w:rPr>
        <w:t>Later source:</w:t>
      </w:r>
      <w:r>
        <w:t xml:space="preserve"> Development policy directions on climate challenges in selected central and Eastern European countries — https://doi.org/10.29119/1641-3466.2026.247.26</w:t>
      </w:r>
    </w:p>
    <w:p>
      <w:pPr>
        <w:pStyle w:val="SourceNote"/>
      </w:pPr>
      <w:r>
        <w:rPr>
          <w:b/>
        </w:rPr>
        <w:t>Review status:</w:t>
      </w:r>
      <w:r>
        <w:t xml:space="preserve"> unchecked — possible relationship only</w:t>
      </w:r>
    </w:p>
    <w:p>
      <w:pPr>
        <w:pStyle w:val="Heading2"/>
      </w:pPr>
      <w:r>
        <w:t>56. Claim + two later sources: The convergence or divergence of labour resources in Poland?</w:t>
      </w:r>
    </w:p>
    <w:p>
      <w:pPr>
        <w:pStyle w:val="SourceNote"/>
      </w:pPr>
      <w:r>
        <w:rPr>
          <w:b/>
        </w:rPr>
        <w:t>Group ID:</w:t>
      </w:r>
      <w:r>
        <w:t xml:space="preserve"> group-1813242ce0b70b0e96a0</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Later source:</w:t>
      </w:r>
      <w:r>
        <w:t xml:space="preserve"> Convergence of Population Structures of the European Union Member States—The Past and the Future — https://doi.org/10.3390/su14021024</w:t>
      </w:r>
    </w:p>
    <w:p>
      <w:pPr>
        <w:pStyle w:val="SourceNote"/>
      </w:pPr>
      <w:r>
        <w:rPr>
          <w:b/>
        </w:rPr>
        <w:t>Review status:</w:t>
      </w:r>
      <w:r>
        <w:t xml:space="preserve"> unchecked — possible relationship only</w:t>
      </w:r>
    </w:p>
    <w:p>
      <w:pPr>
        <w:pStyle w:val="Heading2"/>
      </w:pPr>
      <w:r>
        <w:t>57. Claim + two later sources: Current situation and future prospects for beef production in Europe — A review</w:t>
      </w:r>
    </w:p>
    <w:p>
      <w:pPr>
        <w:pStyle w:val="SourceNote"/>
      </w:pPr>
      <w:r>
        <w:rPr>
          <w:b/>
        </w:rPr>
        <w:t>Group ID:</w:t>
      </w:r>
      <w:r>
        <w:t xml:space="preserve"> group-cbacdd88ce9eb3116b32</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Industry 5.0 in the European Union — https://doi.org/10.1201/9781003785590</w:t>
      </w:r>
    </w:p>
    <w:p>
      <w:pPr/>
      <w:r>
        <w:rPr>
          <w:b/>
        </w:rPr>
        <w:t>Later source:</w:t>
      </w:r>
      <w:r>
        <w:t xml:space="preserve"> AGGLOMERATION, NETWORKS &amp; INSTITUTIONAL SUPPORT IN THE INNOVATIVE EUROPEAN AEROSPACE INDUSTRY — https://doi.org/10.31732/2663-2209-2025-80-225-234</w:t>
      </w:r>
    </w:p>
    <w:p>
      <w:pPr>
        <w:pStyle w:val="SourceNote"/>
      </w:pPr>
      <w:r>
        <w:rPr>
          <w:b/>
        </w:rPr>
        <w:t>Review status:</w:t>
      </w:r>
      <w:r>
        <w:t xml:space="preserve"> unchecked — possible relationship only</w:t>
      </w:r>
    </w:p>
    <w:p>
      <w:pPr>
        <w:pStyle w:val="Heading2"/>
      </w:pPr>
      <w:r>
        <w:t>58. Claim + two later sources: EU land use futures: modelling food, bioenergy and carbon dynamics</w:t>
      </w:r>
    </w:p>
    <w:p>
      <w:pPr>
        <w:pStyle w:val="SourceNote"/>
      </w:pPr>
      <w:r>
        <w:rPr>
          <w:b/>
        </w:rPr>
        <w:t>Group ID:</w:t>
      </w:r>
      <w:r>
        <w:t xml:space="preserve"> group-a503251dd36ae16c11dd</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Sowing the seeds of change: unveiling farmer types to promote climate-smart agriculture adoption in Europe — https://doi.org/10.1016/j.jrurstud.2026.104043</w:t>
      </w:r>
    </w:p>
    <w:p>
      <w:pPr/>
      <w:r>
        <w:rPr>
          <w:b/>
        </w:rPr>
        <w:t>Later source:</w:t>
      </w:r>
      <w:r>
        <w:t xml:space="preserve"> European runoff drought event types: From historical classification to projected future changes — https://doi.org/10.5194/egusphere-2026-973</w:t>
      </w:r>
    </w:p>
    <w:p>
      <w:pPr>
        <w:pStyle w:val="SourceNote"/>
      </w:pPr>
      <w:r>
        <w:rPr>
          <w:b/>
        </w:rPr>
        <w:t>Review status:</w:t>
      </w:r>
      <w:r>
        <w:t xml:space="preserve"> unchecked — possible relationship only</w:t>
      </w:r>
    </w:p>
    <w:p>
      <w:pPr>
        <w:pStyle w:val="Heading2"/>
      </w:pPr>
      <w:r>
        <w:t>59. Claim + two later sources: Forecasting the Diffusion of Gigabit Home Networking In Europe</w:t>
      </w:r>
    </w:p>
    <w:p>
      <w:pPr>
        <w:pStyle w:val="SourceNote"/>
      </w:pPr>
      <w:r>
        <w:rPr>
          <w:b/>
        </w:rPr>
        <w:t>Group ID:</w:t>
      </w:r>
      <w:r>
        <w:t xml:space="preserve"> group-dc6b7d87e2cad1c5ef9f</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Local flexibility markets in Europe: A critical review of market designs, operational maturity and stakeholder perspectives — https://doi.org/10.1016/j.rser.2025.116434</w:t>
      </w:r>
    </w:p>
    <w:p>
      <w:pPr>
        <w:pStyle w:val="SourceNote"/>
      </w:pPr>
      <w:r>
        <w:rPr>
          <w:b/>
        </w:rPr>
        <w:t>Review status:</w:t>
      </w:r>
      <w:r>
        <w:t xml:space="preserve"> unchecked — possible relationship only</w:t>
      </w:r>
    </w:p>
    <w:p>
      <w:pPr>
        <w:pStyle w:val="Heading2"/>
      </w:pPr>
      <w:r>
        <w:t>60. Claim + two later sources: Using scenarios to assess the future supply of NHS nursing staff in England</w:t>
      </w:r>
    </w:p>
    <w:p>
      <w:pPr>
        <w:pStyle w:val="SourceNote"/>
      </w:pPr>
      <w:r>
        <w:rPr>
          <w:b/>
        </w:rPr>
        <w:t>Group ID:</w:t>
      </w:r>
      <w:r>
        <w:t xml:space="preserve"> group-bbb5de2394ceae1322ce</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Of Important — https://doi.org/10.67224/ioasdjbms.2024.v01i02.001</w:t>
      </w:r>
    </w:p>
    <w:p>
      <w:pPr/>
      <w:r>
        <w:rPr>
          <w:b/>
        </w:rPr>
        <w:t>Later source:</w:t>
      </w:r>
      <w:r>
        <w:t xml:space="preserve"> Ground Based-cloud Classification Based on Comparing Different Classification Models — https://doi.org/10.54254/2755-2721/2/20220541</w:t>
      </w:r>
    </w:p>
    <w:p>
      <w:pPr>
        <w:pStyle w:val="SourceNote"/>
      </w:pPr>
      <w:r>
        <w:rPr>
          <w:b/>
        </w:rPr>
        <w:t>Review status:</w:t>
      </w:r>
      <w:r>
        <w:t xml:space="preserve"> unchecked — possible relationship only</w:t>
      </w:r>
    </w:p>
    <w:p>
      <w:pPr>
        <w:pStyle w:val="Heading2"/>
      </w:pPr>
      <w:r>
        <w:t>61. Claim + two later sources: New system of employment forecasting in Poland</w:t>
      </w:r>
    </w:p>
    <w:p>
      <w:pPr>
        <w:pStyle w:val="SourceNote"/>
      </w:pPr>
      <w:r>
        <w:rPr>
          <w:b/>
        </w:rPr>
        <w:t>Group ID:</w:t>
      </w:r>
      <w:r>
        <w:t xml:space="preserve"> group-ad7314bc267fdc346117</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Medical Brain Drain From Southeastern Europe: Using Digital Demography to Forecast Health Worker Emigration — https://doi.org/10.2196/30831</w:t>
      </w:r>
    </w:p>
    <w:p>
      <w:pPr/>
      <w:r>
        <w:rPr>
          <w:b/>
        </w:rPr>
        <w:t>Later source:</w:t>
      </w:r>
      <w:r>
        <w:t xml:space="preserve"> Seasonal streamflow forecasts for Europe – Part 2: Sources of skill — https://doi.org/10.5194/hess-23-371-2019</w:t>
      </w:r>
    </w:p>
    <w:p>
      <w:pPr>
        <w:pStyle w:val="SourceNote"/>
      </w:pPr>
      <w:r>
        <w:rPr>
          <w:b/>
        </w:rPr>
        <w:t>Review status:</w:t>
      </w:r>
      <w:r>
        <w:t xml:space="preserve"> unchecked — possible relationship only</w:t>
      </w:r>
    </w:p>
    <w:p>
      <w:pPr>
        <w:pStyle w:val="Heading2"/>
      </w:pPr>
      <w:r>
        <w:t>62.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63. Claim + two later sources: Modeling the climatic suitability of leishmaniasis vector species in Europe</w:t>
      </w:r>
    </w:p>
    <w:p>
      <w:pPr>
        <w:pStyle w:val="SourceNote"/>
      </w:pPr>
      <w:r>
        <w:rPr>
          <w:b/>
        </w:rPr>
        <w:t>Group ID:</w:t>
      </w:r>
      <w:r>
        <w:t xml:space="preserve"> group-d5f4f7bade4d679fd76d</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Ash dieback and hydrology affect tree growth patterns under climate change in European floodplain forests — https://doi.org/10.1038/s41598-025-92079-5</w:t>
      </w:r>
    </w:p>
    <w:p>
      <w:pPr/>
      <w:r>
        <w:rPr>
          <w:b/>
        </w:rPr>
        <w:t>Later source:</w:t>
      </w:r>
      <w:r>
        <w:t xml:space="preserve"> Implications for the distributional range of the European bark beetles under future climate change — https://doi.org/10.1038/s41598-025-15546-z</w:t>
      </w:r>
    </w:p>
    <w:p>
      <w:pPr>
        <w:pStyle w:val="SourceNote"/>
      </w:pPr>
      <w:r>
        <w:rPr>
          <w:b/>
        </w:rPr>
        <w:t>Review status:</w:t>
      </w:r>
      <w:r>
        <w:t xml:space="preserve"> unchecked — possible relationship only</w:t>
      </w:r>
    </w:p>
    <w:p>
      <w:pPr>
        <w:pStyle w:val="Heading2"/>
      </w:pPr>
      <w:r>
        <w:t>64. Claim + two later sources: Baltic herring for food: Shades of grey in how backcasting recommendations work across exploratory scenarios</w:t>
      </w:r>
    </w:p>
    <w:p>
      <w:pPr>
        <w:pStyle w:val="SourceNote"/>
      </w:pPr>
      <w:r>
        <w:rPr>
          <w:b/>
        </w:rPr>
        <w:t>Group ID:</w:t>
      </w:r>
      <w:r>
        <w:t xml:space="preserve"> group-0e3247853a5dbc1ea984</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Adherence to dietary recommendations and the risk of developing giant cell arteritis: A nested Case-Control study — https://doi.org/10.1016/j.semarthrit.2026.153003</w:t>
      </w:r>
    </w:p>
    <w:p>
      <w:pPr/>
      <w:r>
        <w:rPr>
          <w:b/>
        </w:rPr>
        <w:t>Later source:</w:t>
      </w:r>
      <w:r>
        <w:t xml:space="preserve"> Emission factors for motorcycles in developing countries: insights and recommendations from a Colombian case study — https://doi.org/10.3389/frsc.2026.1730395</w:t>
      </w:r>
    </w:p>
    <w:p>
      <w:pPr>
        <w:pStyle w:val="SourceNote"/>
      </w:pPr>
      <w:r>
        <w:rPr>
          <w:b/>
        </w:rPr>
        <w:t>Review status:</w:t>
      </w:r>
      <w:r>
        <w:t xml:space="preserve"> unchecked — possible relationship only</w:t>
      </w:r>
    </w:p>
    <w:p>
      <w:pPr>
        <w:pStyle w:val="Heading2"/>
      </w:pPr>
      <w:r>
        <w:t>65. Claim + two later sources: The EU climate and energy policy: what about the new targets for 2030?</w:t>
      </w:r>
    </w:p>
    <w:p>
      <w:pPr>
        <w:pStyle w:val="SourceNote"/>
      </w:pPr>
      <w:r>
        <w:rPr>
          <w:b/>
        </w:rPr>
        <w:t>Group ID:</w:t>
      </w:r>
      <w:r>
        <w:t xml:space="preserve"> group-337979162ca8bde5bfdb</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European energy vision 2050 and beyond: Designing scenarios for Europe’s energy transition — https://doi.org/10.1016/j.rser.2025.116074</w:t>
      </w:r>
    </w:p>
    <w:p>
      <w:pPr/>
      <w:r>
        <w:rPr>
          <w:b/>
        </w:rPr>
        <w:t>Later source:</w:t>
      </w:r>
      <w:r>
        <w:t xml:space="preserve"> The politics of vaccine hesitancy in Europe — https://doi.org/10.1093/eurpub/ckac041</w:t>
      </w:r>
    </w:p>
    <w:p>
      <w:pPr>
        <w:pStyle w:val="SourceNote"/>
      </w:pPr>
      <w:r>
        <w:rPr>
          <w:b/>
        </w:rPr>
        <w:t>Review status:</w:t>
      </w:r>
      <w:r>
        <w:t xml:space="preserve"> unchecked — possible relationship only</w:t>
      </w:r>
    </w:p>
    <w:p>
      <w:pPr>
        <w:pStyle w:val="Heading2"/>
      </w:pPr>
      <w:r>
        <w:t>66.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67.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group-1f61b5d6f4f7012d3240</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Expert perspectives on the requirements for implementing prehospital peripheral nerve blocks: a survey among members of the European Society of Regional Anaesthesia (ESRA) — https://doi.org/10.1186/s12871-026-04093-3</w:t>
      </w:r>
    </w:p>
    <w:p>
      <w:pPr/>
      <w:r>
        <w:rPr>
          <w:b/>
        </w:rPr>
        <w:t>Later source:</w:t>
      </w:r>
      <w:r>
        <w:t xml:space="preserve"> Servitising rural heritage: Social innovation and the social economy in peripheral Europe — https://doi.org/10.24136/eq.4292</w:t>
      </w:r>
    </w:p>
    <w:p>
      <w:pPr>
        <w:pStyle w:val="SourceNote"/>
      </w:pPr>
      <w:r>
        <w:rPr>
          <w:b/>
        </w:rPr>
        <w:t>Review status:</w:t>
      </w:r>
      <w:r>
        <w:t xml:space="preserve"> unchecked — possible relationship only</w:t>
      </w:r>
    </w:p>
    <w:p>
      <w:pPr>
        <w:pStyle w:val="Heading2"/>
      </w:pPr>
      <w:r>
        <w:t>68. Claim + two later sources: Ensemble flood risk assessment in Europe under high end climate scenarios</w:t>
      </w:r>
    </w:p>
    <w:p>
      <w:pPr>
        <w:pStyle w:val="SourceNote"/>
      </w:pPr>
      <w:r>
        <w:rPr>
          <w:b/>
        </w:rPr>
        <w:t>Group ID:</w:t>
      </w:r>
      <w:r>
        <w:t xml:space="preserve"> group-50109adbc07d9ac134dd</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Assessment of Socio-Economic Impacts of Hyperloop Technology on European Trade Routes — https://doi.org/10.3390/economies13030065</w:t>
      </w:r>
    </w:p>
    <w:p>
      <w:pPr>
        <w:pStyle w:val="SourceNote"/>
      </w:pPr>
      <w:r>
        <w:rPr>
          <w:b/>
        </w:rPr>
        <w:t>Review status:</w:t>
      </w:r>
      <w:r>
        <w:t xml:space="preserve"> unchecked — possible relationship only</w:t>
      </w:r>
    </w:p>
    <w:p>
      <w:pPr>
        <w:pStyle w:val="Heading2"/>
      </w:pPr>
      <w:r>
        <w:t>69. Claim + two later sources: Environmental impacts of household appliances in Europe and scenarios for their impact reduction</w:t>
      </w:r>
    </w:p>
    <w:p>
      <w:pPr>
        <w:pStyle w:val="SourceNote"/>
      </w:pPr>
      <w:r>
        <w:rPr>
          <w:b/>
        </w:rPr>
        <w:t>Group ID:</w:t>
      </w:r>
      <w:r>
        <w:t xml:space="preserve"> group-31014abf017df2a25ab1</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Eco-innovation performance in the European Union economies: Perspective on outcomes — https://doi.org/10.15678/ier.2024.1003.02</w:t>
      </w:r>
    </w:p>
    <w:p>
      <w:pPr/>
      <w:r>
        <w:rPr>
          <w:b/>
        </w:rPr>
        <w:t>Later source:</w:t>
      </w:r>
      <w:r>
        <w:t xml:space="preserve"> Nature-Based Solutions in Coastal and Estuarine Areas of Europe — https://doi.org/10.3389/fenvs.2022.829526</w:t>
      </w:r>
    </w:p>
    <w:p>
      <w:pPr>
        <w:pStyle w:val="SourceNote"/>
      </w:pPr>
      <w:r>
        <w:rPr>
          <w:b/>
        </w:rPr>
        <w:t>Review status:</w:t>
      </w:r>
      <w:r>
        <w:t xml:space="preserve"> unchecked — possible relationship only</w:t>
      </w:r>
    </w:p>
    <w:p>
      <w:pPr>
        <w:pStyle w:val="Heading2"/>
      </w:pPr>
      <w:r>
        <w:t>70. Claim + two later sources: Future export markets of industrial wood construction – A qualitative backcasting study</w:t>
      </w:r>
    </w:p>
    <w:p>
      <w:pPr>
        <w:pStyle w:val="SourceNote"/>
      </w:pPr>
      <w:r>
        <w:rPr>
          <w:b/>
        </w:rPr>
        <w:t>Group ID:</w:t>
      </w:r>
      <w:r>
        <w:t xml:space="preserve"> group-9cf643db67921134f9af</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Identifying directions for improving the regulation of the circulation of high-technology innovations in the European Union — https://doi.org/10.15587/1729-4061.2026.362257</w:t>
      </w:r>
    </w:p>
    <w:p>
      <w:pPr>
        <w:pStyle w:val="SourceNote"/>
      </w:pPr>
      <w:r>
        <w:rPr>
          <w:b/>
        </w:rPr>
        <w:t>Review status:</w:t>
      </w:r>
      <w:r>
        <w:t xml:space="preserve"> unchecked — possible relationship only</w:t>
      </w:r>
    </w:p>
    <w:p>
      <w:pPr>
        <w:pStyle w:val="Heading2"/>
      </w:pPr>
      <w:r>
        <w:t>71. Claim + two later sources: The implications of demographic and economic projections on public pension spending in the European Union</w:t>
      </w:r>
    </w:p>
    <w:p>
      <w:pPr>
        <w:pStyle w:val="SourceNote"/>
      </w:pPr>
      <w:r>
        <w:rPr>
          <w:b/>
        </w:rPr>
        <w:t>Group ID:</w:t>
      </w:r>
      <w:r>
        <w:t xml:space="preserve"> group-12d744b3ed8f9e50732a</w:t>
      </w:r>
    </w:p>
    <w:p>
      <w:pPr>
        <w:pStyle w:val="SourceNote"/>
      </w:pPr>
      <w:r>
        <w:rPr>
          <w:b/>
        </w:rPr>
        <w:t>Original source:</w:t>
      </w:r>
      <w:r>
        <w:t xml:space="preserve"> https://doi.org/10.1080/21699763.2017.1411288</w:t>
      </w:r>
    </w:p>
    <w:p>
      <w:pPr/>
      <w:r>
        <w:rPr>
          <w:b/>
        </w:rPr>
        <w:t>Original future claim:</w:t>
      </w:r>
      <w:r>
        <w:t xml:space="preserve">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Australia-European Union Free Trade Agreement negotiations conclude: implications for Australian and EU geographical indications — https://doi.org/10.1093/jiplp/jpag079</w:t>
      </w:r>
    </w:p>
    <w:p>
      <w:pPr/>
      <w:r>
        <w:rPr>
          <w:b/>
        </w:rPr>
        <w:t>Later source:</w:t>
      </w:r>
      <w:r>
        <w:t xml:space="preserve"> Deprivations Rarely Come Alone. Multidimensional Poverty Dynamics in Europe — https://doi.org/10.1111/roiw.70031</w:t>
      </w:r>
    </w:p>
    <w:p>
      <w:pPr>
        <w:pStyle w:val="SourceNote"/>
      </w:pPr>
      <w:r>
        <w:rPr>
          <w:b/>
        </w:rPr>
        <w:t>Review status:</w:t>
      </w:r>
      <w:r>
        <w:t xml:space="preserve"> unchecked — possible relationship only</w:t>
      </w:r>
    </w:p>
    <w:p>
      <w:pPr>
        <w:pStyle w:val="Heading2"/>
      </w:pPr>
      <w:r>
        <w:t>72. Claim + two later sources: Actual and potential development of consumer demand on the organic food market in Europe</w:t>
      </w:r>
    </w:p>
    <w:p>
      <w:pPr>
        <w:pStyle w:val="SourceNote"/>
      </w:pPr>
      <w:r>
        <w:rPr>
          <w:b/>
        </w:rPr>
        <w:t>Group ID:</w:t>
      </w:r>
      <w:r>
        <w:t xml:space="preserve"> group-cf1a724cef2bbecd4a87</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Future area expansion outweighs increasing drought risk for soybean in Europe — https://doi.org/10.1111/gcb.16562</w:t>
      </w:r>
    </w:p>
    <w:p>
      <w:pPr/>
      <w:r>
        <w:rPr>
          <w:b/>
        </w:rPr>
        <w:t>Later source:</w:t>
      </w:r>
      <w:r>
        <w:t xml:space="preserve"> Stam Portugal and its expansion through Europe — https://openalex.org/W2971433702</w:t>
      </w:r>
    </w:p>
    <w:p>
      <w:pPr>
        <w:pStyle w:val="SourceNote"/>
      </w:pPr>
      <w:r>
        <w:rPr>
          <w:b/>
        </w:rPr>
        <w:t>Review status:</w:t>
      </w:r>
      <w:r>
        <w:t xml:space="preserve"> unchecked — possible relationship only</w:t>
      </w:r>
    </w:p>
    <w:p>
      <w:pPr>
        <w:pStyle w:val="Heading2"/>
      </w:pPr>
      <w:r>
        <w:t>73. Claim + two later sources: Advancing tools to promote health equity across European Union regions: the EURO-HEALTHY project</w:t>
      </w:r>
    </w:p>
    <w:p>
      <w:pPr>
        <w:pStyle w:val="SourceNote"/>
      </w:pPr>
      <w:r>
        <w:rPr>
          <w:b/>
        </w:rPr>
        <w:t>Group ID:</w:t>
      </w:r>
      <w:r>
        <w:t xml:space="preserve"> group-3a8d42448ca9aa223c7a</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European cloud computing policy: failing in Europe to succeed nationally? — https://doi.org/10.1080/01402382.2025.2491962</w:t>
      </w:r>
    </w:p>
    <w:p>
      <w:pPr>
        <w:pStyle w:val="SourceNote"/>
      </w:pPr>
      <w:r>
        <w:rPr>
          <w:b/>
        </w:rPr>
        <w:t>Review status:</w:t>
      </w:r>
      <w:r>
        <w:t xml:space="preserve"> unchecked — possible relationship only</w:t>
      </w:r>
    </w:p>
    <w:p>
      <w:pPr>
        <w:pStyle w:val="Heading2"/>
      </w:pPr>
      <w:r>
        <w:t>74. Claim + two later sources: The Current Picture of the Transition to a Green Economy in the EU—Trends in Climate and Energy Policy versus State Security</w:t>
      </w:r>
    </w:p>
    <w:p>
      <w:pPr>
        <w:pStyle w:val="SourceNote"/>
      </w:pPr>
      <w:r>
        <w:rPr>
          <w:b/>
        </w:rPr>
        <w:t>Group ID:</w:t>
      </w:r>
      <w:r>
        <w:t xml:space="preserve"> group-db2185b55138101fdaa3</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The Communion of Protestant Churches in Europe and European integration — https://doi.org/10.31261/ssht.2025.58.1.05</w:t>
      </w:r>
    </w:p>
    <w:p>
      <w:pPr>
        <w:pStyle w:val="SourceNote"/>
      </w:pPr>
      <w:r>
        <w:rPr>
          <w:b/>
        </w:rPr>
        <w:t>Review status:</w:t>
      </w:r>
      <w:r>
        <w:t xml:space="preserve"> unchecked — possible relationship only</w:t>
      </w:r>
    </w:p>
    <w:p>
      <w:pPr>
        <w:pStyle w:val="Heading2"/>
      </w:pPr>
      <w:r>
        <w:t>75. Claim + two later sources: The European Union and Africa towards 2030: perspectives from transnational civil society organisations</w:t>
      </w:r>
    </w:p>
    <w:p>
      <w:pPr>
        <w:pStyle w:val="SourceNote"/>
      </w:pPr>
      <w:r>
        <w:rPr>
          <w:b/>
        </w:rPr>
        <w:t>Group ID:</w:t>
      </w:r>
      <w:r>
        <w:t xml:space="preserve"> group-f35aa9200ab8fc8e1fe3</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Map and Track the Performance in Education for Sustainable Development across the European Union — https://doi.org/10.3390/su132313185</w:t>
      </w:r>
    </w:p>
    <w:p>
      <w:pPr/>
      <w:r>
        <w:rPr>
          <w:b/>
        </w:rPr>
        <w:t>Later source:</w:t>
      </w:r>
      <w:r>
        <w:t xml:space="preserve"> Urban Food Waste: A Framework to Analyse Policies and Initiatives — https://doi.org/10.3390/resources9090099</w:t>
      </w:r>
    </w:p>
    <w:p>
      <w:pPr>
        <w:pStyle w:val="SourceNote"/>
      </w:pPr>
      <w:r>
        <w:rPr>
          <w:b/>
        </w:rPr>
        <w:t>Review status:</w:t>
      </w:r>
      <w:r>
        <w:t xml:space="preserve"> unchecked — possible relationship only</w:t>
      </w:r>
    </w:p>
    <w:p>
      <w:pPr>
        <w:pStyle w:val="Heading2"/>
      </w:pPr>
      <w:r>
        <w:t>76. Claim + two later sources: European cephalopods distribution under climate-change scenarios</w:t>
      </w:r>
    </w:p>
    <w:p>
      <w:pPr>
        <w:pStyle w:val="SourceNote"/>
      </w:pPr>
      <w:r>
        <w:rPr>
          <w:b/>
        </w:rPr>
        <w:t>Group ID:</w:t>
      </w:r>
      <w:r>
        <w:t xml:space="preserve"> group-9ab1ad1243f8e3380145</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Arterial hypertension–attributable mortality in Europe: implications for the Americas — https://doi.org/10.1097/hjh.0000000000004190</w:t>
      </w:r>
    </w:p>
    <w:p>
      <w:pPr/>
      <w:r>
        <w:rPr>
          <w:b/>
        </w:rPr>
        <w:t>Later source:</w:t>
      </w:r>
      <w:r>
        <w:t xml:space="preserve"> Understanding and addressing shortfalls in European wild bee data — https://doi.org/10.1016/j.biocon.2024.110455</w:t>
      </w:r>
    </w:p>
    <w:p>
      <w:pPr>
        <w:pStyle w:val="SourceNote"/>
      </w:pPr>
      <w:r>
        <w:rPr>
          <w:b/>
        </w:rPr>
        <w:t>Review status:</w:t>
      </w:r>
      <w:r>
        <w:t xml:space="preserve"> unchecked — possible relationship only</w:t>
      </w:r>
    </w:p>
    <w:p>
      <w:pPr>
        <w:pStyle w:val="Heading2"/>
      </w:pPr>
      <w:r>
        <w:t>77.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78. Claim + two later sources: How much can societal turning points affect forecasts’ accuracy in Europe? Case of post-communistic transformation in Slovakia and the Czech Republic</w:t>
      </w:r>
    </w:p>
    <w:p>
      <w:pPr>
        <w:pStyle w:val="SourceNote"/>
      </w:pPr>
      <w:r>
        <w:rPr>
          <w:b/>
        </w:rPr>
        <w:t>Group ID:</w:t>
      </w:r>
      <w:r>
        <w:t xml:space="preserve"> group-676c879cc7b0b929c888</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Ecospirituality in French-Speaking Europe: Linking Ecological Thought with Alternative Spirituality — https://doi.org/10.3390/rel14040510</w:t>
      </w:r>
    </w:p>
    <w:p>
      <w:pPr/>
      <w:r>
        <w:rPr>
          <w:b/>
        </w:rPr>
        <w:t>Later source:</w:t>
      </w:r>
      <w:r>
        <w:t xml:space="preserve"> Temporal PROMETHEE II — New multi-criteria approach to sustainable management of alternative fuels consumption — https://doi.org/10.1016/j.jclepro.2023.137445</w:t>
      </w:r>
    </w:p>
    <w:p>
      <w:pPr>
        <w:pStyle w:val="SourceNote"/>
      </w:pPr>
      <w:r>
        <w:rPr>
          <w:b/>
        </w:rPr>
        <w:t>Review status:</w:t>
      </w:r>
      <w:r>
        <w:t xml:space="preserve"> unchecked — possible relationship only</w:t>
      </w:r>
    </w:p>
    <w:p>
      <w:pPr>
        <w:pStyle w:val="Heading2"/>
      </w:pPr>
      <w:r>
        <w:t>79. Claim + two later sources: Macro Study of Global Electric Vehicle Expansion</w:t>
      </w:r>
    </w:p>
    <w:p>
      <w:pPr>
        <w:pStyle w:val="SourceNote"/>
      </w:pPr>
      <w:r>
        <w:rPr>
          <w:b/>
        </w:rPr>
        <w:t>Group ID:</w:t>
      </w:r>
      <w:r>
        <w:t xml:space="preserve"> group-a1f7a08080f4c507d7df</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Global trends in electric vehicle adoption and the impact of environmental awareness, user attributes, and barriers — https://doi.org/10.1016/j.egyr.2024.12.054</w:t>
      </w:r>
    </w:p>
    <w:p>
      <w:pPr/>
      <w:r>
        <w:rPr>
          <w:b/>
        </w:rPr>
        <w:t>Later source:</w:t>
      </w:r>
      <w:r>
        <w:t xml:space="preserve"> What has driven the adoption of BEV and PHEV in the EU? — https://doi.org/10.1016/j.rtbm.2025.101331</w:t>
      </w:r>
    </w:p>
    <w:p>
      <w:pPr>
        <w:pStyle w:val="SourceNote"/>
      </w:pPr>
      <w:r>
        <w:rPr>
          <w:b/>
        </w:rPr>
        <w:t>Review status:</w:t>
      </w:r>
      <w:r>
        <w:t xml:space="preserve"> unchecked — possible relationship only</w:t>
      </w:r>
    </w:p>
    <w:p>
      <w:pPr>
        <w:pStyle w:val="Heading2"/>
      </w:pPr>
      <w:r>
        <w:t>80. Claim + two later sources: The future of direct payments system in the EU agriculture; European Commission scenarios</w:t>
      </w:r>
    </w:p>
    <w:p>
      <w:pPr>
        <w:pStyle w:val="SourceNote"/>
      </w:pPr>
      <w:r>
        <w:rPr>
          <w:b/>
        </w:rPr>
        <w:t>Group ID:</w:t>
      </w:r>
      <w:r>
        <w:t xml:space="preserve"> group-9bb69da1d2f35ecd40bd</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Disinformation regarding COVID-19 in light of the priorities of the European Commission and the legal regulations binding and currently drafted in Poland — https://doi.org/10.31743/recl.13539</w:t>
      </w:r>
    </w:p>
    <w:p>
      <w:pPr/>
      <w:r>
        <w:rPr>
          <w:b/>
        </w:rPr>
        <w:t>Later source:</w:t>
      </w:r>
      <w:r>
        <w:t xml:space="preserve"> Judicial coherence in the current European patent system — https://doi.org/10.4337/9781800880078.00009</w:t>
      </w:r>
    </w:p>
    <w:p>
      <w:pPr>
        <w:pStyle w:val="SourceNote"/>
      </w:pPr>
      <w:r>
        <w:rPr>
          <w:b/>
        </w:rPr>
        <w:t>Review status:</w:t>
      </w:r>
      <w:r>
        <w:t xml:space="preserve"> unchecked — possible relationship only</w:t>
      </w:r>
    </w:p>
    <w:p>
      <w:pPr>
        <w:pStyle w:val="Heading2"/>
      </w:pPr>
      <w:r>
        <w:t>81. Claim + two later sources: Impacts of Scaling up Agroecology on the Sustainability of European Agriculture in 2050</w:t>
      </w:r>
    </w:p>
    <w:p>
      <w:pPr>
        <w:pStyle w:val="SourceNote"/>
      </w:pPr>
      <w:r>
        <w:rPr>
          <w:b/>
        </w:rPr>
        <w:t>Group ID:</w:t>
      </w:r>
      <w:r>
        <w:t xml:space="preserve"> group-3f68a680521e29b6af21</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Climate Change and Vector-Borne Diseases in Europe: Implications for Public Health and Environmental Sanitation Strategies — https://doi.org/10.3390/ijem1030010</w:t>
      </w:r>
    </w:p>
    <w:p>
      <w:pPr>
        <w:pStyle w:val="SourceNote"/>
      </w:pPr>
      <w:r>
        <w:rPr>
          <w:b/>
        </w:rPr>
        <w:t>Review status:</w:t>
      </w:r>
      <w:r>
        <w:t xml:space="preserve"> unchecked — possible relationship only</w:t>
      </w:r>
    </w:p>
    <w:p>
      <w:pPr>
        <w:pStyle w:val="Heading2"/>
      </w:pPr>
      <w:r>
        <w:t>82. Claim + two later sources: How to Achieve a Healthier and More Sustainable Europe by 2040 According to the Public? Results of a Five-Country Questionnaire Survey</w:t>
      </w:r>
    </w:p>
    <w:p>
      <w:pPr>
        <w:pStyle w:val="SourceNote"/>
      </w:pPr>
      <w:r>
        <w:rPr>
          <w:b/>
        </w:rPr>
        <w:t>Group ID:</w:t>
      </w:r>
      <w:r>
        <w:t xml:space="preserve"> group-2f5c77fae25c9ca47505</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Power, inclusion and the role of SMEs in European public procurement — https://doi.org/10.1108/jpbafm-06-2025-0169</w:t>
      </w:r>
    </w:p>
    <w:p>
      <w:pPr/>
      <w:r>
        <w:rPr>
          <w:b/>
        </w:rPr>
        <w:t>Later source:</w:t>
      </w:r>
      <w:r>
        <w:t xml:space="preserve"> CONTEMPORARY EUROPEAN CONCEPTS OF PUBLIC ADMINISTRATION IN THE CONTEXT OF DIGITAL TRANSFORMATION AND THEIR LEGAL FRAMEWORK — https://doi.org/10.36690/2674-5216-2025-1-99-109</w:t>
      </w:r>
    </w:p>
    <w:p>
      <w:pPr>
        <w:pStyle w:val="SourceNote"/>
      </w:pPr>
      <w:r>
        <w:rPr>
          <w:b/>
        </w:rPr>
        <w:t>Review status:</w:t>
      </w:r>
      <w:r>
        <w:t xml:space="preserve"> unchecked — possible relationship only</w:t>
      </w:r>
    </w:p>
    <w:p>
      <w:pPr>
        <w:pStyle w:val="Heading2"/>
      </w:pPr>
      <w:r>
        <w:t>83. Claim + two later sources: Environmental water quantity projections under market-driven and sustainability-driven future scenarios in the Narew basin, Poland</w:t>
      </w:r>
    </w:p>
    <w:p>
      <w:pPr>
        <w:pStyle w:val="SourceNote"/>
      </w:pPr>
      <w:r>
        <w:rPr>
          <w:b/>
        </w:rPr>
        <w:t>Group ID:</w:t>
      </w:r>
      <w:r>
        <w:t xml:space="preserve"> group-301ca16b19ca64fefcfb</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Assessing the quality of life in Central and Eastern Europe: a comparative analysis — https://doi.org/10.34659/eis.2026.96.1.1083</w:t>
      </w:r>
    </w:p>
    <w:p>
      <w:pPr/>
      <w:r>
        <w:rPr>
          <w:b/>
        </w:rPr>
        <w:t>Later source:</w:t>
      </w:r>
      <w:r>
        <w:t xml:space="preserve"> Repertoires of resistance: The right to feel in European radical climate movements — https://doi.org/10.1177/00113921261480606</w:t>
      </w:r>
    </w:p>
    <w:p>
      <w:pPr>
        <w:pStyle w:val="SourceNote"/>
      </w:pPr>
      <w:r>
        <w:rPr>
          <w:b/>
        </w:rPr>
        <w:t>Review status:</w:t>
      </w:r>
      <w:r>
        <w:t xml:space="preserve"> unchecked — possible relationship only</w:t>
      </w:r>
    </w:p>
    <w:p>
      <w:pPr>
        <w:pStyle w:val="Heading2"/>
      </w:pPr>
      <w:r>
        <w:t>84. Claim + two later sources: The geography of megatrends affecting European agriculture</w:t>
      </w:r>
    </w:p>
    <w:p>
      <w:pPr>
        <w:pStyle w:val="SourceNote"/>
      </w:pPr>
      <w:r>
        <w:rPr>
          <w:b/>
        </w:rPr>
        <w:t>Group ID:</w:t>
      </w:r>
      <w:r>
        <w:t xml:space="preserve"> group-26a0c03802b82a916526</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Foresight study for addressing megatrends in information and communication technology (ICT) — https://doi.org/10.1186/s13731-025-00466-z</w:t>
      </w:r>
    </w:p>
    <w:p>
      <w:pPr>
        <w:pStyle w:val="SourceNote"/>
      </w:pPr>
      <w:r>
        <w:rPr>
          <w:b/>
        </w:rPr>
        <w:t>Review status:</w:t>
      </w:r>
      <w:r>
        <w:t xml:space="preserve"> unchecked — possible relationship only</w:t>
      </w:r>
    </w:p>
    <w:p>
      <w:pPr>
        <w:pStyle w:val="Heading2"/>
      </w:pPr>
      <w:r>
        <w:t>85. Claim + two later sources: Towards a sustainable European energy system: Linking optimization models with multi-regional input-output analysis</w:t>
      </w:r>
    </w:p>
    <w:p>
      <w:pPr>
        <w:pStyle w:val="SourceNote"/>
      </w:pPr>
      <w:r>
        <w:rPr>
          <w:b/>
        </w:rPr>
        <w:t>Group ID:</w:t>
      </w:r>
      <w:r>
        <w:t xml:space="preserve"> group-4ab0fad9592172abd058</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Analysis of Two-Side Wood Joints Using the European Yield Model (EYM) Method Referring to SNI 7973:2013 — https://doi.org/10.38124/ijisrt/25dec821</w:t>
      </w:r>
    </w:p>
    <w:p>
      <w:pPr/>
      <w:r>
        <w:rPr>
          <w:b/>
        </w:rPr>
        <w:t>Later source:</w:t>
      </w:r>
      <w:r>
        <w:t xml:space="preserve"> Modeling and forecasting the spread of COVID-19 with stochastic and deterministic approaches: Africa and Europe — https://doi.org/10.1186/s13662-021-03213-2</w:t>
      </w:r>
    </w:p>
    <w:p>
      <w:pPr>
        <w:pStyle w:val="SourceNote"/>
      </w:pPr>
      <w:r>
        <w:rPr>
          <w:b/>
        </w:rPr>
        <w:t>Review status:</w:t>
      </w:r>
      <w:r>
        <w:t xml:space="preserve"> unchecked — possible relationship only</w:t>
      </w:r>
    </w:p>
    <w:p>
      <w:pPr>
        <w:pStyle w:val="Heading2"/>
      </w:pPr>
      <w:r>
        <w:t>86.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87. Claim + two later sources: The feasibility of a European‐wide integrated CO 2 transport network</w:t>
      </w:r>
    </w:p>
    <w:p>
      <w:pPr>
        <w:pStyle w:val="SourceNote"/>
      </w:pPr>
      <w:r>
        <w:rPr>
          <w:b/>
        </w:rPr>
        <w:t>Group ID:</w:t>
      </w:r>
      <w:r>
        <w:t xml:space="preserve"> group-b35cc20f80a221412a92</w:t>
      </w:r>
    </w:p>
    <w:p>
      <w:pPr>
        <w:pStyle w:val="SourceNote"/>
      </w:pPr>
      <w:r>
        <w:rPr>
          <w:b/>
        </w:rPr>
        <w:t>Original source:</w:t>
      </w:r>
      <w:r>
        <w:t xml:space="preserve"> https://doi.org/10.1002/ghg.1410</w:t>
      </w:r>
    </w:p>
    <w:p>
      <w:pPr/>
      <w:r>
        <w:rPr>
          <w:b/>
        </w:rPr>
        <w:t>Original future claim:</w:t>
      </w:r>
      <w:r>
        <w:t xml:space="preserve">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Towards climate neutrality in the European Union — https://doi.org/10.12681/ri.40696</w:t>
      </w:r>
    </w:p>
    <w:p>
      <w:pPr>
        <w:pStyle w:val="SourceNote"/>
      </w:pPr>
      <w:r>
        <w:rPr>
          <w:b/>
        </w:rPr>
        <w:t>Review status:</w:t>
      </w:r>
      <w:r>
        <w:t xml:space="preserve"> unchecked — possible relationship only</w:t>
      </w:r>
    </w:p>
    <w:p>
      <w:pPr>
        <w:pStyle w:val="Heading2"/>
      </w:pPr>
      <w:r>
        <w:t>88. Claim + two later sources: The future of financial markets and regulation: what strategy for Europe?</w:t>
      </w:r>
    </w:p>
    <w:p>
      <w:pPr>
        <w:pStyle w:val="SourceNote"/>
      </w:pPr>
      <w:r>
        <w:rPr>
          <w:b/>
        </w:rPr>
        <w:t>Group ID:</w:t>
      </w:r>
      <w:r>
        <w:t xml:space="preserve"> group-0d20b41634b760b49d67</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GLAM metadata in museums and university collections: a state-of-the-art (Spain and other European countries) — https://doi.org/10.1108/gkmc-06-2022-0133</w:t>
      </w:r>
    </w:p>
    <w:p>
      <w:pPr>
        <w:pStyle w:val="SourceNote"/>
      </w:pPr>
      <w:r>
        <w:rPr>
          <w:b/>
        </w:rPr>
        <w:t>Review status:</w:t>
      </w:r>
      <w:r>
        <w:t xml:space="preserve"> unchecked — possible relationship only</w:t>
      </w:r>
    </w:p>
    <w:p>
      <w:pPr>
        <w:pStyle w:val="Heading2"/>
      </w:pPr>
      <w:r>
        <w:t>89. Claim + two later sources: Will the real security foresight expert please stand up?</w:t>
      </w:r>
    </w:p>
    <w:p>
      <w:pPr>
        <w:pStyle w:val="SourceNote"/>
      </w:pPr>
      <w:r>
        <w:rPr>
          <w:b/>
        </w:rPr>
        <w:t>Group ID:</w:t>
      </w:r>
      <w:r>
        <w:t xml:space="preserve"> group-682d8cb78d526789bc1d</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A Comparative Review of Healthcare Systems in India, the Middle East, and Europe: Strengths, Weaknesses, and Lessons for Improvement — https://doi.org/10.25258/ijddt.16.38s.65</w:t>
      </w:r>
    </w:p>
    <w:p>
      <w:pPr/>
      <w:r>
        <w:rPr>
          <w:b/>
        </w:rPr>
        <w:t>Later source:</w:t>
      </w:r>
      <w:r>
        <w:t xml:space="preserve"> Language teaching in Europe: A comparative overview of pedagogical, theoretical and decolonial approaches from the region — https://openalex.org/W7208794743</w:t>
      </w:r>
    </w:p>
    <w:p>
      <w:pPr>
        <w:pStyle w:val="SourceNote"/>
      </w:pPr>
      <w:r>
        <w:rPr>
          <w:b/>
        </w:rPr>
        <w:t>Review status:</w:t>
      </w:r>
      <w:r>
        <w:t xml:space="preserve"> unchecked — possible relationship only</w:t>
      </w:r>
    </w:p>
    <w:p>
      <w:pPr>
        <w:pStyle w:val="Heading2"/>
      </w:pPr>
      <w:r>
        <w:t>90. Claim + two later sources: The state of democracy in the European Union in scenarios: federation, empire and Europe à la carte</w:t>
      </w:r>
    </w:p>
    <w:p>
      <w:pPr>
        <w:pStyle w:val="SourceNote"/>
      </w:pPr>
      <w:r>
        <w:rPr>
          <w:b/>
        </w:rPr>
        <w:t>Group ID:</w:t>
      </w:r>
      <w:r>
        <w:t xml:space="preserve"> group-c040f8b733696589f890</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The Communion of Protestant Churches in Europe and European integration — https://doi.org/10.31261/ssht.2025.58.1.05</w:t>
      </w:r>
    </w:p>
    <w:p>
      <w:pPr/>
      <w:r>
        <w:rPr>
          <w:b/>
        </w:rPr>
        <w:t>Later source:</w:t>
      </w:r>
      <w:r>
        <w:t xml:space="preserve"> Beyond dualism: the hybridization of technocracy and democracy in Europe — https://doi.org/10.1017/s1755773926100514</w:t>
      </w:r>
    </w:p>
    <w:p>
      <w:pPr>
        <w:pStyle w:val="SourceNote"/>
      </w:pPr>
      <w:r>
        <w:rPr>
          <w:b/>
        </w:rPr>
        <w:t>Review status:</w:t>
      </w:r>
      <w:r>
        <w:t xml:space="preserve"> unchecked — possible relationship only</w:t>
      </w:r>
    </w:p>
    <w:p>
      <w:pPr>
        <w:pStyle w:val="Heading2"/>
      </w:pPr>
      <w:r>
        <w:t>91. Claim + two later sources: Diverging hydrological drought traits over Europe with global warming</w:t>
      </w:r>
    </w:p>
    <w:p>
      <w:pPr>
        <w:pStyle w:val="SourceNote"/>
      </w:pPr>
      <w:r>
        <w:rPr>
          <w:b/>
        </w:rPr>
        <w:t>Group ID:</w:t>
      </w:r>
      <w:r>
        <w:t xml:space="preserve"> group-2bd5af1c28496cffa6ef</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Future changes in frequency and intensity of meteorological and hydrological droughts in Denmark — https://doi.org/10.5194/egusphere-egu26-5003</w:t>
      </w:r>
    </w:p>
    <w:p>
      <w:pPr/>
      <w:r>
        <w:rPr>
          <w:b/>
        </w:rPr>
        <w:t>Later source:</w:t>
      </w:r>
      <w:r>
        <w:t xml:space="preserve"> Hydrological drought but not flood synchronicity increases over Europe — https://doi.org/10.5194/egusphere-egu26-4770</w:t>
      </w:r>
    </w:p>
    <w:p>
      <w:pPr>
        <w:pStyle w:val="SourceNote"/>
      </w:pPr>
      <w:r>
        <w:rPr>
          <w:b/>
        </w:rPr>
        <w:t>Review status:</w:t>
      </w:r>
      <w:r>
        <w:t xml:space="preserve"> unchecked — possible relationship only</w:t>
      </w:r>
    </w:p>
    <w:p>
      <w:pPr>
        <w:pStyle w:val="Heading2"/>
      </w:pPr>
      <w:r>
        <w:t>92. Claim + two later sources: Climate, Energy – and Environment? Reconciliation of EU Environmental Law with the Implementation Realities of EU Climate Law</w:t>
      </w:r>
    </w:p>
    <w:p>
      <w:pPr>
        <w:pStyle w:val="SourceNote"/>
      </w:pPr>
      <w:r>
        <w:rPr>
          <w:b/>
        </w:rPr>
        <w:t>Group ID:</w:t>
      </w:r>
      <w:r>
        <w:t xml:space="preserve"> group-4585bdd3411c67ffa421</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Urban Planning and Environmental Protection in the Mirror of the Case Law of the European Court of Human Rights — https://doi.org/10.14207/ejsd.2026.v15n1p903</w:t>
      </w:r>
    </w:p>
    <w:p>
      <w:pPr/>
      <w:r>
        <w:rPr>
          <w:b/>
        </w:rPr>
        <w:t>Later source:</w:t>
      </w:r>
      <w:r>
        <w:t xml:space="preserve"> Analysis of the institutional arrangement for environmental protection in Georgia — https://doi.org/10.36962/nec21012026-118</w:t>
      </w:r>
    </w:p>
    <w:p>
      <w:pPr>
        <w:pStyle w:val="SourceNote"/>
      </w:pPr>
      <w:r>
        <w:rPr>
          <w:b/>
        </w:rPr>
        <w:t>Review status:</w:t>
      </w:r>
      <w:r>
        <w:t xml:space="preserve"> unchecked — possible relationship only</w:t>
      </w:r>
    </w:p>
    <w:p>
      <w:pPr>
        <w:pStyle w:val="Heading2"/>
      </w:pPr>
      <w:r>
        <w:t>93. Claim + two later sources: Population aging, migration, and productivity in Europe</w:t>
      </w:r>
    </w:p>
    <w:p>
      <w:pPr>
        <w:pStyle w:val="SourceNote"/>
      </w:pPr>
      <w:r>
        <w:rPr>
          <w:b/>
        </w:rPr>
        <w:t>Group ID:</w:t>
      </w:r>
      <w:r>
        <w:t xml:space="preserve"> group-8fc22b974ddb9e1f1064</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Policies of Plastic Use in European Countries — https://doi.org/10.1201/9781003387862-3</w:t>
      </w:r>
    </w:p>
    <w:p>
      <w:pPr/>
      <w:r>
        <w:rPr>
          <w:b/>
        </w:rPr>
        <w:t>Later source:</w:t>
      </w:r>
      <w:r>
        <w:t xml:space="preserve"> The value of national defense: Assessing public preferences for defense policy options — https://doi.org/10.1016/j.ejpoleco.2024.102595</w:t>
      </w:r>
    </w:p>
    <w:p>
      <w:pPr>
        <w:pStyle w:val="SourceNote"/>
      </w:pPr>
      <w:r>
        <w:rPr>
          <w:b/>
        </w:rPr>
        <w:t>Review status:</w:t>
      </w:r>
      <w:r>
        <w:t xml:space="preserve"> unchecked — possible relationship only</w:t>
      </w:r>
    </w:p>
    <w:p>
      <w:pPr>
        <w:pStyle w:val="Heading2"/>
      </w:pPr>
      <w:r>
        <w:t>94. Claim + two later sources: Future Scenarios of European Forests</w:t>
      </w:r>
    </w:p>
    <w:p>
      <w:pPr>
        <w:pStyle w:val="SourceNote"/>
      </w:pPr>
      <w:r>
        <w:rPr>
          <w:b/>
        </w:rPr>
        <w:t>Group ID:</w:t>
      </w:r>
      <w:r>
        <w:t xml:space="preserve"> group-c8f3fa111c945fdb9201</w:t>
      </w:r>
    </w:p>
    <w:p>
      <w:pPr>
        <w:pStyle w:val="SourceNote"/>
      </w:pPr>
      <w:r>
        <w:rPr>
          <w:b/>
        </w:rPr>
        <w:t>Original source:</w:t>
      </w:r>
      <w:r>
        <w:t xml:space="preserve"> https://doi.org/10.2478/jlecol-2018-0020</w:t>
      </w:r>
    </w:p>
    <w:p>
      <w:pPr/>
      <w:r>
        <w:rPr>
          <w:b/>
        </w:rPr>
        <w:t>Original future claim:</w:t>
      </w:r>
      <w:r>
        <w:t xml:space="preserve">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Contrasting mechanisms driving the northward expansion of African raptors in Europe — https://doi.org/10.1111/jzo.70124</w:t>
      </w:r>
    </w:p>
    <w:p>
      <w:pPr/>
      <w:r>
        <w:rPr>
          <w:b/>
        </w:rPr>
        <w:t>Later source:</w:t>
      </w:r>
      <w:r>
        <w:t xml:space="preserve"> A Climatology of Convective Precipitation over Europe — https://doi.org/10.1175/mwr-d-23-0156.1</w:t>
      </w:r>
    </w:p>
    <w:p>
      <w:pPr>
        <w:pStyle w:val="SourceNote"/>
      </w:pPr>
      <w:r>
        <w:rPr>
          <w:b/>
        </w:rPr>
        <w:t>Review status:</w:t>
      </w:r>
      <w:r>
        <w:t xml:space="preserve"> unchecked — possible relationship only</w:t>
      </w:r>
    </w:p>
    <w:p>
      <w:pPr>
        <w:pStyle w:val="Heading2"/>
      </w:pPr>
      <w:r>
        <w:t>95. Claim + two later sources: Understanding and enhancing future infrastructure resiliency: a socio‐ecological approach</w:t>
      </w:r>
    </w:p>
    <w:p>
      <w:pPr>
        <w:pStyle w:val="SourceNote"/>
      </w:pPr>
      <w:r>
        <w:rPr>
          <w:b/>
        </w:rPr>
        <w:t>Group ID:</w:t>
      </w:r>
      <w:r>
        <w:t xml:space="preserve"> group-d7306a7543f603a26d62</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Problematising philosophical assumptions in EE's Invisible College — https://doi.org/10.1108/ijebr-07-2021-0553</w:t>
      </w:r>
    </w:p>
    <w:p>
      <w:pPr/>
      <w:r>
        <w:rPr>
          <w:b/>
        </w:rPr>
        <w:t>Later source:</w:t>
      </w:r>
      <w:r>
        <w:t xml:space="preserve"> Explaining adults’ mental health help-seeking through the lens of the theory of planned behavior: a scoping review — https://doi.org/10.1186/s13643-022-02034-y</w:t>
      </w:r>
    </w:p>
    <w:p>
      <w:pPr>
        <w:pStyle w:val="SourceNote"/>
      </w:pPr>
      <w:r>
        <w:rPr>
          <w:b/>
        </w:rPr>
        <w:t>Review status:</w:t>
      </w:r>
      <w:r>
        <w:t xml:space="preserve"> unchecked — possible relationship only</w:t>
      </w:r>
    </w:p>
    <w:p>
      <w:pPr>
        <w:pStyle w:val="Heading2"/>
      </w:pPr>
      <w:r>
        <w:t>96. Claim + two later sources: The development of a system of «green» skills in the strategizing of labor resources of industrial enterprises</w:t>
      </w:r>
    </w:p>
    <w:p>
      <w:pPr>
        <w:pStyle w:val="SourceNote"/>
      </w:pPr>
      <w:r>
        <w:rPr>
          <w:b/>
        </w:rPr>
        <w:t>Group ID:</w:t>
      </w:r>
      <w:r>
        <w:t xml:space="preserve"> group-62566c3df3ae55e099fc</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Theory and Practice of Gas Consumption Forecasting in Planning the Development of Regional Gas Supply Systems — https://doi.org/10.1134/s1075700725700935</w:t>
      </w:r>
    </w:p>
    <w:p>
      <w:pPr/>
      <w:r>
        <w:rPr>
          <w:b/>
        </w:rPr>
        <w:t>Later source:</w:t>
      </w:r>
      <w:r>
        <w:t xml:space="preserve"> FORECASTS OF THE NUMBER OF CATTLE GRAZED ON PASTURES IN THE REPUBLIC OF KARAKALPAKSTAN — https://doi.org/10.5281/zenodo.21772231</w:t>
      </w:r>
    </w:p>
    <w:p>
      <w:pPr>
        <w:pStyle w:val="SourceNote"/>
      </w:pPr>
      <w:r>
        <w:rPr>
          <w:b/>
        </w:rPr>
        <w:t>Review status:</w:t>
      </w:r>
      <w:r>
        <w:t xml:space="preserve"> unchecked — possible relationship only</w:t>
      </w:r>
    </w:p>
    <w:p>
      <w:pPr>
        <w:pStyle w:val="Heading2"/>
      </w:pPr>
      <w:r>
        <w:t>97. Claim + two later sources: Carbon intensity of the Ukrainian industry: current state and foresight</w:t>
      </w:r>
    </w:p>
    <w:p>
      <w:pPr>
        <w:pStyle w:val="SourceNote"/>
      </w:pPr>
      <w:r>
        <w:rPr>
          <w:b/>
        </w:rPr>
        <w:t>Group ID:</w:t>
      </w:r>
      <w:r>
        <w:t xml:space="preserve"> group-b4853d718c2b36d0ceb9</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DIGITIZATION AS A TOOL FOR ENSURING THE PRESERVATION OF ARCHIVAL COLLECTIONS: CURRENT STATE AND PROSPECTS — https://doi.org/10.31073/istnauka202602-22</w:t>
      </w:r>
    </w:p>
    <w:p>
      <w:pPr/>
      <w:r>
        <w:rPr>
          <w:b/>
        </w:rPr>
        <w:t>Later source:</w:t>
      </w:r>
      <w:r>
        <w:t xml:space="preserve"> Towards the Necessary Decarbonization of Historic Buildings: A Review — https://doi.org/10.3390/en18030502</w:t>
      </w:r>
    </w:p>
    <w:p>
      <w:pPr>
        <w:pStyle w:val="SourceNote"/>
      </w:pPr>
      <w:r>
        <w:rPr>
          <w:b/>
        </w:rPr>
        <w:t>Review status:</w:t>
      </w:r>
      <w:r>
        <w:t xml:space="preserve"> unchecked — possible relationship only</w:t>
      </w:r>
    </w:p>
    <w:p>
      <w:pPr>
        <w:pStyle w:val="Heading2"/>
      </w:pPr>
      <w:r>
        <w:t>98. Claim + two later sources: Future Trajectories of Renewable Energy Consumption in the European Union</w:t>
      </w:r>
    </w:p>
    <w:p>
      <w:pPr>
        <w:pStyle w:val="SourceNote"/>
      </w:pPr>
      <w:r>
        <w:rPr>
          <w:b/>
        </w:rPr>
        <w:t>Group ID:</w:t>
      </w:r>
      <w:r>
        <w:t xml:space="preserve"> group-f3c1d7b959850276ac9d</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Bayesian Indirect Estimation of Historical Fertility in Europe and US Using Online Genealogical Data — https://doi.org/10.1177/00491241261463559</w:t>
      </w:r>
    </w:p>
    <w:p>
      <w:pPr/>
      <w:r>
        <w:rPr>
          <w:b/>
        </w:rPr>
        <w:t>Later source:</w:t>
      </w:r>
      <w:r>
        <w:t xml:space="preserve"> The Afro-European Energy Diplomacy, a Historical Reconstruction from 1973 to 2007 — https://doi.org/10.59569/jceeas.2023.3.1.137</w:t>
      </w:r>
    </w:p>
    <w:p>
      <w:pPr>
        <w:pStyle w:val="SourceNote"/>
      </w:pPr>
      <w:r>
        <w:rPr>
          <w:b/>
        </w:rPr>
        <w:t>Review status:</w:t>
      </w:r>
      <w:r>
        <w:t xml:space="preserve"> unchecked — possible relationship only</w:t>
      </w:r>
    </w:p>
    <w:p>
      <w:pPr>
        <w:pStyle w:val="Heading2"/>
      </w:pPr>
      <w:r>
        <w:t>99. Claim + two later sources: Polish and Ukrainian foresight into the directions for the innovation of power plants</w:t>
      </w:r>
    </w:p>
    <w:p>
      <w:pPr>
        <w:pStyle w:val="SourceNote"/>
      </w:pPr>
      <w:r>
        <w:rPr>
          <w:b/>
        </w:rPr>
        <w:t>Group ID:</w:t>
      </w:r>
      <w:r>
        <w:t xml:space="preserve"> group-630133c9983606e0fcf6</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Feasibility Model for Establishing and Implementing Smart Insurance Using a Hybrid Approach — https://openalex.org/W7217145713</w:t>
      </w:r>
    </w:p>
    <w:p>
      <w:pPr/>
      <w:r>
        <w:rPr>
          <w:b/>
        </w:rPr>
        <w:t>Later source:</w:t>
      </w:r>
      <w:r>
        <w:t xml:space="preserve"> A comprehensive review of planting approaches used to establish willow for environmental applications — https://doi.org/10.1016/j.ecoleng.2024.107288</w:t>
      </w:r>
    </w:p>
    <w:p>
      <w:pPr>
        <w:pStyle w:val="SourceNote"/>
      </w:pPr>
      <w:r>
        <w:rPr>
          <w:b/>
        </w:rPr>
        <w:t>Review status:</w:t>
      </w:r>
      <w:r>
        <w:t xml:space="preserve"> unchecked — possible relationship only</w:t>
      </w:r>
    </w:p>
    <w:p>
      <w:pPr>
        <w:pStyle w:val="Heading2"/>
      </w:pPr>
      <w:r>
        <w:t>100. Claim + two later sources: European Water Footprint Scenarios for 2050</w:t>
      </w:r>
    </w:p>
    <w:p>
      <w:pPr>
        <w:pStyle w:val="SourceNote"/>
      </w:pPr>
      <w:r>
        <w:rPr>
          <w:b/>
        </w:rPr>
        <w:t>Group ID:</w:t>
      </w:r>
      <w:r>
        <w:t xml:space="preserve"> group-80b2f854bde16e217291</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The water–agriculture–food nexus in Europe: a governance perspective — https://openalex.org/W7205710043</w:t>
      </w:r>
    </w:p>
    <w:p>
      <w:pPr/>
      <w:r>
        <w:rPr>
          <w:b/>
        </w:rPr>
        <w:t>Later source:</w:t>
      </w:r>
      <w:r>
        <w:t xml:space="preserve"> Blue and Green Water Footprint disparities of European households: A spatial structural decomposition analysis approach — https://doi.org/10.5194/egusphere-egu25-18436</w:t>
      </w:r>
    </w:p>
    <w:p>
      <w:pPr>
        <w:pStyle w:val="SourceNote"/>
      </w:pPr>
      <w:r>
        <w:rPr>
          <w:b/>
        </w:rPr>
        <w:t>Review status:</w:t>
      </w:r>
      <w:r>
        <w:t xml:space="preserve"> unchecked — possible relationship only</w:t>
      </w:r>
    </w:p>
    <w:p>
      <w:pPr>
        <w:pStyle w:val="Heading2"/>
      </w:pPr>
      <w:r>
        <w:t>101. Claim + two later sources: Nutrient criteria for surface waters under the European Water Framework Directive: Current state-of-the-art, challenges and future outlook</w:t>
      </w:r>
    </w:p>
    <w:p>
      <w:pPr>
        <w:pStyle w:val="SourceNote"/>
      </w:pPr>
      <w:r>
        <w:rPr>
          <w:b/>
        </w:rPr>
        <w:t>Group ID:</w:t>
      </w:r>
      <w:r>
        <w:t xml:space="preserve"> group-2e381e0450e359d57db2</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Agriculture Contributions to Water Pollution and Sustainable Policy Solutions in Europe — https://doi.org/10.3390/earth7040115</w:t>
      </w:r>
    </w:p>
    <w:p>
      <w:pPr/>
      <w:r>
        <w:rPr>
          <w:b/>
        </w:rPr>
        <w:t>Later source:</w:t>
      </w:r>
      <w:r>
        <w:t xml:space="preserve"> A conceptual model for enabling sustainable management of soil-sediment-water ecosystems in support of European policy — https://doi.org/10.14321/aehm.026.02.063</w:t>
      </w:r>
    </w:p>
    <w:p>
      <w:pPr>
        <w:pStyle w:val="SourceNote"/>
      </w:pPr>
      <w:r>
        <w:rPr>
          <w:b/>
        </w:rPr>
        <w:t>Review status:</w:t>
      </w:r>
      <w:r>
        <w:t xml:space="preserve"> unchecked — possible relationship only</w:t>
      </w:r>
    </w:p>
    <w:p>
      <w:pPr>
        <w:pStyle w:val="Heading2"/>
      </w:pPr>
      <w:r>
        <w:t>102. Claim + two later sources: Burden of Stroke in Europe</w:t>
      </w:r>
    </w:p>
    <w:p>
      <w:pPr>
        <w:pStyle w:val="SourceNote"/>
      </w:pPr>
      <w:r>
        <w:rPr>
          <w:b/>
        </w:rPr>
        <w:t>Group ID:</w:t>
      </w:r>
      <w:r>
        <w:t xml:space="preserve"> group-a7351308f4980eaa66ed</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Estimating the burden of vitiligo: a systematic review and modelling study — https://doi.org/10.1016/s2468-2667(24)00026-4</w:t>
      </w:r>
    </w:p>
    <w:p>
      <w:pPr/>
      <w:r>
        <w:rPr>
          <w:b/>
        </w:rPr>
        <w:t>Later source:</w:t>
      </w:r>
      <w:r>
        <w:t xml:space="preserve"> The incidence and prevalence of IgA nephropathy in Europe — https://doi.org/10.1093/ndt/gfad082</w:t>
      </w:r>
    </w:p>
    <w:p>
      <w:pPr>
        <w:pStyle w:val="SourceNote"/>
      </w:pPr>
      <w:r>
        <w:rPr>
          <w:b/>
        </w:rPr>
        <w:t>Review status:</w:t>
      </w:r>
      <w:r>
        <w:t xml:space="preserve"> unchecked — possible relationship only</w:t>
      </w:r>
    </w:p>
    <w:p>
      <w:pPr>
        <w:pStyle w:val="Heading2"/>
      </w:pPr>
      <w:r>
        <w:t>103. Claim + two later sources: Ukrainian Migration Aspirations towards Germany: Analysis and Development Scenarios</w:t>
      </w:r>
    </w:p>
    <w:p>
      <w:pPr>
        <w:pStyle w:val="SourceNote"/>
      </w:pPr>
      <w:r>
        <w:rPr>
          <w:b/>
        </w:rPr>
        <w:t>Group ID:</w:t>
      </w:r>
      <w:r>
        <w:t xml:space="preserve"> group-99b92cc8468381e1ee49</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Signal-Based Trading Strategy for SPY ETF: A Multiple Linear Regression Approach — https://doi.org/10.70693/rwsk.v1i2.552</w:t>
      </w:r>
    </w:p>
    <w:p>
      <w:pPr/>
      <w:r>
        <w:rPr>
          <w:b/>
        </w:rPr>
        <w:t>Later source:</w:t>
      </w:r>
      <w:r>
        <w:t xml:space="preserve"> Development of Multiple Linear Regression Models for Predicting Chronic Iron Toxicity to Aquatic Organisms — https://doi.org/10.1002/etc.5623</w:t>
      </w:r>
    </w:p>
    <w:p>
      <w:pPr>
        <w:pStyle w:val="SourceNote"/>
      </w:pPr>
      <w:r>
        <w:rPr>
          <w:b/>
        </w:rPr>
        <w:t>Review status:</w:t>
      </w:r>
      <w:r>
        <w:t xml:space="preserve"> unchecked — possible relationship only</w:t>
      </w:r>
    </w:p>
    <w:p>
      <w:pPr>
        <w:pStyle w:val="Heading2"/>
      </w:pPr>
      <w:r>
        <w:t>104. Claim + two later sources: Forecasting the Volatility of European Union Allowance Futures with Climate Policy Uncertainty Using the EGARCH-MIDAS Model</w:t>
      </w:r>
    </w:p>
    <w:p>
      <w:pPr>
        <w:pStyle w:val="SourceNote"/>
      </w:pPr>
      <w:r>
        <w:rPr>
          <w:b/>
        </w:rPr>
        <w:t>Group ID:</w:t>
      </w:r>
      <w:r>
        <w:t xml:space="preserve"> group-bddcce5bc28e3799d12f</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EUROPEAN ASSESSMENT OF COASTAL FLOOD HAZARDS — https://doi.org/10.9753/icce.v38.management.202</w:t>
      </w:r>
    </w:p>
    <w:p>
      <w:pPr/>
      <w:r>
        <w:rPr>
          <w:b/>
        </w:rPr>
        <w:t>Later source:</w:t>
      </w:r>
      <w:r>
        <w:t xml:space="preserve"> Stuck in the waiting room: citizen experiences of administrative limbo in three European crises — https://doi.org/10.1093/jopart/muaf017</w:t>
      </w:r>
    </w:p>
    <w:p>
      <w:pPr>
        <w:pStyle w:val="SourceNote"/>
      </w:pPr>
      <w:r>
        <w:rPr>
          <w:b/>
        </w:rPr>
        <w:t>Review status:</w:t>
      </w:r>
      <w:r>
        <w:t xml:space="preserve"> unchecked — possible relationship only</w:t>
      </w:r>
    </w:p>
    <w:p>
      <w:pPr>
        <w:pStyle w:val="Heading2"/>
      </w:pPr>
      <w:r>
        <w:t>105. Claim + two later sources: From flood science to flood policy: the Foresight Future Flooding project seven years on</w:t>
      </w:r>
    </w:p>
    <w:p>
      <w:pPr>
        <w:pStyle w:val="SourceNote"/>
      </w:pPr>
      <w:r>
        <w:rPr>
          <w:b/>
        </w:rPr>
        <w:t>Group ID:</w:t>
      </w:r>
      <w:r>
        <w:t xml:space="preserve"> group-e1c37d445bc27122b5cc</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Eye of Europe Foresight Training Manual — https://openalex.org/W7220785974</w:t>
      </w:r>
    </w:p>
    <w:p>
      <w:pPr/>
      <w:r>
        <w:rPr>
          <w:b/>
        </w:rPr>
        <w:t>Later source:</w:t>
      </w:r>
      <w:r>
        <w:t xml:space="preserve"> (Re)envisioning inclusive futures: Applying narrative foresight to deconstruct the problem of urban flooding in the slums of Bengaluru, India — https://doi.org/10.1111/dpr.12786</w:t>
      </w:r>
    </w:p>
    <w:p>
      <w:pPr>
        <w:pStyle w:val="SourceNote"/>
      </w:pPr>
      <w:r>
        <w:rPr>
          <w:b/>
        </w:rPr>
        <w:t>Review status:</w:t>
      </w:r>
      <w:r>
        <w:t xml:space="preserve"> unchecked — possible relationship only</w:t>
      </w:r>
    </w:p>
    <w:p>
      <w:pPr>
        <w:pStyle w:val="Heading2"/>
      </w:pPr>
      <w:r>
        <w:t>106. Claim + two later sources: Immigration and integration scenarios in global Europe: Forward-looking up to 2050</w:t>
      </w:r>
    </w:p>
    <w:p>
      <w:pPr>
        <w:pStyle w:val="SourceNote"/>
      </w:pPr>
      <w:r>
        <w:rPr>
          <w:b/>
        </w:rPr>
        <w:t>Group ID:</w:t>
      </w:r>
      <w:r>
        <w:t xml:space="preserve"> group-bb66fd488b049262bfba</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A.M. Pankratova on Pan-European tendencies in historical scholarship in Western Europe in the Mid-20th century — https://doi.org/10.55959/msu0130-0083-8-2025-66-5-107-123</w:t>
      </w:r>
    </w:p>
    <w:p>
      <w:pPr>
        <w:pStyle w:val="SourceNote"/>
      </w:pPr>
      <w:r>
        <w:rPr>
          <w:b/>
        </w:rPr>
        <w:t>Review status:</w:t>
      </w:r>
      <w:r>
        <w:t xml:space="preserve"> unchecked — possible relationship only</w:t>
      </w:r>
    </w:p>
    <w:p>
      <w:pPr>
        <w:pStyle w:val="Heading2"/>
      </w:pPr>
      <w:r>
        <w:t>107. Claim + two later sources: Materials for Sustainable Nuclear Energy: A European Strategic Research and Innovation Agenda for All Reactor Generations</w:t>
      </w:r>
    </w:p>
    <w:p>
      <w:pPr>
        <w:pStyle w:val="SourceNote"/>
      </w:pPr>
      <w:r>
        <w:rPr>
          <w:b/>
        </w:rPr>
        <w:t>Group ID:</w:t>
      </w:r>
      <w:r>
        <w:t xml:space="preserve"> group-e254d4a28bf3c0286ab3</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Thorium as an Advanced Nuclear Fuel: Enhancing Supply-Chain Resilience for the Energy Transition — https://doi.org/10.2118/233268-ms</w:t>
      </w:r>
    </w:p>
    <w:p>
      <w:pPr/>
      <w:r>
        <w:rPr>
          <w:b/>
        </w:rPr>
        <w:t>Later source:</w:t>
      </w:r>
      <w:r>
        <w:t xml:space="preserve"> RETRACTED: Green energy policies and energy poverty in Europe: Assessing low carbon dependency and energy productivity — https://doi.org/10.1016/j.eneco.2024.107677</w:t>
      </w:r>
    </w:p>
    <w:p>
      <w:pPr>
        <w:pStyle w:val="SourceNote"/>
      </w:pPr>
      <w:r>
        <w:rPr>
          <w:b/>
        </w:rPr>
        <w:t>Review status:</w:t>
      </w:r>
      <w:r>
        <w:t xml:space="preserve"> unchecked — possible relationship only</w:t>
      </w:r>
    </w:p>
    <w:p>
      <w:pPr>
        <w:pStyle w:val="Heading2"/>
      </w:pPr>
      <w:r>
        <w:t>108. Claim + two later sources: Microgrids: Enhancing the Resilience of the European Megagrid</w:t>
      </w:r>
    </w:p>
    <w:p>
      <w:pPr>
        <w:pStyle w:val="SourceNote"/>
      </w:pPr>
      <w:r>
        <w:rPr>
          <w:b/>
        </w:rPr>
        <w:t>Group ID:</w:t>
      </w:r>
      <w:r>
        <w:t xml:space="preserve"> group-2539ee44188950dd5cf7</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Climate change impacts on European electricity demand and supply until 2100 — https://doi.org/10.1016/j.isci.2026.116818</w:t>
      </w:r>
    </w:p>
    <w:p>
      <w:pPr/>
      <w:r>
        <w:rPr>
          <w:b/>
        </w:rPr>
        <w:t>Later source:</w:t>
      </w:r>
      <w:r>
        <w:t xml:space="preserve"> Future electricity demand for Europe: Unraveling the dynamics of the Temperature Response Function — https://doi.org/10.1016/j.apenergy.2024.123387</w:t>
      </w:r>
    </w:p>
    <w:p>
      <w:pPr>
        <w:pStyle w:val="SourceNote"/>
      </w:pPr>
      <w:r>
        <w:rPr>
          <w:b/>
        </w:rPr>
        <w:t>Review status:</w:t>
      </w:r>
      <w:r>
        <w:t xml:space="preserve"> unchecked — possible relationship only</w:t>
      </w:r>
    </w:p>
    <w:p>
      <w:pPr>
        <w:pStyle w:val="Heading2"/>
      </w:pPr>
      <w:r>
        <w:t>109. Claim + two later sources: Argentinian Energy Landscapes - Case Study of the Neo-Carbon Energy Project</w:t>
      </w:r>
    </w:p>
    <w:p>
      <w:pPr>
        <w:pStyle w:val="SourceNote"/>
      </w:pPr>
      <w:r>
        <w:rPr>
          <w:b/>
        </w:rPr>
        <w:t>Group ID:</w:t>
      </w:r>
      <w:r>
        <w:t xml:space="preserve"> group-25172e1f992eca516554</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learners — https://doi.org/10.4324/9781003588924-6</w:t>
      </w:r>
    </w:p>
    <w:p>
      <w:pPr/>
      <w:r>
        <w:rPr>
          <w:b/>
        </w:rPr>
        <w:t>Later source:</w:t>
      </w:r>
      <w:r>
        <w:t xml:space="preserve"> Does Value Lead to Loyalty? Exploring the Important Role of the Tourist–Destination Relationship — https://doi.org/10.3390/bs12050136</w:t>
      </w:r>
    </w:p>
    <w:p>
      <w:pPr>
        <w:pStyle w:val="SourceNote"/>
      </w:pPr>
      <w:r>
        <w:rPr>
          <w:b/>
        </w:rPr>
        <w:t>Review status:</w:t>
      </w:r>
      <w:r>
        <w:t xml:space="preserve"> unchecked — possible relationship only</w:t>
      </w:r>
    </w:p>
    <w:p>
      <w:pPr>
        <w:pStyle w:val="Heading2"/>
      </w:pPr>
      <w:r>
        <w:t>110. Claim + two later sources: Scenario analysis for nutrient emission reduction in the European inland waters</w:t>
      </w:r>
    </w:p>
    <w:p>
      <w:pPr>
        <w:pStyle w:val="SourceNote"/>
      </w:pPr>
      <w:r>
        <w:rPr>
          <w:b/>
        </w:rPr>
        <w:t>Group ID:</w:t>
      </w:r>
      <w:r>
        <w:t xml:space="preserve"> group-7bd53eedeaca0a59e9b0</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Chemical Profile and Bioactivity Evaluation of Salvia Species from Eastern Europe — https://doi.org/10.3390/antiox12081514</w:t>
      </w:r>
    </w:p>
    <w:p>
      <w:pPr/>
      <w:r>
        <w:rPr>
          <w:b/>
        </w:rPr>
        <w:t>Later source:</w:t>
      </w:r>
      <w:r>
        <w:t xml:space="preserve"> Towards an “Evaluation Dilemmas Model” – designing an evaluation scheme for a European capital of culture — https://doi.org/10.1108/aam-09-2021-0046</w:t>
      </w:r>
    </w:p>
    <w:p>
      <w:pPr>
        <w:pStyle w:val="SourceNote"/>
      </w:pPr>
      <w:r>
        <w:rPr>
          <w:b/>
        </w:rPr>
        <w:t>Review status:</w:t>
      </w:r>
      <w:r>
        <w:t xml:space="preserve"> unchecked — possible relationship only</w:t>
      </w:r>
    </w:p>
    <w:p>
      <w:pPr>
        <w:pStyle w:val="Heading2"/>
      </w:pPr>
      <w:r>
        <w:t>111.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group-f08c3ab8ea71557c9f12</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Spatio-Temporal Diagnostics Reveal Early Signals of Sand Fly Range Shift in Europe — https://doi.org/10.5194/egusphere-egu26-18432</w:t>
      </w:r>
    </w:p>
    <w:p>
      <w:pPr>
        <w:pStyle w:val="SourceNote"/>
      </w:pPr>
      <w:r>
        <w:rPr>
          <w:b/>
        </w:rPr>
        <w:t>Review status:</w:t>
      </w:r>
      <w:r>
        <w:t xml:space="preserve"> unchecked — possible relationship only</w:t>
      </w:r>
    </w:p>
    <w:p>
      <w:pPr>
        <w:pStyle w:val="Heading2"/>
      </w:pPr>
      <w:r>
        <w:t>112. Claim + two later sources: A Foresight Study of European East-West Agrifood Trade Options</w:t>
      </w:r>
    </w:p>
    <w:p>
      <w:pPr>
        <w:pStyle w:val="SourceNote"/>
      </w:pPr>
      <w:r>
        <w:rPr>
          <w:b/>
        </w:rPr>
        <w:t>Group ID:</w:t>
      </w:r>
      <w:r>
        <w:t xml:space="preserve"> group-8b089d8d14083da67a3d</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The European Union Green Deal and Global Trade: A Constructivist Perspective on Sustainability Norms — https://doi.org/10.22146/jwts.v10i1.18729</w:t>
      </w:r>
    </w:p>
    <w:p>
      <w:pPr/>
      <w:r>
        <w:rPr>
          <w:b/>
        </w:rPr>
        <w:t>Later source:</w:t>
      </w:r>
      <w:r>
        <w:t xml:space="preserve"> Portuguese Agrifood Sector Resilience: An Analysis Using Structural Breaks Applied to International Trade — https://doi.org/10.3390/agriculture13091699</w:t>
      </w:r>
    </w:p>
    <w:p>
      <w:pPr>
        <w:pStyle w:val="SourceNote"/>
      </w:pPr>
      <w:r>
        <w:rPr>
          <w:b/>
        </w:rPr>
        <w:t>Review status:</w:t>
      </w:r>
      <w:r>
        <w:t xml:space="preserve"> unchecked — possible relationship only</w:t>
      </w:r>
    </w:p>
    <w:p>
      <w:pPr>
        <w:pStyle w:val="Heading2"/>
      </w:pPr>
      <w:r>
        <w:t>113. Claim + two later sources: Alpine Tundra Contraction under Future Warming Scenarios in Europe</w:t>
      </w:r>
    </w:p>
    <w:p>
      <w:pPr>
        <w:pStyle w:val="SourceNote"/>
      </w:pPr>
      <w:r>
        <w:rPr>
          <w:b/>
        </w:rPr>
        <w:t>Group ID:</w:t>
      </w:r>
      <w:r>
        <w:t xml:space="preserve"> group-bb4c74fe62ea02d88bf8</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Investigating the future urban climates of European cities using an ensemble of convection permitting regional climate models — https://doi.org/10.5194/egusphere-egu25-1307</w:t>
      </w:r>
    </w:p>
    <w:p>
      <w:pPr/>
      <w:r>
        <w:rPr>
          <w:b/>
        </w:rPr>
        <w:t>Later source:</w:t>
      </w:r>
      <w:r>
        <w:t xml:space="preserve"> Local Climate Risks in sight of realistic climate targets: Projecting Co-occurrence of Heat Extremes in Central Europe Using Downscaled CMIP6 and Regional Scenarios — https://doi.org/10.5194/ems2025-241</w:t>
      </w:r>
    </w:p>
    <w:p>
      <w:pPr>
        <w:pStyle w:val="SourceNote"/>
      </w:pPr>
      <w:r>
        <w:rPr>
          <w:b/>
        </w:rPr>
        <w:t>Review status:</w:t>
      </w:r>
      <w:r>
        <w:t xml:space="preserve"> unchecked — possible relationship only</w:t>
      </w:r>
    </w:p>
    <w:p>
      <w:pPr>
        <w:pStyle w:val="Heading2"/>
      </w:pPr>
      <w:r>
        <w:t>114. Claim + two later sources: Ocean energy development in Europe: Current status and future perspectives</w:t>
      </w:r>
    </w:p>
    <w:p>
      <w:pPr>
        <w:pStyle w:val="SourceNote"/>
      </w:pPr>
      <w:r>
        <w:rPr>
          <w:b/>
        </w:rPr>
        <w:t>Group ID:</w:t>
      </w:r>
      <w:r>
        <w:t xml:space="preserve"> group-11a5c38078c049177dde</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Observations from structural testing of full-scale tidal turbine blades — https://doi.org/10.36688/ewtec-2023-277</w:t>
      </w:r>
    </w:p>
    <w:p>
      <w:pPr/>
      <w:r>
        <w:rPr>
          <w:b/>
        </w:rPr>
        <w:t>Later source:</w:t>
      </w:r>
      <w:r>
        <w:t xml:space="preserve"> Review and assessment of the German tidal energy resource — https://doi.org/10.1007/s40722-023-00309-7</w:t>
      </w:r>
    </w:p>
    <w:p>
      <w:pPr>
        <w:pStyle w:val="SourceNote"/>
      </w:pPr>
      <w:r>
        <w:rPr>
          <w:b/>
        </w:rPr>
        <w:t>Review status:</w:t>
      </w:r>
      <w:r>
        <w:t xml:space="preserve"> unchecked — possible relationship only</w:t>
      </w:r>
    </w:p>
    <w:p>
      <w:pPr>
        <w:pStyle w:val="Heading2"/>
      </w:pPr>
      <w:r>
        <w:t>115. Claim + two later sources: Connected and Automated Transport: Research and Innovation Capacity in Europe</w:t>
      </w:r>
    </w:p>
    <w:p>
      <w:pPr>
        <w:pStyle w:val="SourceNote"/>
      </w:pPr>
      <w:r>
        <w:rPr>
          <w:b/>
        </w:rPr>
        <w:t>Group ID:</w:t>
      </w:r>
      <w:r>
        <w:t xml:space="preserve"> group-90cf60f26b65ecade019</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Unlocking public infrastructures? State aid and the common European data space — https://doi.org/10.1177/02673231241290675</w:t>
      </w:r>
    </w:p>
    <w:p>
      <w:pPr>
        <w:pStyle w:val="SourceNote"/>
      </w:pPr>
      <w:r>
        <w:rPr>
          <w:b/>
        </w:rPr>
        <w:t>Review status:</w:t>
      </w:r>
      <w:r>
        <w:t xml:space="preserve"> unchecked — possible relationship only</w:t>
      </w:r>
    </w:p>
    <w:p>
      <w:pPr>
        <w:pStyle w:val="Heading2"/>
      </w:pPr>
      <w:r>
        <w:t>116. Claim + two later sources: Implications of sustainability constraints on UK bioenergy development: Assessing optimistic and precautionary approaches with UK MARKAL</w:t>
      </w:r>
    </w:p>
    <w:p>
      <w:pPr>
        <w:pStyle w:val="SourceNote"/>
      </w:pPr>
      <w:r>
        <w:rPr>
          <w:b/>
        </w:rPr>
        <w:t>Group ID:</w:t>
      </w:r>
      <w:r>
        <w:t xml:space="preserve"> group-0cb202f1a992d3c1b9ed</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Examining research systems and models for local government: a systematic review — https://doi.org/10.1332/17442648y2023d000000002</w:t>
      </w:r>
    </w:p>
    <w:p>
      <w:pPr/>
      <w:r>
        <w:rPr>
          <w:b/>
        </w:rPr>
        <w:t>Later source:</w:t>
      </w:r>
      <w:r>
        <w:t xml:space="preserve"> Are Black Girls Exhibiting Puberty Earlier? Examining Implications of Race-Based Guidelines — https://doi.org/10.1542/peds.2021-055595</w:t>
      </w:r>
    </w:p>
    <w:p>
      <w:pPr>
        <w:pStyle w:val="SourceNote"/>
      </w:pPr>
      <w:r>
        <w:rPr>
          <w:b/>
        </w:rPr>
        <w:t>Review status:</w:t>
      </w:r>
      <w:r>
        <w:t xml:space="preserve"> unchecked — possible relationship only</w:t>
      </w:r>
    </w:p>
    <w:p>
      <w:pPr>
        <w:pStyle w:val="Heading2"/>
      </w:pPr>
      <w:r>
        <w:t>117. Claim + two later sources: Testing Scenarios to Achieve Workplace Sustainability Goals Using Backcasting and Agent-Based Modeling</w:t>
      </w:r>
    </w:p>
    <w:p>
      <w:pPr>
        <w:pStyle w:val="SourceNote"/>
      </w:pPr>
      <w:r>
        <w:rPr>
          <w:b/>
        </w:rPr>
        <w:t>Group ID:</w:t>
      </w:r>
      <w:r>
        <w:t xml:space="preserve"> group-433f8575cf4fdeb7dd8a</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Advancing participatory backcasting for climate change adaptation planning using 10 cases from 3 continents — https://doi.org/10.1016/j.crm.2023.100559</w:t>
      </w:r>
    </w:p>
    <w:p>
      <w:pPr/>
      <w:r>
        <w:rPr>
          <w:b/>
        </w:rPr>
        <w:t>Later source:</w:t>
      </w:r>
      <w:r>
        <w:t xml:space="preserve"> How to Create Serious Games? Proposal for a Participatory Methodology — https://doi.org/10.17083/ijsg.v10i4.642</w:t>
      </w:r>
    </w:p>
    <w:p>
      <w:pPr>
        <w:pStyle w:val="SourceNote"/>
      </w:pPr>
      <w:r>
        <w:rPr>
          <w:b/>
        </w:rPr>
        <w:t>Review status:</w:t>
      </w:r>
      <w:r>
        <w:t xml:space="preserve"> unchecked — possible relationship only</w:t>
      </w:r>
    </w:p>
    <w:p>
      <w:pPr>
        <w:pStyle w:val="Heading2"/>
      </w:pPr>
      <w:r>
        <w:t>118. Claim + two later sources: Changing knowledge, changing technology: implications for teacher education futures</w:t>
      </w:r>
    </w:p>
    <w:p>
      <w:pPr>
        <w:pStyle w:val="SourceNote"/>
      </w:pPr>
      <w:r>
        <w:rPr>
          <w:b/>
        </w:rPr>
        <w:t>Group ID:</w:t>
      </w:r>
      <w:r>
        <w:t xml:space="preserve"> group-67cb365fc9f3128c5fd5</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r>
        <w:rPr>
          <w:b/>
        </w:rPr>
        <w:t>Later source:</w:t>
      </w:r>
      <w:r>
        <w:t xml:space="preserve"> Towards a harmonised data framework for design for disassembly in construction — https://doi.org/10.5281/zenodo.22679835</w:t>
      </w:r>
    </w:p>
    <w:p>
      <w:pPr>
        <w:pStyle w:val="SourceNote"/>
      </w:pPr>
      <w:r>
        <w:rPr>
          <w:b/>
        </w:rPr>
        <w:t>Review status:</w:t>
      </w:r>
      <w:r>
        <w:t xml:space="preserve"> unchecked — possible relationship only</w:t>
      </w:r>
    </w:p>
    <w:p>
      <w:pPr>
        <w:pStyle w:val="Heading2"/>
      </w:pPr>
      <w:r>
        <w:t>119. Claim + two later sources: Technopolis, shared resources or controlled mobility? A net-based Delphi-study to explore visions of future urban daily mobility in Norway</w:t>
      </w:r>
    </w:p>
    <w:p>
      <w:pPr>
        <w:pStyle w:val="SourceNote"/>
      </w:pPr>
      <w:r>
        <w:rPr>
          <w:b/>
        </w:rPr>
        <w:t>Group ID:</w:t>
      </w:r>
      <w:r>
        <w:t xml:space="preserve"> group-c5f92486e0b655401c20</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Principal Component Analysis of Economic Factors Affecting Food Consumption and Labor Market Performance in the European Union — https://doi.org/10.35219/eai15840409587</w:t>
      </w:r>
    </w:p>
    <w:p>
      <w:pPr/>
      <w:r>
        <w:rPr>
          <w:b/>
        </w:rPr>
        <w:t>Later source:</w:t>
      </w:r>
      <w:r>
        <w:t xml:space="preserve"> Exploring intergenerational educational mobility : the role of personal and national factors across Europe — https://openalex.org/W7122348182</w:t>
      </w:r>
    </w:p>
    <w:p>
      <w:pPr>
        <w:pStyle w:val="SourceNote"/>
      </w:pPr>
      <w:r>
        <w:rPr>
          <w:b/>
        </w:rPr>
        <w:t>Review status:</w:t>
      </w:r>
      <w:r>
        <w:t xml:space="preserve"> unchecked — possible relationship only</w:t>
      </w:r>
    </w:p>
    <w:p>
      <w:pPr>
        <w:pStyle w:val="Heading2"/>
      </w:pPr>
      <w:r>
        <w:t>120. Claim + two later sources: Hydrogen in the Strategies of the European Union Member States</w:t>
      </w:r>
    </w:p>
    <w:p>
      <w:pPr>
        <w:pStyle w:val="SourceNote"/>
      </w:pPr>
      <w:r>
        <w:rPr>
          <w:b/>
        </w:rPr>
        <w:t>Group ID:</w:t>
      </w:r>
      <w:r>
        <w:t xml:space="preserve"> group-79f341161936febe9ed5</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A critical analysis of national dementia plans: comparison of preventive strategies in five European countries. — https://doi.org/10.7416/ai.2025.2702</w:t>
      </w:r>
    </w:p>
    <w:p>
      <w:pPr/>
      <w:r>
        <w:rPr>
          <w:b/>
        </w:rPr>
        <w:t>Later source:</w:t>
      </w:r>
      <w:r>
        <w:t xml:space="preserve"> Adaptation to Climate Change in Coastal Countries of the European Union—An Evaluation of Plans and Strategies — https://doi.org/10.3390/app15116281</w:t>
      </w:r>
    </w:p>
    <w:p>
      <w:pPr>
        <w:pStyle w:val="SourceNote"/>
      </w:pPr>
      <w:r>
        <w:rPr>
          <w:b/>
        </w:rPr>
        <w:t>Review status:</w:t>
      </w:r>
      <w:r>
        <w:t xml:space="preserve"> unchecked — possible relationship only</w:t>
      </w:r>
    </w:p>
    <w:p>
      <w:pPr>
        <w:pStyle w:val="Heading2"/>
      </w:pPr>
      <w:r>
        <w:t>121. Claim + two later sources: Demographic projections of future pharmaceutical consumption in the Netherlands</w:t>
      </w:r>
    </w:p>
    <w:p>
      <w:pPr>
        <w:pStyle w:val="SourceNote"/>
      </w:pPr>
      <w:r>
        <w:rPr>
          <w:b/>
        </w:rPr>
        <w:t>Group ID:</w:t>
      </w:r>
      <w:r>
        <w:t xml:space="preserve"> group-d5e7bdfe37d11615f342</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Climate change on extreme winds already affects off-shore wind power availability in Europe — https://doi.org/10.1088/1748-9326/acbdb2</w:t>
      </w:r>
    </w:p>
    <w:p>
      <w:pPr/>
      <w:r>
        <w:rPr>
          <w:b/>
        </w:rPr>
        <w:t>Later source:</w:t>
      </w:r>
      <w:r>
        <w:t xml:space="preserve"> Market Scene of China’s Cultured Meat Market Over the Next Five Years — https://doi.org/10.54691/bcpbm.v38i.4189</w:t>
      </w:r>
    </w:p>
    <w:p>
      <w:pPr>
        <w:pStyle w:val="SourceNote"/>
      </w:pPr>
      <w:r>
        <w:rPr>
          <w:b/>
        </w:rPr>
        <w:t>Review status:</w:t>
      </w:r>
      <w:r>
        <w:t xml:space="preserve"> unchecked — possible relationship only</w:t>
      </w:r>
    </w:p>
    <w:p>
      <w:pPr>
        <w:pStyle w:val="Heading2"/>
      </w:pPr>
      <w:r>
        <w:t>122. Claim + two later sources: Assessing the Future of Renewable Energy Consumption for United Kingdom, Turkey and Nigeria</w:t>
      </w:r>
    </w:p>
    <w:p>
      <w:pPr>
        <w:pStyle w:val="SourceNote"/>
      </w:pPr>
      <w:r>
        <w:rPr>
          <w:b/>
        </w:rPr>
        <w:t>Group ID:</w:t>
      </w:r>
      <w:r>
        <w:t xml:space="preserve"> group-272981572fed563e3933</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Explainable AI-Based Clinical Decision Support System for Early Prediction of Pathological Findings in Forensic Practice — https://doi.org/10.48175/ijarsct-37846</w:t>
      </w:r>
    </w:p>
    <w:p>
      <w:pPr/>
      <w:r>
        <w:rPr>
          <w:b/>
        </w:rPr>
        <w:t>Later source:</w:t>
      </w:r>
      <w:r>
        <w:t xml:space="preserve"> Support Vector Machines in Stock Price Prediction — https://doi.org/10.1002/9781394311682.ch22</w:t>
      </w:r>
    </w:p>
    <w:p>
      <w:pPr>
        <w:pStyle w:val="SourceNote"/>
      </w:pPr>
      <w:r>
        <w:rPr>
          <w:b/>
        </w:rPr>
        <w:t>Review status:</w:t>
      </w:r>
      <w:r>
        <w:t xml:space="preserve"> unchecked — possible relationship only</w:t>
      </w:r>
    </w:p>
    <w:p>
      <w:pPr>
        <w:pStyle w:val="Heading2"/>
      </w:pPr>
      <w:r>
        <w:t>123.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124. Claim + two later sources: A strategic energy technology policy towards 2050: no-regret strategies for European technology push</w:t>
      </w:r>
    </w:p>
    <w:p>
      <w:pPr>
        <w:pStyle w:val="SourceNote"/>
      </w:pPr>
      <w:r>
        <w:rPr>
          <w:b/>
        </w:rPr>
        <w:t>Group ID:</w:t>
      </w:r>
      <w:r>
        <w:t xml:space="preserve"> group-11bbaec34552b2687303</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Power-to-hydrogen and hydrogen-to-X energy systems for the industry of the future in Europe — https://doi.org/10.1016/j.ijhydene.2023.01.194</w:t>
      </w:r>
    </w:p>
    <w:p>
      <w:pPr/>
      <w:r>
        <w:rPr>
          <w:b/>
        </w:rPr>
        <w:t>Later source:</w:t>
      </w:r>
      <w:r>
        <w:t xml:space="preserve"> Energy Economic Development in Europe — https://doi.org/10.3390/books978-3-0365-7112-6</w:t>
      </w:r>
    </w:p>
    <w:p>
      <w:pPr>
        <w:pStyle w:val="SourceNote"/>
      </w:pPr>
      <w:r>
        <w:rPr>
          <w:b/>
        </w:rPr>
        <w:t>Review status:</w:t>
      </w:r>
      <w:r>
        <w:t xml:space="preserve"> unchecked — possible relationship only</w:t>
      </w:r>
    </w:p>
    <w:p>
      <w:pPr>
        <w:pStyle w:val="Heading2"/>
      </w:pPr>
      <w:r>
        <w:t>125. Claim + two later sources: A Technological Scenario for a Healthier, More Equitable and Sustainable Europe in 2040: Citizen Perceptions and Policy Implications</w:t>
      </w:r>
    </w:p>
    <w:p>
      <w:pPr>
        <w:pStyle w:val="SourceNote"/>
      </w:pPr>
      <w:r>
        <w:rPr>
          <w:b/>
        </w:rPr>
        <w:t>Group ID:</w:t>
      </w:r>
      <w:r>
        <w:t xml:space="preserve"> group-141fe847dea2d43c15e5</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STRATEGIC AIMS OF UNIVERSITY-BASED MANAGERIAL EDUCATION IN EUROPEAN AND ASIAN COUNTRIES — https://doi.org/10.52058/3041-1572-2026-3(23)-909-923</w:t>
      </w:r>
    </w:p>
    <w:p>
      <w:pPr/>
      <w:r>
        <w:rPr>
          <w:b/>
        </w:rPr>
        <w:t>Later source:</w:t>
      </w:r>
      <w:r>
        <w:t xml:space="preserve"> Exploring the Impact of Digital Transformation on Non-Financial Performance in Central and Eastern European Countries — https://doi.org/10.3390/electronics14061226</w:t>
      </w:r>
    </w:p>
    <w:p>
      <w:pPr>
        <w:pStyle w:val="SourceNote"/>
      </w:pPr>
      <w:r>
        <w:rPr>
          <w:b/>
        </w:rPr>
        <w:t>Review status:</w:t>
      </w:r>
      <w:r>
        <w:t xml:space="preserve"> unchecked — possible relationship only</w:t>
      </w:r>
    </w:p>
    <w:p>
      <w:pPr>
        <w:pStyle w:val="Heading2"/>
      </w:pPr>
      <w:r>
        <w:t>126. Claim + two later sources: Current and Future Issues in BPM Research: A European Perspective from the ERCIS Meeting 2010</w:t>
      </w:r>
    </w:p>
    <w:p>
      <w:pPr>
        <w:pStyle w:val="SourceNote"/>
      </w:pPr>
      <w:r>
        <w:rPr>
          <w:b/>
        </w:rPr>
        <w:t>Group ID:</w:t>
      </w:r>
      <w:r>
        <w:t xml:space="preserve"> group-efa00af91cc881bf369d</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The future of education in sleep science and medicine in Europe: Report of an ESRS workshop — https://doi.org/10.1111/jsr.14454</w:t>
      </w:r>
    </w:p>
    <w:p>
      <w:pPr/>
      <w:r>
        <w:rPr>
          <w:b/>
        </w:rPr>
        <w:t>Later source:</w:t>
      </w:r>
      <w:r>
        <w:t xml:space="preserve"> Farmers’ and stakeholders’ views on the adoption of agroecological practices. Results from participatory workshops in European countries — https://doi.org/10.12688/openreseurope.20536.1</w:t>
      </w:r>
    </w:p>
    <w:p>
      <w:pPr>
        <w:pStyle w:val="SourceNote"/>
      </w:pPr>
      <w:r>
        <w:rPr>
          <w:b/>
        </w:rPr>
        <w:t>Review status:</w:t>
      </w:r>
      <w:r>
        <w:t xml:space="preserve"> unchecked — possible relationship only</w:t>
      </w:r>
    </w:p>
    <w:p>
      <w:pPr>
        <w:pStyle w:val="Heading2"/>
      </w:pPr>
      <w:r>
        <w:t>127. Claim + two later sources: Comparison of Water Flows in Four European Lagoon Catchments under a Set of Future Climate Scenarios</w:t>
      </w:r>
    </w:p>
    <w:p>
      <w:pPr>
        <w:pStyle w:val="SourceNote"/>
      </w:pPr>
      <w:r>
        <w:rPr>
          <w:b/>
        </w:rPr>
        <w:t>Group ID:</w:t>
      </w:r>
      <w:r>
        <w:t xml:space="preserve"> group-8c87bd467498b3a2bb28</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Energy storage and climate impacts on the future renewable European energy system — https://openalex.org/W4412222428</w:t>
      </w:r>
    </w:p>
    <w:p>
      <w:pPr/>
      <w:r>
        <w:rPr>
          <w:b/>
        </w:rPr>
        <w:t>Later source:</w:t>
      </w:r>
      <w:r>
        <w:t xml:space="preserve"> The impact of extensive agricultural water drainage on the hydrology of the Kleine Nete watershed, Belgium — https://doi.org/10.1016/j.scitotenv.2023.163903</w:t>
      </w:r>
    </w:p>
    <w:p>
      <w:pPr>
        <w:pStyle w:val="SourceNote"/>
      </w:pPr>
      <w:r>
        <w:rPr>
          <w:b/>
        </w:rPr>
        <w:t>Review status:</w:t>
      </w:r>
      <w:r>
        <w:t xml:space="preserve"> unchecked — possible relationship only</w:t>
      </w:r>
    </w:p>
    <w:p>
      <w:pPr>
        <w:pStyle w:val="Heading2"/>
      </w:pPr>
      <w:r>
        <w:t>128. Claim + two later sources: The European pulp and paper industry in transition to a bio-economy: A Delphi study</w:t>
      </w:r>
    </w:p>
    <w:p>
      <w:pPr>
        <w:pStyle w:val="SourceNote"/>
      </w:pPr>
      <w:r>
        <w:rPr>
          <w:b/>
        </w:rPr>
        <w:t>Group ID:</w:t>
      </w:r>
      <w:r>
        <w:t xml:space="preserve"> group-74426b0d045171f0238a</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Organizational readiness to adopt artificial intelligence in the exhibition sector in Western Europe — https://doi.org/10.1016/j.ijinfomgt.2022.102497</w:t>
      </w:r>
    </w:p>
    <w:p>
      <w:pPr/>
      <w:r>
        <w:rPr>
          <w:b/>
        </w:rPr>
        <w:t>Later source:</w:t>
      </w:r>
      <w:r>
        <w:t xml:space="preserve"> Overview of the DEMO staged design approach in Europe — https://doi.org/10.1088/1741-4326/ab1178</w:t>
      </w:r>
    </w:p>
    <w:p>
      <w:pPr>
        <w:pStyle w:val="SourceNote"/>
      </w:pPr>
      <w:r>
        <w:rPr>
          <w:b/>
        </w:rPr>
        <w:t>Review status:</w:t>
      </w:r>
      <w:r>
        <w:t xml:space="preserve"> unchecked — possible relationship only</w:t>
      </w:r>
    </w:p>
    <w:p>
      <w:pPr>
        <w:pStyle w:val="Heading2"/>
      </w:pPr>
      <w:r>
        <w:t>129. Claim + two later sources: Technology roadmapping in security and defence foresight</w:t>
      </w:r>
    </w:p>
    <w:p>
      <w:pPr>
        <w:pStyle w:val="SourceNote"/>
      </w:pPr>
      <w:r>
        <w:rPr>
          <w:b/>
        </w:rPr>
        <w:t>Group ID:</w:t>
      </w:r>
      <w:r>
        <w:t xml:space="preserve"> group-322c67949f7bdc5a363e</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Methodology of architectural brand integration in public space design — https://doi.org/10.30857/2617-0272.2026.3.3</w:t>
      </w:r>
    </w:p>
    <w:p>
      <w:pPr/>
      <w:r>
        <w:rPr>
          <w:b/>
        </w:rPr>
        <w:t>Later source:</w:t>
      </w:r>
      <w:r>
        <w:t xml:space="preserve"> Optimising Healthcare Integration: Design Methodology Approach to Developing an Integrated Service Delivery Model for Irish Health Service Executive's Health Regions — https://doi.org/10.5334/ijic.icic24232</w:t>
      </w:r>
    </w:p>
    <w:p>
      <w:pPr>
        <w:pStyle w:val="SourceNote"/>
      </w:pPr>
      <w:r>
        <w:rPr>
          <w:b/>
        </w:rPr>
        <w:t>Review status:</w:t>
      </w:r>
      <w:r>
        <w:t xml:space="preserve"> unchecked — possible relationship only</w:t>
      </w:r>
    </w:p>
    <w:p>
      <w:pPr>
        <w:pStyle w:val="Heading2"/>
      </w:pPr>
      <w:r>
        <w:t>130. Claim + two later sources: Projecting Drivers of Human Vulnerability under the Shared Socioeconomic Pathways</w:t>
      </w:r>
    </w:p>
    <w:p>
      <w:pPr>
        <w:pStyle w:val="SourceNote"/>
      </w:pPr>
      <w:r>
        <w:rPr>
          <w:b/>
        </w:rPr>
        <w:t>Group ID:</w:t>
      </w:r>
      <w:r>
        <w:t xml:space="preserve"> group-4da1140879d7ffdb03e4</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A new scenario architecture to capture granularity of governance within and across Shared Socioeconomic Pathways — https://doi.org/10.1016/j.landusepol.2026.107926</w:t>
      </w:r>
    </w:p>
    <w:p>
      <w:pPr/>
      <w:r>
        <w:rPr>
          <w:b/>
        </w:rPr>
        <w:t>Later source:</w:t>
      </w:r>
      <w:r>
        <w:t xml:space="preserve"> Community Scenarios beyond the Shared Socioeconomic Pathways: The Scenario Evolution Process — https://doi.org/10.5194/egusphere-egu26-13481</w:t>
      </w:r>
    </w:p>
    <w:p>
      <w:pPr>
        <w:pStyle w:val="SourceNote"/>
      </w:pPr>
      <w:r>
        <w:rPr>
          <w:b/>
        </w:rPr>
        <w:t>Review status:</w:t>
      </w:r>
      <w:r>
        <w:t xml:space="preserve"> unchecked — possible relationship only</w:t>
      </w:r>
    </w:p>
    <w:p>
      <w:pPr>
        <w:pStyle w:val="Heading2"/>
      </w:pPr>
      <w:r>
        <w:t>131. Claim + two later sources: Modelling Soil Organic Carbon Changes Under Different Maize Cropping Scenarios for Cellulosic Ethanol in Europe</w:t>
      </w:r>
    </w:p>
    <w:p>
      <w:pPr>
        <w:pStyle w:val="SourceNote"/>
      </w:pPr>
      <w:r>
        <w:rPr>
          <w:b/>
        </w:rPr>
        <w:t>Group ID:</w:t>
      </w:r>
      <w:r>
        <w:t xml:space="preserve"> group-308d21ea4c63b222c99d</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A Global Overview of Aquaculture Food Production with a Focus on the Activity’s Development in Transitional Systems—The Case Study of a South European Country (Portugal) — https://doi.org/10.3390/jmse10030417</w:t>
      </w:r>
    </w:p>
    <w:p>
      <w:pPr/>
      <w:r>
        <w:rPr>
          <w:b/>
        </w:rPr>
        <w:t>Later source:</w:t>
      </w:r>
      <w:r>
        <w:t xml:space="preserve"> Big Data for Supporting Low-Carbon Road Transport Policies in Europe: Applications, Challenges and Opportunities — https://doi.org/10.1016/j.bdr.2016.04.003</w:t>
      </w:r>
    </w:p>
    <w:p>
      <w:pPr>
        <w:pStyle w:val="SourceNote"/>
      </w:pPr>
      <w:r>
        <w:rPr>
          <w:b/>
        </w:rPr>
        <w:t>Review status:</w:t>
      </w:r>
      <w:r>
        <w:t xml:space="preserve"> unchecked — possible relationship only</w:t>
      </w:r>
    </w:p>
    <w:p>
      <w:pPr>
        <w:pStyle w:val="Heading2"/>
      </w:pPr>
      <w:r>
        <w:t>132. Claim + two later sources: PROGNOSTIC MODEL OF THE UKRAINE SYSTEM OF GENERAL SECONDARY EDUCATION DEVELOPMENT: FORECASTING SCENARIOS OF THE DEVELOPMENT</w:t>
      </w:r>
    </w:p>
    <w:p>
      <w:pPr>
        <w:pStyle w:val="SourceNote"/>
      </w:pPr>
      <w:r>
        <w:rPr>
          <w:b/>
        </w:rPr>
        <w:t>Group ID:</w:t>
      </w:r>
      <w:r>
        <w:t xml:space="preserve"> group-8c5bd3a1843e658df459</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influential recent Canadian Medical Education Journal articles presented at the International Congress for Medical Education — https://doi.org/10.36834/cmej.79278</w:t>
      </w:r>
    </w:p>
    <w:p>
      <w:pPr/>
      <w:r>
        <w:rPr>
          <w:b/>
        </w:rPr>
        <w:t>Later source:</w:t>
      </w:r>
      <w:r>
        <w:t xml:space="preserve"> Masonry systems: Past, present and future — https://doi.org/10.1051/matecconf/202440301003</w:t>
      </w:r>
    </w:p>
    <w:p>
      <w:pPr>
        <w:pStyle w:val="SourceNote"/>
      </w:pPr>
      <w:r>
        <w:rPr>
          <w:b/>
        </w:rPr>
        <w:t>Review status:</w:t>
      </w:r>
      <w:r>
        <w:t xml:space="preserve"> unchecked — possible relationship only</w:t>
      </w:r>
    </w:p>
    <w:p>
      <w:pPr>
        <w:pStyle w:val="Heading2"/>
      </w:pPr>
      <w:r>
        <w:t>133.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134. Claim + two later sources: Climate change signal of future climate projections for Aachen, Germany, in terms of temperature and precipitation</w:t>
      </w:r>
    </w:p>
    <w:p>
      <w:pPr>
        <w:pStyle w:val="SourceNote"/>
      </w:pPr>
      <w:r>
        <w:rPr>
          <w:b/>
        </w:rPr>
        <w:t>Group ID:</w:t>
      </w:r>
      <w:r>
        <w:t xml:space="preserve"> group-e3802215d9236e5495fc</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Temporal clusters of extreme events across Europe in a regional multi-scenario/multi-member ensemble — https://doi.org/10.5194/ems2025-464</w:t>
      </w:r>
    </w:p>
    <w:p>
      <w:pPr/>
      <w:r>
        <w:rPr>
          <w:b/>
        </w:rPr>
        <w:t>Later source:</w:t>
      </w:r>
      <w:r>
        <w:t xml:space="preserve"> Multi-model ensembles for regional and national wheat yield forecasts in Argentina — https://doi.org/10.1088/1748-9326/ad627c</w:t>
      </w:r>
    </w:p>
    <w:p>
      <w:pPr>
        <w:pStyle w:val="SourceNote"/>
      </w:pPr>
      <w:r>
        <w:rPr>
          <w:b/>
        </w:rPr>
        <w:t>Review status:</w:t>
      </w:r>
      <w:r>
        <w:t xml:space="preserve"> unchecked — possible relationship only</w:t>
      </w:r>
    </w:p>
    <w:p>
      <w:pPr>
        <w:pStyle w:val="Heading2"/>
      </w:pPr>
      <w:r>
        <w:t>135. Claim + two later sources: Environmental Implications of Dynamic Policies on Food Consumption and Waste Handling in the European Union</w:t>
      </w:r>
    </w:p>
    <w:p>
      <w:pPr>
        <w:pStyle w:val="SourceNote"/>
      </w:pPr>
      <w:r>
        <w:rPr>
          <w:b/>
        </w:rPr>
        <w:t>Group ID:</w:t>
      </w:r>
      <w:r>
        <w:t xml:space="preserve"> group-d5e909b0c5574aae8670</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Double materiality and the shift from non-financial to European sustainability reporting: review, outlook and implications — https://doi.org/10.1108/jaar-04-2021-0114</w:t>
      </w:r>
    </w:p>
    <w:p>
      <w:pPr/>
      <w:r>
        <w:rPr>
          <w:b/>
        </w:rPr>
        <w:t>Later source:</w:t>
      </w:r>
      <w:r>
        <w:t xml:space="preserve"> Mixes of Policy Instruments for the Full Decarbonisation of Energy Systems: A Review — https://doi.org/10.3390/en18010148</w:t>
      </w:r>
    </w:p>
    <w:p>
      <w:pPr>
        <w:pStyle w:val="SourceNote"/>
      </w:pPr>
      <w:r>
        <w:rPr>
          <w:b/>
        </w:rPr>
        <w:t>Review status:</w:t>
      </w:r>
      <w:r>
        <w:t xml:space="preserve"> unchecked — possible relationship only</w:t>
      </w:r>
    </w:p>
    <w:p>
      <w:pPr>
        <w:pStyle w:val="Heading2"/>
      </w:pPr>
      <w:r>
        <w:t>136.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137. Claim + two later sources: Scenarios of water resources development in Poland up to 2030</w:t>
      </w:r>
    </w:p>
    <w:p>
      <w:pPr>
        <w:pStyle w:val="SourceNote"/>
      </w:pPr>
      <w:r>
        <w:rPr>
          <w:b/>
        </w:rPr>
        <w:t>Group ID:</w:t>
      </w:r>
      <w:r>
        <w:t xml:space="preserve"> group-7969f814e0f8f1e7fb08</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Use of data mining techniques to explain the primary factors influencing water sensitivity of asphalt mixtures — https://doi.org/10.1016/j.conbuildmat.2022.128039</w:t>
      </w:r>
    </w:p>
    <w:p>
      <w:pPr/>
      <w:r>
        <w:rPr>
          <w:b/>
        </w:rPr>
        <w:t>Later source:</w:t>
      </w:r>
      <w:r>
        <w:t xml:space="preserve"> Invasive round goby shows higher sensitivity to salinization than native European perch — https://doi.org/10.3897/neobiota.75.86528</w:t>
      </w:r>
    </w:p>
    <w:p>
      <w:pPr>
        <w:pStyle w:val="SourceNote"/>
      </w:pPr>
      <w:r>
        <w:rPr>
          <w:b/>
        </w:rPr>
        <w:t>Review status:</w:t>
      </w:r>
      <w:r>
        <w:t xml:space="preserve"> unchecked — possible relationship only</w:t>
      </w:r>
    </w:p>
    <w:p>
      <w:pPr>
        <w:pStyle w:val="Heading2"/>
      </w:pPr>
      <w:r>
        <w:t>138. Claim + two later sources: EFFECTS OF HYDROGEN PRODUCTION ON ECONOMIC GROWTH IN THE EUROPEAN UNION</w:t>
      </w:r>
    </w:p>
    <w:p>
      <w:pPr>
        <w:pStyle w:val="SourceNote"/>
      </w:pPr>
      <w:r>
        <w:rPr>
          <w:b/>
        </w:rPr>
        <w:t>Group ID:</w:t>
      </w:r>
      <w:r>
        <w:t xml:space="preserve"> group-44ddd8f201bc9dac272a</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Towards European Hydrogen Market Design: Perspectives from Transmission System Operators — https://openalex.org/W7144391439</w:t>
      </w:r>
    </w:p>
    <w:p>
      <w:pPr/>
      <w:r>
        <w:rPr>
          <w:b/>
        </w:rPr>
        <w:t>Later source:</w:t>
      </w:r>
      <w:r>
        <w:t xml:space="preserve"> Towards Hydrogen Law in the European Union and Europe? — https://doi.org/10.4324/9781003669654-18</w:t>
      </w:r>
    </w:p>
    <w:p>
      <w:pPr>
        <w:pStyle w:val="SourceNote"/>
      </w:pPr>
      <w:r>
        <w:rPr>
          <w:b/>
        </w:rPr>
        <w:t>Review status:</w:t>
      </w:r>
      <w:r>
        <w:t xml:space="preserve"> unchecked — possible relationship only</w:t>
      </w:r>
    </w:p>
    <w:p>
      <w:pPr>
        <w:pStyle w:val="Heading2"/>
      </w:pPr>
      <w:r>
        <w:t>139. Claim + two later sources: Shaping science policy in Europe</w:t>
      </w:r>
    </w:p>
    <w:p>
      <w:pPr>
        <w:pStyle w:val="SourceNote"/>
      </w:pPr>
      <w:r>
        <w:rPr>
          <w:b/>
        </w:rPr>
        <w:t>Group ID:</w:t>
      </w:r>
      <w:r>
        <w:t xml:space="preserve"> group-e734b6aab00152dddc89</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Economic, technological and environmental drivers of the circular economy in the European Union: a panel data analysis — https://doi.org/10.1186/s12302-025-01119-4</w:t>
      </w:r>
    </w:p>
    <w:p>
      <w:pPr/>
      <w:r>
        <w:rPr>
          <w:b/>
        </w:rPr>
        <w:t>Later source:</w:t>
      </w:r>
      <w:r>
        <w:t xml:space="preserve"> European Federation of Neurological Societies: parent to the European Academy of Neurology — https://doi.org/10.1111/ene.15680</w:t>
      </w:r>
    </w:p>
    <w:p>
      <w:pPr>
        <w:pStyle w:val="SourceNote"/>
      </w:pPr>
      <w:r>
        <w:rPr>
          <w:b/>
        </w:rPr>
        <w:t>Review status:</w:t>
      </w:r>
      <w:r>
        <w:t xml:space="preserve"> unchecked — possible relationship only</w:t>
      </w:r>
    </w:p>
    <w:p>
      <w:pPr>
        <w:pStyle w:val="Heading2"/>
      </w:pPr>
      <w:r>
        <w:t>140. Claim + two later sources: Predicting Future European Breeding Distributions of British Seabird Species under Climate Change and Unlimited/No Dispersal Scenarios</w:t>
      </w:r>
    </w:p>
    <w:p>
      <w:pPr>
        <w:pStyle w:val="SourceNote"/>
      </w:pPr>
      <w:r>
        <w:rPr>
          <w:b/>
        </w:rPr>
        <w:t>Group ID:</w:t>
      </w:r>
      <w:r>
        <w:t xml:space="preserve"> group-ad4406d79109a0cd5a51</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Hierarchical Distribution Models With Dispersal Simulations to Predict the Spread of Invasive Plant Species — https://doi.org/10.1111/geb.70026</w:t>
      </w:r>
    </w:p>
    <w:p>
      <w:pPr/>
      <w:r>
        <w:rPr>
          <w:b/>
        </w:rPr>
        <w:t>Later source:</w:t>
      </w:r>
      <w:r>
        <w:t xml:space="preserve"> A unifying modelling of multiple land degradation pathways in Europe — https://doi.org/10.1038/s41467-024-48252-x</w:t>
      </w:r>
    </w:p>
    <w:p>
      <w:pPr>
        <w:pStyle w:val="SourceNote"/>
      </w:pPr>
      <w:r>
        <w:rPr>
          <w:b/>
        </w:rPr>
        <w:t>Review status:</w:t>
      </w:r>
      <w:r>
        <w:t xml:space="preserve"> unchecked — possible relationship only</w:t>
      </w:r>
    </w:p>
    <w:p>
      <w:pPr>
        <w:pStyle w:val="Heading2"/>
      </w:pPr>
      <w:r>
        <w:t>141. Claim + two later sources: PROBLEM OF PROFESSIONAL TRAINING OF FUTURE ECONOMISTS FOR DEVELOPMENT OF NATIONAL ECONOMY UNDER CONDITIONS OF EUROPEAN INTEGRATION</w:t>
      </w:r>
    </w:p>
    <w:p>
      <w:pPr>
        <w:pStyle w:val="SourceNote"/>
      </w:pPr>
      <w:r>
        <w:rPr>
          <w:b/>
        </w:rPr>
        <w:t>Group ID:</w:t>
      </w:r>
      <w:r>
        <w:t xml:space="preserve"> group-08878bd048551d2446ad</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Should organising premier-level European football be a monopoly? And who should run it? – An economists' perspective — https://doi.org/10.4324/9781003305989-6</w:t>
      </w:r>
    </w:p>
    <w:p>
      <w:pPr/>
      <w:r>
        <w:rPr>
          <w:b/>
        </w:rPr>
        <w:t>Later source:</w:t>
      </w:r>
      <w:r>
        <w:t xml:space="preserve"> Digital Competencies in Selected European Countries among University and High-School Students: Programming is lagging behind — https://doi.org/10.2478/bsrj-2022-0019</w:t>
      </w:r>
    </w:p>
    <w:p>
      <w:pPr>
        <w:pStyle w:val="SourceNote"/>
      </w:pPr>
      <w:r>
        <w:rPr>
          <w:b/>
        </w:rPr>
        <w:t>Review status:</w:t>
      </w:r>
      <w:r>
        <w:t xml:space="preserve"> unchecked — possible relationship only</w:t>
      </w:r>
    </w:p>
    <w:p>
      <w:pPr>
        <w:pStyle w:val="Heading2"/>
      </w:pPr>
      <w:r>
        <w:t>142. Claim + two later sources: The CIRCE Simulations: Regional Climate Change Projections with Realistic Representation of the Mediterranean Sea</w:t>
      </w:r>
    </w:p>
    <w:p>
      <w:pPr>
        <w:pStyle w:val="SourceNote"/>
      </w:pPr>
      <w:r>
        <w:rPr>
          <w:b/>
        </w:rPr>
        <w:t>Group ID:</w:t>
      </w:r>
      <w:r>
        <w:t xml:space="preserve"> group-9f066b1e98429cc967e3</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Rolling force modeling based on neural network and mechanism model — https://doi.org/10.1007/s12206-025-0118-4</w:t>
      </w:r>
    </w:p>
    <w:p>
      <w:pPr/>
      <w:r>
        <w:rPr>
          <w:b/>
        </w:rPr>
        <w:t>Later source:</w:t>
      </w:r>
      <w:r>
        <w:t xml:space="preserve"> Inter-hemispheric asymmetries in high-latitude electrodynamic forcing and the thermosphere during the October 8–9, 2012, geomagnetic storm: An integrated data–Model investigation — https://doi.org/10.3389/fspas.2023.1062265</w:t>
      </w:r>
    </w:p>
    <w:p>
      <w:pPr>
        <w:pStyle w:val="SourceNote"/>
      </w:pPr>
      <w:r>
        <w:rPr>
          <w:b/>
        </w:rPr>
        <w:t>Review status:</w:t>
      </w:r>
      <w:r>
        <w:t xml:space="preserve"> unchecked — possible relationship only</w:t>
      </w:r>
    </w:p>
    <w:p>
      <w:pPr>
        <w:pStyle w:val="Heading2"/>
      </w:pPr>
      <w:r>
        <w:t>143. Claim + two later sources: Scenarios for the future of the European process industry - the case of the chemical industry</w:t>
      </w:r>
    </w:p>
    <w:p>
      <w:pPr>
        <w:pStyle w:val="SourceNote"/>
      </w:pPr>
      <w:r>
        <w:rPr>
          <w:b/>
        </w:rPr>
        <w:t>Group ID:</w:t>
      </w:r>
      <w:r>
        <w:t xml:space="preserve"> group-d3a91e6b95e492da4cc3</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Food safety challenges and One Health within Europe — https://doi.org/10.1186/s13028-017-0355-3</w:t>
      </w:r>
    </w:p>
    <w:p>
      <w:pPr/>
      <w:r>
        <w:rPr>
          <w:b/>
        </w:rPr>
        <w:t>Later source:</w:t>
      </w:r>
      <w:r>
        <w:t xml:space="preserve"> Taxonomy of Chemical Bondings: Opportunities and Challenges — https://doi.org/10.1002/anie.202506525</w:t>
      </w:r>
    </w:p>
    <w:p>
      <w:pPr>
        <w:pStyle w:val="SourceNote"/>
      </w:pPr>
      <w:r>
        <w:rPr>
          <w:b/>
        </w:rPr>
        <w:t>Review status:</w:t>
      </w:r>
      <w:r>
        <w:t xml:space="preserve"> unchecked — possible relationship only</w:t>
      </w:r>
    </w:p>
    <w:p>
      <w:pPr>
        <w:pStyle w:val="Heading2"/>
      </w:pPr>
      <w:r>
        <w:t>144. Claim + two later sources: The future of global trade and the WTO</w:t>
      </w:r>
    </w:p>
    <w:p>
      <w:pPr>
        <w:pStyle w:val="SourceNote"/>
      </w:pPr>
      <w:r>
        <w:rPr>
          <w:b/>
        </w:rPr>
        <w:t>Group ID:</w:t>
      </w:r>
      <w:r>
        <w:t xml:space="preserve"> group-09afc1d1d1b3baa0251e</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IMPACT OF SHORT-TERM EXTERNAL SHOCKS ON THE WORLD AND EUROPEAN ECONOMIES — https://doi.org/10.35774/jee2025.04.553</w:t>
      </w:r>
    </w:p>
    <w:p>
      <w:pPr/>
      <w:r>
        <w:rPr>
          <w:b/>
        </w:rPr>
        <w:t>Later source:</w:t>
      </w:r>
      <w:r>
        <w:t xml:space="preserve"> The Contested World Economy — https://doi.org/10.1017/9781009337489</w:t>
      </w:r>
    </w:p>
    <w:p>
      <w:pPr>
        <w:pStyle w:val="SourceNote"/>
      </w:pPr>
      <w:r>
        <w:rPr>
          <w:b/>
        </w:rPr>
        <w:t>Review status:</w:t>
      </w:r>
      <w:r>
        <w:t xml:space="preserve"> unchecked — possible relationship only</w:t>
      </w:r>
    </w:p>
    <w:p>
      <w:pPr>
        <w:pStyle w:val="Heading2"/>
      </w:pPr>
      <w:r>
        <w:t>145. Claim + two later sources: EU road vehicle energy consumption and CO2 emissions by 2050 – Expert-based scenarios</w:t>
      </w:r>
    </w:p>
    <w:p>
      <w:pPr>
        <w:pStyle w:val="SourceNote"/>
      </w:pPr>
      <w:r>
        <w:rPr>
          <w:b/>
        </w:rPr>
        <w:t>Group ID:</w:t>
      </w:r>
      <w:r>
        <w:t xml:space="preserve"> group-97e0ad646f4bdd4a651a</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ARTIFICIAL INTELLIGENCE AS A TECHNO-STRATEGIC DOMAIN: A COMPARATIVE ANALYSIS OF THE INFLUENCE OF THINK TANKS ON US AND EUROPEAN AI POLICIES — https://doi.org/10.53443/anadoluibfd.1850103</w:t>
      </w:r>
    </w:p>
    <w:p>
      <w:pPr/>
      <w:r>
        <w:rPr>
          <w:b/>
        </w:rPr>
        <w:t>Later source:</w:t>
      </w:r>
      <w:r>
        <w:t xml:space="preserve"> Teaching Acoustics at the EELISA THINK TANK on SUSTAINABLE BUILDINGS — https://doi.org/10.61782/fa.2023.1301</w:t>
      </w:r>
    </w:p>
    <w:p>
      <w:pPr>
        <w:pStyle w:val="SourceNote"/>
      </w:pPr>
      <w:r>
        <w:rPr>
          <w:b/>
        </w:rPr>
        <w:t>Review status:</w:t>
      </w:r>
      <w:r>
        <w:t xml:space="preserve"> unchecked — possible relationship only</w:t>
      </w:r>
    </w:p>
    <w:p>
      <w:pPr>
        <w:pStyle w:val="Heading2"/>
      </w:pPr>
      <w:r>
        <w:t>146. Claim + two later sources: Foresight as a tool of public administration in the field of science, technology and innovation</w:t>
      </w:r>
    </w:p>
    <w:p>
      <w:pPr>
        <w:pStyle w:val="SourceNote"/>
      </w:pPr>
      <w:r>
        <w:rPr>
          <w:b/>
        </w:rPr>
        <w:t>Group ID:</w:t>
      </w:r>
      <w:r>
        <w:t xml:space="preserve"> group-b630a69151be847e7724</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The role of individual characteristics in risk perception in fruit-growing — https://doi.org/10.22620/sciworks.2025.03.011</w:t>
      </w:r>
    </w:p>
    <w:p>
      <w:pPr/>
      <w:r>
        <w:rPr>
          <w:b/>
        </w:rPr>
        <w:t>Later source:</w:t>
      </w:r>
      <w:r>
        <w:t xml:space="preserve"> Transformations Along the Periphery – The Growing Role of Islam in Malta in the Decade Following the Arab Spring — https://doi.org/10.71069/ipr2.25.mc07</w:t>
      </w:r>
    </w:p>
    <w:p>
      <w:pPr>
        <w:pStyle w:val="SourceNote"/>
      </w:pPr>
      <w:r>
        <w:rPr>
          <w:b/>
        </w:rPr>
        <w:t>Review status:</w:t>
      </w:r>
      <w:r>
        <w:t xml:space="preserve"> unchecked — possible relationship only</w:t>
      </w:r>
    </w:p>
    <w:p>
      <w:pPr>
        <w:pStyle w:val="Heading2"/>
      </w:pPr>
      <w:r>
        <w:t>147. Claim + two later sources: Foresight of teachers’ professional challenges</w:t>
      </w:r>
    </w:p>
    <w:p>
      <w:pPr>
        <w:pStyle w:val="SourceNote"/>
      </w:pPr>
      <w:r>
        <w:rPr>
          <w:b/>
        </w:rPr>
        <w:t>Group ID:</w:t>
      </w:r>
      <w:r>
        <w:t xml:space="preserve"> group-815c9b2703d58673149d</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r>
        <w:rPr>
          <w:b/>
        </w:rPr>
        <w:t>Later source:</w:t>
      </w:r>
      <w:r>
        <w:t xml:space="preserve"> ANALYSIS OF COMPETENCY DEVELOPMENT POLICY IN IMPROVING EMPLOYEE PERFORMANCE AT THE SIROMBU DISTRICT OFFICE — https://doi.org/10.47652/metadata.v8i1.980</w:t>
      </w:r>
    </w:p>
    <w:p>
      <w:pPr>
        <w:pStyle w:val="SourceNote"/>
      </w:pPr>
      <w:r>
        <w:rPr>
          <w:b/>
        </w:rPr>
        <w:t>Review status:</w:t>
      </w:r>
      <w:r>
        <w:t xml:space="preserve"> unchecked — possible relationship only</w:t>
      </w:r>
    </w:p>
    <w:p>
      <w:pPr>
        <w:pStyle w:val="Heading2"/>
      </w:pPr>
      <w:r>
        <w:t>148. Claim + two later sources: Scenarios for population health inequalities in 2030 in Europe</w:t>
      </w:r>
    </w:p>
    <w:p>
      <w:pPr>
        <w:pStyle w:val="SourceNote"/>
      </w:pPr>
      <w:r>
        <w:rPr>
          <w:b/>
        </w:rPr>
        <w:t>Group ID:</w:t>
      </w:r>
      <w:r>
        <w:t xml:space="preserve"> group-44c9e554f5614f18c3ce</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Soil degradation in Europe is projected to accelerate under changing land use and climate — https://doi.org/10.1038/s44458-026-00064-4</w:t>
      </w:r>
    </w:p>
    <w:p>
      <w:pPr/>
      <w:r>
        <w:rPr>
          <w:b/>
        </w:rPr>
        <w:t>Later source:</w:t>
      </w:r>
      <w:r>
        <w:t xml:space="preserve"> A multi-level and multi-scale design approach supporting sustainable mobility and healthier living: AIR BREAK project in Ferrara, Italy — https://doi.org/10.1080/23748834.2024.2349862</w:t>
      </w:r>
    </w:p>
    <w:p>
      <w:pPr>
        <w:pStyle w:val="SourceNote"/>
      </w:pPr>
      <w:r>
        <w:rPr>
          <w:b/>
        </w:rPr>
        <w:t>Review status:</w:t>
      </w:r>
      <w:r>
        <w:t xml:space="preserve"> unchecked — possible relationship only</w:t>
      </w:r>
    </w:p>
    <w:p>
      <w:pPr>
        <w:pStyle w:val="Heading2"/>
      </w:pPr>
      <w:r>
        <w:t>149. Claim + two later sources: REMIND-D: A Hybrid Energy-Economy Model of Germany</w:t>
      </w:r>
    </w:p>
    <w:p>
      <w:pPr>
        <w:pStyle w:val="SourceNote"/>
      </w:pPr>
      <w:r>
        <w:rPr>
          <w:b/>
        </w:rPr>
        <w:t>Group ID:</w:t>
      </w:r>
      <w:r>
        <w:t xml:space="preserve"> group-57f7f2e57d9708f3ce38</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Forecasting human tick-borne encephalitis risk across Europe through quantitative models integrating environmental and exposure drivers — https://openalex.org/W7154437128</w:t>
      </w:r>
    </w:p>
    <w:p>
      <w:pPr/>
      <w:r>
        <w:rPr>
          <w:b/>
        </w:rPr>
        <w:t>Later source:</w:t>
      </w:r>
      <w:r>
        <w:t xml:space="preserve"> Quantitative sovereign default models and the European debt crisis — https://doi.org/10.1016/j.jinteco.2019.01.011</w:t>
      </w:r>
    </w:p>
    <w:p>
      <w:pPr>
        <w:pStyle w:val="SourceNote"/>
      </w:pPr>
      <w:r>
        <w:rPr>
          <w:b/>
        </w:rPr>
        <w:t>Review status:</w:t>
      </w:r>
      <w:r>
        <w:t xml:space="preserve"> unchecked — possible relationship only</w:t>
      </w:r>
    </w:p>
    <w:p>
      <w:pPr>
        <w:pStyle w:val="Heading2"/>
      </w:pPr>
      <w:r>
        <w:t>150. Claim + two later sources: Pathway Analysis of a Zero-Emission Transition in the Nordic-Baltic Region</w:t>
      </w:r>
    </w:p>
    <w:p>
      <w:pPr>
        <w:pStyle w:val="SourceNote"/>
      </w:pPr>
      <w:r>
        <w:rPr>
          <w:b/>
        </w:rPr>
        <w:t>Group ID:</w:t>
      </w:r>
      <w:r>
        <w:t xml:space="preserve"> group-3f3083bd37b14e108667</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Long-term optimization of the Norwegian energy system under the influence of the European power market — https://doi.org/10.1109/eem58374.2023.10161972</w:t>
      </w:r>
    </w:p>
    <w:p>
      <w:pPr>
        <w:pStyle w:val="SourceNote"/>
      </w:pPr>
      <w:r>
        <w:rPr>
          <w:b/>
        </w:rPr>
        <w:t>Review status:</w:t>
      </w:r>
      <w:r>
        <w:t xml:space="preserve"> unchecked — possible relationship only</w:t>
      </w:r>
    </w:p>
    <w:p>
      <w:pPr>
        <w:pStyle w:val="Heading2"/>
      </w:pPr>
      <w:r>
        <w:t>151. Claim + two later sources: Bioenergy futures in Sweden – Modeling integration scenarios for biofuel production</w:t>
      </w:r>
    </w:p>
    <w:p>
      <w:pPr>
        <w:pStyle w:val="SourceNote"/>
      </w:pPr>
      <w:r>
        <w:rPr>
          <w:b/>
        </w:rPr>
        <w:t>Group ID:</w:t>
      </w:r>
      <w:r>
        <w:t xml:space="preserve"> group-09f07f40744cc65e050a</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Increased Holocene Diversity in Europe Linked to Human‐Associated Vegetation Change — https://doi.org/10.1111/geb.70166</w:t>
      </w:r>
    </w:p>
    <w:p>
      <w:pPr/>
      <w:r>
        <w:rPr>
          <w:b/>
        </w:rPr>
        <w:t>Later source:</w:t>
      </w:r>
      <w:r>
        <w:t xml:space="preserve"> Evolution of the European offshore renewable energy resource under multiple climate change scenarios and forecasting horizons via CMIP6 — https://doi.org/10.1016/j.enconman.2023.118058</w:t>
      </w:r>
    </w:p>
    <w:p>
      <w:pPr>
        <w:pStyle w:val="SourceNote"/>
      </w:pPr>
      <w:r>
        <w:rPr>
          <w:b/>
        </w:rPr>
        <w:t>Review status:</w:t>
      </w:r>
      <w:r>
        <w:t xml:space="preserve"> unchecked — possible relationship only</w:t>
      </w:r>
    </w:p>
    <w:p>
      <w:pPr>
        <w:pStyle w:val="Heading2"/>
      </w:pPr>
      <w:r>
        <w:t>152.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153. Claim + two later sources: Fiscal foresighting: analysis of researches</w:t>
      </w:r>
    </w:p>
    <w:p>
      <w:pPr>
        <w:pStyle w:val="SourceNote"/>
      </w:pPr>
      <w:r>
        <w:rPr>
          <w:b/>
        </w:rPr>
        <w:t>Group ID:</w:t>
      </w:r>
      <w:r>
        <w:t xml:space="preserve"> group-eee2a808d9629faef093</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Theoretical Framework for Analysing Regional Economic Governance: A Comparative Study of African Blocs — https://doi.org/10.5281/zenodo.18934399</w:t>
      </w:r>
    </w:p>
    <w:p>
      <w:pPr/>
      <w:r>
        <w:rPr>
          <w:b/>
        </w:rPr>
        <w:t>Later source:</w:t>
      </w:r>
      <w:r>
        <w:t xml:space="preserve"> Theoretical Framework for Analysing Regional Economic Governance: A Comparative Study of African Blocs — https://doi.org/10.5281/zenodo.18935050</w:t>
      </w:r>
    </w:p>
    <w:p>
      <w:pPr>
        <w:pStyle w:val="SourceNote"/>
      </w:pPr>
      <w:r>
        <w:rPr>
          <w:b/>
        </w:rPr>
        <w:t>Review status:</w:t>
      </w:r>
      <w:r>
        <w:t xml:space="preserve"> unchecked — possible relationship only</w:t>
      </w:r>
    </w:p>
    <w:p>
      <w:pPr>
        <w:pStyle w:val="Heading2"/>
      </w:pPr>
      <w:r>
        <w:t>154.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possible relationship only</w:t>
      </w:r>
    </w:p>
    <w:p>
      <w:pPr>
        <w:pStyle w:val="Heading2"/>
      </w:pPr>
      <w:r>
        <w:t>155. Claim + two later sources: Are Carbon Prices Redundant in the 2030 EU Climate and Energy Policy Package?</w:t>
      </w:r>
    </w:p>
    <w:p>
      <w:pPr>
        <w:pStyle w:val="SourceNote"/>
      </w:pPr>
      <w:r>
        <w:rPr>
          <w:b/>
        </w:rPr>
        <w:t>Group ID:</w:t>
      </w:r>
      <w:r>
        <w:t xml:space="preserve"> group-3e41c66ca5ce6d3b1996</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From Policy to Practice: European Funding and the Development of Energy-Efficient Buildings in Romania’s Mountain Regions — https://doi.org/10.3390/buildings16061161</w:t>
      </w:r>
    </w:p>
    <w:p>
      <w:pPr/>
      <w:r>
        <w:rPr>
          <w:b/>
        </w:rPr>
        <w:t>Later source:</w:t>
      </w:r>
      <w:r>
        <w:t xml:space="preserve"> The future of EU tax policy harmonisation: Cost of non-Europe report — https://doi.org/10.2861/8675836</w:t>
      </w:r>
    </w:p>
    <w:p>
      <w:pPr>
        <w:pStyle w:val="SourceNote"/>
      </w:pPr>
      <w:r>
        <w:rPr>
          <w:b/>
        </w:rPr>
        <w:t>Review status:</w:t>
      </w:r>
      <w:r>
        <w:t xml:space="preserve"> unchecked — possible relationship only</w:t>
      </w:r>
    </w:p>
    <w:p>
      <w:pPr>
        <w:pStyle w:val="Heading2"/>
      </w:pPr>
      <w:r>
        <w:t>156. Claim + two later sources: Institutional issues in planning for more uncertain futures</w:t>
      </w:r>
    </w:p>
    <w:p>
      <w:pPr>
        <w:pStyle w:val="SourceNote"/>
      </w:pPr>
      <w:r>
        <w:rPr>
          <w:b/>
        </w:rPr>
        <w:t>Group ID:</w:t>
      </w:r>
      <w:r>
        <w:t xml:space="preserve"> group-4c2fb38a52414c1ba0a4</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Shaping institutional change in skill formation: the role of background ideas in growth strategies — https://doi.org/10.1080/13501763.2025.2490188</w:t>
      </w:r>
    </w:p>
    <w:p>
      <w:pPr/>
      <w:r>
        <w:rPr>
          <w:b/>
        </w:rPr>
        <w:t>Later source:</w:t>
      </w:r>
      <w:r>
        <w:t xml:space="preserve"> Mobility in pandemic times: Exploring changes and long-term effects of COVID-19 on urban mobility behavior — https://doi.org/10.1016/j.trip.2022.100668</w:t>
      </w:r>
    </w:p>
    <w:p>
      <w:pPr>
        <w:pStyle w:val="SourceNote"/>
      </w:pPr>
      <w:r>
        <w:rPr>
          <w:b/>
        </w:rPr>
        <w:t>Review status:</w:t>
      </w:r>
      <w:r>
        <w:t xml:space="preserve"> unchecked — possible relationship only</w:t>
      </w:r>
    </w:p>
    <w:p>
      <w:pPr>
        <w:pStyle w:val="Heading2"/>
      </w:pPr>
      <w:r>
        <w:t>157. Claim + two later sources: La aplicación estratégica por escenarios en el medio natural. El caso del Nature Outlook 2050 del PBL.</w:t>
      </w:r>
    </w:p>
    <w:p>
      <w:pPr>
        <w:pStyle w:val="SourceNote"/>
      </w:pPr>
      <w:r>
        <w:rPr>
          <w:b/>
        </w:rPr>
        <w:t>Group ID:</w:t>
      </w:r>
      <w:r>
        <w:t xml:space="preserve"> group-4f969f75e0f770afa6a0</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Theoretical Explanation of Triguna and Emotional Intelligence — https://doi.org/10.1922/pjs.16.4s.2026.954</w:t>
      </w:r>
    </w:p>
    <w:p>
      <w:pPr/>
      <w:r>
        <w:rPr>
          <w:b/>
        </w:rPr>
        <w:t>Later source:</w:t>
      </w:r>
      <w:r>
        <w:t xml:space="preserve"> GAD-7 Screening Tool Implementation — https://openalex.org/W7112211183</w:t>
      </w:r>
    </w:p>
    <w:p>
      <w:pPr>
        <w:pStyle w:val="SourceNote"/>
      </w:pPr>
      <w:r>
        <w:rPr>
          <w:b/>
        </w:rPr>
        <w:t>Review status:</w:t>
      </w:r>
      <w:r>
        <w:t xml:space="preserve"> unchecked — possible relationship only</w:t>
      </w:r>
    </w:p>
    <w:p>
      <w:pPr>
        <w:pStyle w:val="Heading2"/>
      </w:pPr>
      <w:r>
        <w:t>158. Claim + two later sources: Backcasting for desirable futures in Finnish forest-based firms</w:t>
      </w:r>
    </w:p>
    <w:p>
      <w:pPr>
        <w:pStyle w:val="SourceNote"/>
      </w:pPr>
      <w:r>
        <w:rPr>
          <w:b/>
        </w:rPr>
        <w:t>Group ID:</w:t>
      </w:r>
      <w:r>
        <w:t xml:space="preserve"> group-4770ea3f79a53efd0b5f</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Technology‐Driven Business Ethics — https://doi.org/10.1002/9781394234028.ch20</w:t>
      </w:r>
    </w:p>
    <w:p>
      <w:pPr/>
      <w:r>
        <w:rPr>
          <w:b/>
        </w:rPr>
        <w:t>Later source:</w:t>
      </w:r>
      <w:r>
        <w:t xml:space="preserve"> ENTREPRENEURS' SKILL OF HANDLING TECHNOLOGY IN AGRO AND GENERAL BUSINESSES — https://doi.org/10.37231/apj.2022.5.1.312</w:t>
      </w:r>
    </w:p>
    <w:p>
      <w:pPr>
        <w:pStyle w:val="SourceNote"/>
      </w:pPr>
      <w:r>
        <w:rPr>
          <w:b/>
        </w:rPr>
        <w:t>Review status:</w:t>
      </w:r>
      <w:r>
        <w:t xml:space="preserve"> unchecked — possible relationship only</w:t>
      </w:r>
    </w:p>
    <w:p>
      <w:pPr>
        <w:pStyle w:val="Heading2"/>
      </w:pPr>
      <w:r>
        <w:t>159. Claim + two later sources: Climate, competition and connectivity affect future migration and ranges of European trees</w:t>
      </w:r>
    </w:p>
    <w:p>
      <w:pPr>
        <w:pStyle w:val="SourceNote"/>
      </w:pPr>
      <w:r>
        <w:rPr>
          <w:b/>
        </w:rPr>
        <w:t>Group ID:</w:t>
      </w:r>
      <w:r>
        <w:t xml:space="preserve"> group-aa68d1deb0e7b8b3b35d</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Lecanora hybocarpa and similar European species — https://doi.org/10.1017/s0024282925101291</w:t>
      </w:r>
    </w:p>
    <w:p>
      <w:pPr/>
      <w:r>
        <w:rPr>
          <w:b/>
        </w:rPr>
        <w:t>Later source:</w:t>
      </w:r>
      <w:r>
        <w:t xml:space="preserve"> Mechanised Harvesting of Broadleaved Tree Species in Europe — https://doi.org/10.1007/s40725-021-00154-7</w:t>
      </w:r>
    </w:p>
    <w:p>
      <w:pPr>
        <w:pStyle w:val="SourceNote"/>
      </w:pPr>
      <w:r>
        <w:rPr>
          <w:b/>
        </w:rPr>
        <w:t>Review status:</w:t>
      </w:r>
      <w:r>
        <w:t xml:space="preserve"> unchecked — possible relationship only</w:t>
      </w:r>
    </w:p>
    <w:p>
      <w:pPr>
        <w:pStyle w:val="Heading2"/>
      </w:pPr>
      <w:r>
        <w:t>160. Claim + two later sources: The July 2019 European Heat Wave in a Warmer Climate: Storyline Scenarios with a Coupled Model Using Spectral Nudging</w:t>
      </w:r>
    </w:p>
    <w:p>
      <w:pPr>
        <w:pStyle w:val="SourceNote"/>
      </w:pPr>
      <w:r>
        <w:rPr>
          <w:b/>
        </w:rPr>
        <w:t>Group ID:</w:t>
      </w:r>
      <w:r>
        <w:t xml:space="preserve"> group-09c5bea0d77068ab339c</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Biodiversity Integration in the European Banking: Theoretical Background &amp; Empirical Evidence — https://openalex.org/W7197300685</w:t>
      </w:r>
    </w:p>
    <w:p>
      <w:pPr/>
      <w:r>
        <w:rPr>
          <w:b/>
        </w:rPr>
        <w:t>Later source:</w:t>
      </w:r>
      <w:r>
        <w:t xml:space="preserve"> Research on climate effects of large herbivores in Europe: a systematic map — https://doi.org/10.1186/s13750-026-00392-x</w:t>
      </w:r>
    </w:p>
    <w:p>
      <w:pPr>
        <w:pStyle w:val="SourceNote"/>
      </w:pPr>
      <w:r>
        <w:rPr>
          <w:b/>
        </w:rPr>
        <w:t>Review status:</w:t>
      </w:r>
      <w:r>
        <w:t xml:space="preserve"> unchecked — possible relationship only</w:t>
      </w:r>
    </w:p>
    <w:p>
      <w:pPr>
        <w:pStyle w:val="Heading2"/>
      </w:pPr>
      <w:r>
        <w:t>161. Claim + two later sources: Futures of science with and for society: towards transformative policy orientations</w:t>
      </w:r>
    </w:p>
    <w:p>
      <w:pPr>
        <w:pStyle w:val="SourceNote"/>
      </w:pPr>
      <w:r>
        <w:rPr>
          <w:b/>
        </w:rPr>
        <w:t>Group ID:</w:t>
      </w:r>
      <w:r>
        <w:t xml:space="preserve"> group-5340fe4fccd71aeb4c78</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Innovations in Methodology for Analyzing Automotive Engine Vibration Signals Based on Wavelet Transform Techniques to Determine Maintenance Needs — https://doi.org/10.70917/ijcisim-2026-0063</w:t>
      </w:r>
    </w:p>
    <w:p>
      <w:pPr/>
      <w:r>
        <w:rPr>
          <w:b/>
        </w:rPr>
        <w:t>Later source:</w:t>
      </w:r>
      <w:r>
        <w:t xml:space="preserve"> Beyond the "black box": Neil Postman's concept as a methodological basis for analyzing the ethical issues of artificial intelligence — https://doi.org/10.18287/2782-2966-2026-6-1-8-15</w:t>
      </w:r>
    </w:p>
    <w:p>
      <w:pPr>
        <w:pStyle w:val="SourceNote"/>
      </w:pPr>
      <w:r>
        <w:rPr>
          <w:b/>
        </w:rPr>
        <w:t>Review status:</w:t>
      </w:r>
      <w:r>
        <w:t xml:space="preserve"> unchecked — possible relationship only</w:t>
      </w:r>
    </w:p>
    <w:p>
      <w:pPr>
        <w:pStyle w:val="Heading2"/>
      </w:pPr>
      <w:r>
        <w:t>162. Claim + two later sources: Population Projections and Demographic Knowledge in France and Great Britain in the Postwar Period</w:t>
      </w:r>
    </w:p>
    <w:p>
      <w:pPr>
        <w:pStyle w:val="SourceNote"/>
      </w:pPr>
      <w:r>
        <w:rPr>
          <w:b/>
        </w:rPr>
        <w:t>Group ID:</w:t>
      </w:r>
      <w:r>
        <w:t xml:space="preserve"> group-06aa4f4699313b6df08b</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A unifying modelling of multiple land degradation pathways in Europe — https://doi.org/10.1038/s41467-024-48252-x</w:t>
      </w:r>
    </w:p>
    <w:p>
      <w:pPr>
        <w:pStyle w:val="SourceNote"/>
      </w:pPr>
      <w:r>
        <w:rPr>
          <w:b/>
        </w:rPr>
        <w:t>Review status:</w:t>
      </w:r>
      <w:r>
        <w:t xml:space="preserve"> unchecked — possible relationship only</w:t>
      </w:r>
    </w:p>
    <w:p>
      <w:pPr>
        <w:pStyle w:val="Heading2"/>
      </w:pPr>
      <w:r>
        <w:t>163. Claim + two later sources: Conducting pre-foresight research: organizational aspect</w:t>
      </w:r>
    </w:p>
    <w:p>
      <w:pPr>
        <w:pStyle w:val="SourceNote"/>
      </w:pPr>
      <w:r>
        <w:rPr>
          <w:b/>
        </w:rPr>
        <w:t>Group ID:</w:t>
      </w:r>
      <w:r>
        <w:t xml:space="preserve"> group-355e80dccc4eef71c259</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FAIRsharing record for: FAIR Metric - R1.2 - Metadata - Linked Publications — https://doi.org/10.25504/fairsharing.653df6</w:t>
      </w:r>
    </w:p>
    <w:p>
      <w:pPr/>
      <w:r>
        <w:rPr>
          <w:b/>
        </w:rPr>
        <w:t>Later source:</w:t>
      </w:r>
      <w:r>
        <w:t xml:space="preserve"> Knowledge Management Practice in the Indian Publications Industry with a Case Study of Publications Hub, India — https://doi.org/10.30954/2322-0465.01.2026.14</w:t>
      </w:r>
    </w:p>
    <w:p>
      <w:pPr>
        <w:pStyle w:val="SourceNote"/>
      </w:pPr>
      <w:r>
        <w:rPr>
          <w:b/>
        </w:rPr>
        <w:t>Review status:</w:t>
      </w:r>
      <w:r>
        <w:t xml:space="preserve"> unchecked — possible relationship only</w:t>
      </w:r>
    </w:p>
    <w:p>
      <w:pPr>
        <w:pStyle w:val="Heading2"/>
      </w:pPr>
      <w:r>
        <w:t>164. Claim + two later sources: Where is the EU headed given its current climate policy? A stakeholder-driven model inter-comparison</w:t>
      </w:r>
    </w:p>
    <w:p>
      <w:pPr>
        <w:pStyle w:val="SourceNote"/>
      </w:pPr>
      <w:r>
        <w:rPr>
          <w:b/>
        </w:rPr>
        <w:t>Group ID:</w:t>
      </w:r>
      <w:r>
        <w:t xml:space="preserve"> group-332f4e877f07c9e5b3d7</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Tracking Loop Current Eddies in the Gulf of Mexico Using Satellite-Derived Chlorophyll-a — https://doi.org/10.3390/rs16122234</w:t>
      </w:r>
    </w:p>
    <w:p>
      <w:pPr/>
      <w:r>
        <w:rPr>
          <w:b/>
        </w:rPr>
        <w:t>Later source:</w:t>
      </w:r>
      <w:r>
        <w:t xml:space="preserve"> Internet User Trackers and Where to Find Them — https://doi.org/10.2478/acss-2022-0008</w:t>
      </w:r>
    </w:p>
    <w:p>
      <w:pPr>
        <w:pStyle w:val="SourceNote"/>
      </w:pPr>
      <w:r>
        <w:rPr>
          <w:b/>
        </w:rPr>
        <w:t>Review status:</w:t>
      </w:r>
      <w:r>
        <w:t xml:space="preserve"> unchecked — possible relationship only</w:t>
      </w:r>
    </w:p>
    <w:p>
      <w:pPr>
        <w:pStyle w:val="Heading2"/>
      </w:pPr>
      <w:r>
        <w:t>165. Claim + two later sources: A threat to climate-secure European futures? Exploring racial logics and climate-induced migration in US and EU climate security discourses</w:t>
      </w:r>
    </w:p>
    <w:p>
      <w:pPr>
        <w:pStyle w:val="SourceNote"/>
      </w:pPr>
      <w:r>
        <w:rPr>
          <w:b/>
        </w:rPr>
        <w:t>Group ID:</w:t>
      </w:r>
      <w:r>
        <w:t xml:space="preserve"> group-6ed3dad5df118e85d57f</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Reconceptualizing Interregionalism through Asia-Europe Meeting (ASEM): A Corpus-Assisted Critical Discourse Analysis — https://openalex.org/W4414920263</w:t>
      </w:r>
    </w:p>
    <w:p>
      <w:pPr>
        <w:pStyle w:val="SourceNote"/>
      </w:pPr>
      <w:r>
        <w:rPr>
          <w:b/>
        </w:rPr>
        <w:t>Review status:</w:t>
      </w:r>
      <w:r>
        <w:t xml:space="preserve"> unchecked — possible relationship only</w:t>
      </w:r>
    </w:p>
    <w:p>
      <w:pPr>
        <w:pStyle w:val="Heading2"/>
      </w:pPr>
      <w:r>
        <w:t>166. Claim + two later sources: Animal health aspects of adaptation to climate change: beating the heat and parasites in a warming Europe</w:t>
      </w:r>
    </w:p>
    <w:p>
      <w:pPr>
        <w:pStyle w:val="SourceNote"/>
      </w:pPr>
      <w:r>
        <w:rPr>
          <w:b/>
        </w:rPr>
        <w:t>Group ID:</w:t>
      </w:r>
      <w:r>
        <w:t xml:space="preserve"> group-f8dda293d53103748a08</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Direct and Indirect Regulations for Medical Devices in Europe and Germany — https://doi.org/10.1007/978-3-032-03577-6_14</w:t>
      </w:r>
    </w:p>
    <w:p>
      <w:pPr/>
      <w:r>
        <w:rPr>
          <w:b/>
        </w:rPr>
        <w:t>Later source:</w:t>
      </w:r>
      <w:r>
        <w:t xml:space="preserve"> Contribution of climate change to the spatial expansion of West Nile virus in Europe — https://doi.org/10.1038/s41467-024-45290-3</w:t>
      </w:r>
    </w:p>
    <w:p>
      <w:pPr>
        <w:pStyle w:val="SourceNote"/>
      </w:pPr>
      <w:r>
        <w:rPr>
          <w:b/>
        </w:rPr>
        <w:t>Review status:</w:t>
      </w:r>
      <w:r>
        <w:t xml:space="preserve"> unchecked — possible relationship only</w:t>
      </w:r>
    </w:p>
    <w:p>
      <w:pPr>
        <w:pStyle w:val="Heading2"/>
      </w:pPr>
      <w:r>
        <w:t>167. Claim + two later sources: The pitfalls of ecological forecasting</w:t>
      </w:r>
    </w:p>
    <w:p>
      <w:pPr>
        <w:pStyle w:val="SourceNote"/>
      </w:pPr>
      <w:r>
        <w:rPr>
          <w:b/>
        </w:rPr>
        <w:t>Group ID:</w:t>
      </w:r>
      <w:r>
        <w:t xml:space="preserve"> group-d47d2c3f6550de2becc8</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pStyle w:val="SourceNote"/>
      </w:pPr>
      <w:r>
        <w:rPr>
          <w:b/>
        </w:rPr>
        <w:t>Review status:</w:t>
      </w:r>
      <w:r>
        <w:t xml:space="preserve"> unchecked — possible relationship only</w:t>
      </w:r>
    </w:p>
    <w:p>
      <w:pPr>
        <w:pStyle w:val="Heading2"/>
      </w:pPr>
      <w:r>
        <w:t>168. Claim + two later sources: Climate Change Effects on Heat- and Cold-Related Mortality in the Netherlands: A Scenario-Based Integrated Environmental Health Impact Assessment</w:t>
      </w:r>
    </w:p>
    <w:p>
      <w:pPr>
        <w:pStyle w:val="SourceNote"/>
      </w:pPr>
      <w:r>
        <w:rPr>
          <w:b/>
        </w:rPr>
        <w:t>Group ID:</w:t>
      </w:r>
      <w:r>
        <w:t xml:space="preserve"> group-83b585d52255fc9b4455</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Exploring decarbonisation strategies in the Southern-European region of Catalonia through a multi-scenario assessment — https://doi.org/10.1016/j.esr.2026.102184</w:t>
      </w:r>
    </w:p>
    <w:p>
      <w:pPr/>
      <w:r>
        <w:rPr>
          <w:b/>
        </w:rPr>
        <w:t>Later source:</w:t>
      </w:r>
      <w:r>
        <w:t xml:space="preserve"> Heat-related health impacts across national mitigation and urban adaptation scenarios in European cities - Data — https://doi.org/10.5281/zenodo.20666093</w:t>
      </w:r>
    </w:p>
    <w:p>
      <w:pPr>
        <w:pStyle w:val="SourceNote"/>
      </w:pPr>
      <w:r>
        <w:rPr>
          <w:b/>
        </w:rPr>
        <w:t>Review status:</w:t>
      </w:r>
      <w:r>
        <w:t xml:space="preserve"> unchecked — possible relationship only</w:t>
      </w:r>
    </w:p>
    <w:p>
      <w:pPr>
        <w:pStyle w:val="Heading2"/>
      </w:pPr>
      <w:r>
        <w:t>169. Claim + two later sources: Scenario planning: An alternative approach to European Commission for combating antimicrobial resistance by 2050</w:t>
      </w:r>
    </w:p>
    <w:p>
      <w:pPr>
        <w:pStyle w:val="SourceNote"/>
      </w:pPr>
      <w:r>
        <w:rPr>
          <w:b/>
        </w:rPr>
        <w:t>Group ID:</w:t>
      </w:r>
      <w:r>
        <w:t xml:space="preserve"> group-7630331f13db9b364a97</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Achievements, priorities and strategies in pediatric nephrology in Europe — https://openalex.org/W7135161588</w:t>
      </w:r>
    </w:p>
    <w:p>
      <w:pPr>
        <w:pStyle w:val="SourceNote"/>
      </w:pPr>
      <w:r>
        <w:rPr>
          <w:b/>
        </w:rPr>
        <w:t>Review status:</w:t>
      </w:r>
      <w:r>
        <w:t xml:space="preserve"> unchecked — possible relationship only</w:t>
      </w:r>
    </w:p>
    <w:p>
      <w:pPr>
        <w:pStyle w:val="Heading2"/>
      </w:pPr>
      <w:r>
        <w:t>170.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group-54b708e097a1f57caf72</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Sea Level Rise in Europe: Adaptation measures and decision-making principles — https://doi.org/10.5194/sp-3-slre1-6-2024</w:t>
      </w:r>
    </w:p>
    <w:p>
      <w:pPr>
        <w:pStyle w:val="SourceNote"/>
      </w:pPr>
      <w:r>
        <w:rPr>
          <w:b/>
        </w:rPr>
        <w:t>Review status:</w:t>
      </w:r>
      <w:r>
        <w:t xml:space="preserve"> unchecked — possible relationship only</w:t>
      </w:r>
    </w:p>
    <w:p>
      <w:pPr>
        <w:pStyle w:val="Heading2"/>
      </w:pPr>
      <w:r>
        <w:t>171. Claim + two later sources: Are the EU climate ambitions reflected on member-state level for greenhouse gas reductions and renewable energy consumption shares?</w:t>
      </w:r>
    </w:p>
    <w:p>
      <w:pPr>
        <w:pStyle w:val="SourceNote"/>
      </w:pPr>
      <w:r>
        <w:rPr>
          <w:b/>
        </w:rPr>
        <w:t>Group ID:</w:t>
      </w:r>
      <w:r>
        <w:t xml:space="preserve"> group-ec77748f54e6c2e474b3</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Spatial contexts and educational inequalities in European countries — https://doi.org/10.5281/zenodo.18377623</w:t>
      </w:r>
    </w:p>
    <w:p>
      <w:pPr/>
      <w:r>
        <w:rPr>
          <w:b/>
        </w:rPr>
        <w:t>Later source:</w:t>
      </w:r>
      <w:r>
        <w:t xml:space="preserve"> Accessible Tourism After the European Accessibility Act: Signalling in Hotels and Private Accommodation Across Four European Union Countries — https://doi.org/10.3390/tourhosp7100343</w:t>
      </w:r>
    </w:p>
    <w:p>
      <w:pPr>
        <w:pStyle w:val="SourceNote"/>
      </w:pPr>
      <w:r>
        <w:rPr>
          <w:b/>
        </w:rPr>
        <w:t>Review status:</w:t>
      </w:r>
      <w:r>
        <w:t xml:space="preserve"> unchecked — possible relationship only</w:t>
      </w:r>
    </w:p>
    <w:p>
      <w:pPr>
        <w:pStyle w:val="Heading2"/>
      </w:pPr>
      <w:r>
        <w:t>172. Claim + two later sources: How climate, migration ability and habitat fragmentation affect the projected future distribution of European beech</w:t>
      </w:r>
    </w:p>
    <w:p>
      <w:pPr>
        <w:pStyle w:val="SourceNote"/>
      </w:pPr>
      <w:r>
        <w:rPr>
          <w:b/>
        </w:rPr>
        <w:t>Group ID:</w:t>
      </w:r>
      <w:r>
        <w:t xml:space="preserve"> group-6909c21c5f5e4d85722b</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Marine fish ranges are expanding and shifting deeper across the European continental shelf — https://doi.org/10.1038/s41467-026-74371-8</w:t>
      </w:r>
    </w:p>
    <w:p>
      <w:pPr/>
      <w:r>
        <w:rPr>
          <w:b/>
        </w:rPr>
        <w:t>Later source:</w:t>
      </w:r>
      <w:r>
        <w:t xml:space="preserve"> Taxus tree-ring chronologies from southern England reveal western European hydroclimate changes over the past three centuries — https://doi.org/10.1007/s00382-025-07601-2</w:t>
      </w:r>
    </w:p>
    <w:p>
      <w:pPr>
        <w:pStyle w:val="SourceNote"/>
      </w:pPr>
      <w:r>
        <w:rPr>
          <w:b/>
        </w:rPr>
        <w:t>Review status:</w:t>
      </w:r>
      <w:r>
        <w:t xml:space="preserve"> unchecked — possible relationship only</w:t>
      </w:r>
    </w:p>
    <w:p>
      <w:pPr>
        <w:pStyle w:val="Heading2"/>
      </w:pPr>
      <w:r>
        <w:t>173. Claim + two later sources: Least cost energy system pathways towards 100% renewable energy in Ireland by 2050</w:t>
      </w:r>
    </w:p>
    <w:p>
      <w:pPr>
        <w:pStyle w:val="SourceNote"/>
      </w:pPr>
      <w:r>
        <w:rPr>
          <w:b/>
        </w:rPr>
        <w:t>Group ID:</w:t>
      </w:r>
      <w:r>
        <w:t xml:space="preserve"> group-10240d7eba462d179c5d</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Oncoplastic breast surgery in Europe — https://doi.org/10.21037/gs-23-380</w:t>
      </w:r>
    </w:p>
    <w:p>
      <w:pPr/>
      <w:r>
        <w:rPr>
          <w:b/>
        </w:rPr>
        <w:t>Later source:</w:t>
      </w:r>
      <w:r>
        <w:t xml:space="preserve"> Precedent in the system of the European Convention on Human Rights — https://doi.org/10.4324/9781003264262-15</w:t>
      </w:r>
    </w:p>
    <w:p>
      <w:pPr>
        <w:pStyle w:val="SourceNote"/>
      </w:pPr>
      <w:r>
        <w:rPr>
          <w:b/>
        </w:rPr>
        <w:t>Review status:</w:t>
      </w:r>
      <w:r>
        <w:t xml:space="preserve"> unchecked — possible relationship only</w:t>
      </w:r>
    </w:p>
    <w:p>
      <w:pPr>
        <w:pStyle w:val="Heading2"/>
      </w:pPr>
      <w:r>
        <w:t>174. Claim + two later sources: The Deliberative Practice of Vision Mobility 2050: Vision-making for Sustainable Mobility in the Region of Munich?</w:t>
      </w:r>
    </w:p>
    <w:p>
      <w:pPr>
        <w:pStyle w:val="SourceNote"/>
      </w:pPr>
      <w:r>
        <w:rPr>
          <w:b/>
        </w:rPr>
        <w:t>Group ID:</w:t>
      </w:r>
      <w:r>
        <w:t xml:space="preserve"> group-8ae797bd07cf197ecf58</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Learning in European Administrative Networks: a process to all or only to a few? — https://doi.org/10.1017/s0143814x24000011</w:t>
      </w:r>
    </w:p>
    <w:p>
      <w:pPr/>
      <w:r>
        <w:rPr>
          <w:b/>
        </w:rPr>
        <w:t>Later source:</w:t>
      </w:r>
      <w:r>
        <w:t xml:space="preserve"> Sustainability and competition policy in Europe: recent developments — https://doi.org/10.1093/jeclap/lpae063</w:t>
      </w:r>
    </w:p>
    <w:p>
      <w:pPr>
        <w:pStyle w:val="SourceNote"/>
      </w:pPr>
      <w:r>
        <w:rPr>
          <w:b/>
        </w:rPr>
        <w:t>Review status:</w:t>
      </w:r>
      <w:r>
        <w:t xml:space="preserve"> unchecked — possible relationship only</w:t>
      </w:r>
    </w:p>
    <w:p>
      <w:pPr>
        <w:pStyle w:val="Heading2"/>
      </w:pPr>
      <w:r>
        <w:t>175. Claim + two later sources: The role of district heating systems to provide balancing services in the European Union</w:t>
      </w:r>
    </w:p>
    <w:p>
      <w:pPr>
        <w:pStyle w:val="SourceNote"/>
      </w:pPr>
      <w:r>
        <w:rPr>
          <w:b/>
        </w:rPr>
        <w:t>Group ID:</w:t>
      </w:r>
      <w:r>
        <w:t xml:space="preserve"> group-31fcda2d0d72e7c726d6</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Smart Energy and Energy Communities: A Review of Innovation Proposals for Global and Local Sustainability — https://doi.org/10.15446/sicel.v12.121196</w:t>
      </w:r>
    </w:p>
    <w:p>
      <w:pPr/>
      <w:r>
        <w:rPr>
          <w:b/>
        </w:rPr>
        <w:t>Later source:</w:t>
      </w:r>
      <w:r>
        <w:t xml:space="preserve"> SARIMA models for power evolution in photovoltaic systems — https://doi.org/10.56294/saludcyt20251971</w:t>
      </w:r>
    </w:p>
    <w:p>
      <w:pPr>
        <w:pStyle w:val="SourceNote"/>
      </w:pPr>
      <w:r>
        <w:rPr>
          <w:b/>
        </w:rPr>
        <w:t>Review status:</w:t>
      </w:r>
      <w:r>
        <w:t xml:space="preserve"> unchecked — possible relationship only</w:t>
      </w:r>
    </w:p>
    <w:p>
      <w:pPr>
        <w:pStyle w:val="Heading2"/>
      </w:pPr>
      <w:r>
        <w:t>176. Claim + two later sources: Scenario‐based fertility projections incorporating impacts of COVID‐19</w:t>
      </w:r>
    </w:p>
    <w:p>
      <w:pPr>
        <w:pStyle w:val="SourceNote"/>
      </w:pPr>
      <w:r>
        <w:rPr>
          <w:b/>
        </w:rPr>
        <w:t>Group ID:</w:t>
      </w:r>
      <w:r>
        <w:t xml:space="preserve"> group-19b9ed186cd6d03d66ec</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The Inevitability of Projection: The Three-Term Equation as the Mother Equation of the Quantum Blueprint Formalism — https://doi.org/10.5281/zenodo.18527042</w:t>
      </w:r>
    </w:p>
    <w:p>
      <w:pPr/>
      <w:r>
        <w:rPr>
          <w:b/>
        </w:rPr>
        <w:t>Later source:</w:t>
      </w:r>
      <w:r>
        <w:t xml:space="preserve"> Geometry, Sound, and Time as Three Projections of One Contact Band — https://doi.org/10.5281/zenodo.19593317</w:t>
      </w:r>
    </w:p>
    <w:p>
      <w:pPr>
        <w:pStyle w:val="SourceNote"/>
      </w:pPr>
      <w:r>
        <w:rPr>
          <w:b/>
        </w:rPr>
        <w:t>Review status:</w:t>
      </w:r>
      <w:r>
        <w:t xml:space="preserve"> unchecked — possible relationship only</w:t>
      </w:r>
    </w:p>
    <w:p>
      <w:pPr>
        <w:pStyle w:val="Heading2"/>
      </w:pPr>
      <w:r>
        <w:t>177. Claim + two later sources: Scenarios for selected maritime economic functions</w:t>
      </w:r>
    </w:p>
    <w:p>
      <w:pPr>
        <w:pStyle w:val="SourceNote"/>
      </w:pPr>
      <w:r>
        <w:rPr>
          <w:b/>
        </w:rPr>
        <w:t>Group ID:</w:t>
      </w:r>
      <w:r>
        <w:t xml:space="preserve"> group-f356508a4da2e27a4493</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Current Status of the Algae Production Industry in Europe: An Emerging Sector of the Blue Bioeconomy — https://doi.org/10.3389/fmars.2020.626389</w:t>
      </w:r>
    </w:p>
    <w:p>
      <w:pPr>
        <w:pStyle w:val="SourceNote"/>
      </w:pPr>
      <w:r>
        <w:rPr>
          <w:b/>
        </w:rPr>
        <w:t>Review status:</w:t>
      </w:r>
      <w:r>
        <w:t xml:space="preserve"> unchecked — possible relationship only</w:t>
      </w:r>
    </w:p>
    <w:p>
      <w:pPr>
        <w:pStyle w:val="Heading2"/>
      </w:pPr>
      <w:r>
        <w:t>178. Claim + two later sources: Towards Europe 2035 - In Search of the Archimedean Screw: FOCUS in Perspective</w:t>
      </w:r>
    </w:p>
    <w:p>
      <w:pPr>
        <w:pStyle w:val="SourceNote"/>
      </w:pPr>
      <w:r>
        <w:rPr>
          <w:b/>
        </w:rPr>
        <w:t>Group ID:</w:t>
      </w:r>
      <w:r>
        <w:t xml:space="preserve"> group-a5ea90a701f9efacdb1c</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Safe and Sound: Governance for Planning Public Space in a Security-by-Design Paradigm — https://doi.org/10.3390/urbansci9070241</w:t>
      </w:r>
    </w:p>
    <w:p>
      <w:pPr/>
      <w:r>
        <w:rPr>
          <w:b/>
        </w:rPr>
        <w:t>Later source:</w:t>
      </w:r>
      <w:r>
        <w:t xml:space="preserve"> USING AN INDICATIVE APPROACH TO ASSESSING THE SECURITY OF ELECTRICITY SUPPLY — https://doi.org/10.15407/srenergy2024.04.132</w:t>
      </w:r>
    </w:p>
    <w:p>
      <w:pPr>
        <w:pStyle w:val="SourceNote"/>
      </w:pPr>
      <w:r>
        <w:rPr>
          <w:b/>
        </w:rPr>
        <w:t>Review status:</w:t>
      </w:r>
      <w:r>
        <w:t xml:space="preserve"> unchecked — possible relationship only</w:t>
      </w:r>
    </w:p>
    <w:p>
      <w:pPr>
        <w:pStyle w:val="Heading2"/>
      </w:pPr>
      <w:r>
        <w:t>179. Claim + two later sources: Towards an assessment of adaptive capacity of the European agricultural sector to droughts</w:t>
      </w:r>
    </w:p>
    <w:p>
      <w:pPr>
        <w:pStyle w:val="SourceNote"/>
      </w:pPr>
      <w:r>
        <w:rPr>
          <w:b/>
        </w:rPr>
        <w:t>Group ID:</w:t>
      </w:r>
      <w:r>
        <w:t xml:space="preserve"> group-26503cf10387e0eaa652</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EMULATION OF A NUMERICAL URBAN MODEL TO CREATE HIGH-RESOLUTION NEAR SURFACE AIR TEMPERATURE OVER EUROPEAN CITIES — https://doi.org/10.22541/essoar.173671231.11835703/v1</w:t>
      </w:r>
    </w:p>
    <w:p>
      <w:pPr/>
      <w:r>
        <w:rPr>
          <w:b/>
        </w:rPr>
        <w:t>Later source:</w:t>
      </w:r>
      <w:r>
        <w:t xml:space="preserve"> High resolution maps of European agricultural indicators — https://doi.org/10.5194/egusphere-egu25-16510</w:t>
      </w:r>
    </w:p>
    <w:p>
      <w:pPr>
        <w:pStyle w:val="SourceNote"/>
      </w:pPr>
      <w:r>
        <w:rPr>
          <w:b/>
        </w:rPr>
        <w:t>Review status:</w:t>
      </w:r>
      <w:r>
        <w:t xml:space="preserve"> unchecked — possible relationship only</w:t>
      </w:r>
    </w:p>
    <w:p>
      <w:pPr>
        <w:pStyle w:val="Heading2"/>
      </w:pPr>
      <w:r>
        <w:t>180.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group-511ba903d2e10f434e77</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Precise Editing of Indolines at Different Positions via SET and CMD Pathways — https://doi.org/10.1021/jacsau.6c00050</w:t>
      </w:r>
    </w:p>
    <w:p>
      <w:pPr/>
      <w:r>
        <w:rPr>
          <w:b/>
        </w:rPr>
        <w:t>Later source:</w:t>
      </w:r>
      <w:r>
        <w:t xml:space="preserve"> Factors Influencing Participation in Student Evaluation of Teaching (SETs): A Quality Improvement Analysis — https://doi.org/10.1002/jdd.70303</w:t>
      </w:r>
    </w:p>
    <w:p>
      <w:pPr>
        <w:pStyle w:val="SourceNote"/>
      </w:pPr>
      <w:r>
        <w:rPr>
          <w:b/>
        </w:rPr>
        <w:t>Review status:</w:t>
      </w:r>
      <w:r>
        <w:t xml:space="preserve"> unchecked — possible relationship only</w:t>
      </w:r>
    </w:p>
    <w:p>
      <w:pPr>
        <w:pStyle w:val="Heading2"/>
      </w:pPr>
      <w:r>
        <w:t>181. Claim + two later sources: One step ahead? The use of foresight by Czech and Slovak non-governmental organizations</w:t>
      </w:r>
    </w:p>
    <w:p>
      <w:pPr>
        <w:pStyle w:val="SourceNote"/>
      </w:pPr>
      <w:r>
        <w:rPr>
          <w:b/>
        </w:rPr>
        <w:t>Group ID:</w:t>
      </w:r>
      <w:r>
        <w:t xml:space="preserve"> group-2bc333f213a83c6abcba</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The End of Bourgeois Humanism and the Mindfulness of Nature in Adorno’s Writings of the 1950s and 1960s — https://doi.org/10.65272/978-88-6977-570-3_5</w:t>
      </w:r>
    </w:p>
    <w:p>
      <w:pPr/>
      <w:r>
        <w:rPr>
          <w:b/>
        </w:rPr>
        <w:t>Later source:</w:t>
      </w:r>
      <w:r>
        <w:t xml:space="preserve"> Rethinking Automation and the Future of Work with Hannah Arendt — https://doi.org/10.1007/s10551-025-05991-1</w:t>
      </w:r>
    </w:p>
    <w:p>
      <w:pPr>
        <w:pStyle w:val="SourceNote"/>
      </w:pPr>
      <w:r>
        <w:rPr>
          <w:b/>
        </w:rPr>
        <w:t>Review status:</w:t>
      </w:r>
      <w:r>
        <w:t xml:space="preserve"> unchecked — possible relationship only</w:t>
      </w:r>
    </w:p>
    <w:p>
      <w:pPr>
        <w:pStyle w:val="Heading2"/>
      </w:pPr>
      <w:r>
        <w:t>182.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183.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184. Claim + two later sources: A comparison of three transformation pathways towards a sustainable European society - An integrated analysis from an energy system perspective</w:t>
      </w:r>
    </w:p>
    <w:p>
      <w:pPr>
        <w:pStyle w:val="SourceNote"/>
      </w:pPr>
      <w:r>
        <w:rPr>
          <w:b/>
        </w:rPr>
        <w:t>Group ID:</w:t>
      </w:r>
      <w:r>
        <w:t xml:space="preserve"> group-fc2cef96811a3c2da4fb</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A Comprehensive Review of Solar Photovoltaic Systems: Scope, Technologies, Applications, Progress, Challenges, and Recommendations — https://doi.org/10.1109/access.2025.3558539</w:t>
      </w:r>
    </w:p>
    <w:p>
      <w:pPr>
        <w:pStyle w:val="SourceNote"/>
      </w:pPr>
      <w:r>
        <w:rPr>
          <w:b/>
        </w:rPr>
        <w:t>Review status:</w:t>
      </w:r>
      <w:r>
        <w:t xml:space="preserve"> unchecked — possible relationship only</w:t>
      </w:r>
    </w:p>
    <w:p>
      <w:pPr>
        <w:pStyle w:val="Heading2"/>
      </w:pPr>
      <w:r>
        <w:t>185. Claim + two later sources: How much does climate change threaten European forest tree species distributions?</w:t>
      </w:r>
    </w:p>
    <w:p>
      <w:pPr>
        <w:pStyle w:val="SourceNote"/>
      </w:pPr>
      <w:r>
        <w:rPr>
          <w:b/>
        </w:rPr>
        <w:t>Group ID:</w:t>
      </w:r>
      <w:r>
        <w:t xml:space="preserve"> group-feb7e4bb6a708d81f38d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Shamonda virus in Europe: an emerging threat, the potential role of Culicoides and the need for preparedness. — https://doi.org/10.12834/vetit.4095.42263.1</w:t>
      </w:r>
    </w:p>
    <w:p>
      <w:pPr/>
      <w:r>
        <w:rPr>
          <w:b/>
        </w:rPr>
        <w:t>Later source:</w:t>
      </w:r>
      <w:r>
        <w:t xml:space="preserve"> A scoping review of human health co-benefits of forest-based climate change mitigation in Europe — https://doi.org/10.1016/j.envint.2024.108593</w:t>
      </w:r>
    </w:p>
    <w:p>
      <w:pPr>
        <w:pStyle w:val="SourceNote"/>
      </w:pPr>
      <w:r>
        <w:rPr>
          <w:b/>
        </w:rPr>
        <w:t>Review status:</w:t>
      </w:r>
      <w:r>
        <w:t xml:space="preserve"> unchecked — possible relationship only</w:t>
      </w:r>
    </w:p>
    <w:p>
      <w:pPr>
        <w:pStyle w:val="Heading2"/>
      </w:pPr>
      <w:r>
        <w:t>186. Claim + two later sources: European Road Safety Policy 2016-2020: A Forecast on Topics and Activities</w:t>
      </w:r>
    </w:p>
    <w:p>
      <w:pPr>
        <w:pStyle w:val="SourceNote"/>
      </w:pPr>
      <w:r>
        <w:rPr>
          <w:b/>
        </w:rPr>
        <w:t>Group ID:</w:t>
      </w:r>
      <w:r>
        <w:t xml:space="preserve"> group-344d2c1aae1d9c232bf8</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LEGISLATIVE DEVELOPMENTS AND THE EUROPEAN GREEN DEAL: LESSONS LEARNED — https://doi.org/10.36007/5383.2026.289</w:t>
      </w:r>
    </w:p>
    <w:p>
      <w:pPr>
        <w:pStyle w:val="SourceNote"/>
      </w:pPr>
      <w:r>
        <w:rPr>
          <w:b/>
        </w:rPr>
        <w:t>Review status:</w:t>
      </w:r>
      <w:r>
        <w:t xml:space="preserve"> unchecked — possible relationship only</w:t>
      </w:r>
    </w:p>
    <w:p>
      <w:pPr>
        <w:pStyle w:val="Heading2"/>
      </w:pPr>
      <w:r>
        <w:t>187. Claim + two later sources: ECONOMIC GROWTH PROJECTION FOR EUROPEAN UNION BY 2030</w:t>
      </w:r>
    </w:p>
    <w:p>
      <w:pPr>
        <w:pStyle w:val="SourceNote"/>
      </w:pPr>
      <w:r>
        <w:rPr>
          <w:b/>
        </w:rPr>
        <w:t>Group ID:</w:t>
      </w:r>
      <w:r>
        <w:t xml:space="preserve"> group-90c69ae67133f76369cb</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The Development of Energy Policy in the European Union — https://doi.org/10.4324/9781003298403</w:t>
      </w:r>
    </w:p>
    <w:p>
      <w:pPr/>
      <w:r>
        <w:rPr>
          <w:b/>
        </w:rPr>
        <w:t>Later source:</w:t>
      </w:r>
      <w:r>
        <w:t xml:space="preserve"> Institutional Development of Family-owned Businesses in Japan: A European Perspective — https://doi.org/10.25105/ijsmebs.v1i4.20500</w:t>
      </w:r>
    </w:p>
    <w:p>
      <w:pPr>
        <w:pStyle w:val="SourceNote"/>
      </w:pPr>
      <w:r>
        <w:rPr>
          <w:b/>
        </w:rPr>
        <w:t>Review status:</w:t>
      </w:r>
      <w:r>
        <w:t xml:space="preserve"> unchecked — possible relationship only</w:t>
      </w:r>
    </w:p>
    <w:p>
      <w:pPr>
        <w:pStyle w:val="Heading2"/>
      </w:pPr>
      <w:r>
        <w:t>188. Claim + two later sources: Which way to net zero? a comparative analysis of seven UK 2050 decarbonisation pathways</w:t>
      </w:r>
    </w:p>
    <w:p>
      <w:pPr>
        <w:pStyle w:val="SourceNote"/>
      </w:pPr>
      <w:r>
        <w:rPr>
          <w:b/>
        </w:rPr>
        <w:t>Group ID:</w:t>
      </w:r>
      <w:r>
        <w:t xml:space="preserve"> group-89103bd310664a4c5bf0</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Persistent Identifiers in Germany: Key Findings of a Nationwide Survey — https://doi.org/10.5334/dsj-2026-028</w:t>
      </w:r>
    </w:p>
    <w:p>
      <w:pPr/>
      <w:r>
        <w:rPr>
          <w:b/>
        </w:rPr>
        <w:t>Later source:</w:t>
      </w:r>
      <w:r>
        <w:t xml:space="preserve"> Should Firms Avoid Relying on Key Employees? Evidence From Inventors — https://doi.org/10.1111/eufm.70014</w:t>
      </w:r>
    </w:p>
    <w:p>
      <w:pPr>
        <w:pStyle w:val="SourceNote"/>
      </w:pPr>
      <w:r>
        <w:rPr>
          <w:b/>
        </w:rPr>
        <w:t>Review status:</w:t>
      </w:r>
      <w:r>
        <w:t xml:space="preserve"> unchecked — possible relationship only</w:t>
      </w:r>
    </w:p>
    <w:p>
      <w:pPr>
        <w:pStyle w:val="Heading2"/>
      </w:pPr>
      <w:r>
        <w:t>189. Claim + two later sources: Interpreting long-term energy scenarios and the role of bioenergy in Germany</w:t>
      </w:r>
    </w:p>
    <w:p>
      <w:pPr>
        <w:pStyle w:val="SourceNote"/>
      </w:pPr>
      <w:r>
        <w:rPr>
          <w:b/>
        </w:rPr>
        <w:t>Group ID:</w:t>
      </w:r>
      <w:r>
        <w:t xml:space="preserve"> group-a702f960c49d22128771</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The Securitization of Islam in the Context of European Identityand the Attitudes of Europeans Towards Muslim Immigrants and Refugees — https://doi.org/10.34739/dsd.2024.02.02</w:t>
      </w:r>
    </w:p>
    <w:p>
      <w:pPr/>
      <w:r>
        <w:rPr>
          <w:b/>
        </w:rPr>
        <w:t>Later source:</w:t>
      </w:r>
      <w:r>
        <w:t xml:space="preserve"> LITERATURE REVIEW AND ANALYSIS OF RESEARCH CONDUCTED IN EUROPE ON HEALTH LITERACY — https://doi.org/10.34739/zn.2023.61.13</w:t>
      </w:r>
    </w:p>
    <w:p>
      <w:pPr>
        <w:pStyle w:val="SourceNote"/>
      </w:pPr>
      <w:r>
        <w:rPr>
          <w:b/>
        </w:rPr>
        <w:t>Review status:</w:t>
      </w:r>
      <w:r>
        <w:t xml:space="preserve"> unchecked — possible relationship only</w:t>
      </w:r>
    </w:p>
    <w:p>
      <w:pPr>
        <w:pStyle w:val="Heading2"/>
      </w:pPr>
      <w:r>
        <w:t>190. Claim + two later sources: Czech Republic as A Deferring Factor for European Union to Achieve Climate Change Measures</w:t>
      </w:r>
    </w:p>
    <w:p>
      <w:pPr>
        <w:pStyle w:val="SourceNote"/>
      </w:pPr>
      <w:r>
        <w:rPr>
          <w:b/>
        </w:rPr>
        <w:t>Group ID:</w:t>
      </w:r>
      <w:r>
        <w:t xml:space="preserve"> group-fdc3ed0a539daf0dee3b</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Contemporary European conducting process: educational models — https://doi.org/10.34064/khnum1-72.05</w:t>
      </w:r>
    </w:p>
    <w:p>
      <w:pPr>
        <w:pStyle w:val="SourceNote"/>
      </w:pPr>
      <w:r>
        <w:rPr>
          <w:b/>
        </w:rPr>
        <w:t>Review status:</w:t>
      </w:r>
      <w:r>
        <w:t xml:space="preserve"> unchecked — possible relationship only</w:t>
      </w:r>
    </w:p>
    <w:p>
      <w:pPr>
        <w:pStyle w:val="Heading2"/>
      </w:pPr>
      <w:r>
        <w:t>191. Claim + two later sources: Potential stocks and increments of woody biomass in the European Union under different management and climate scenarios</w:t>
      </w:r>
    </w:p>
    <w:p>
      <w:pPr>
        <w:pStyle w:val="SourceNote"/>
      </w:pPr>
      <w:r>
        <w:rPr>
          <w:b/>
        </w:rPr>
        <w:t>Group ID:</w:t>
      </w:r>
      <w:r>
        <w:t xml:space="preserve"> group-ce2f375c7f8137b58d70</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Effect of forest stand thinning on tree biomass carbon stock — https://doi.org/10.22616/erdev.2024.23.tf009</w:t>
      </w:r>
    </w:p>
    <w:p>
      <w:pPr/>
      <w:r>
        <w:rPr>
          <w:b/>
        </w:rPr>
        <w:t>Later source:</w:t>
      </w:r>
      <w:r>
        <w:t xml:space="preserve"> The overlooked contribution of trees outside forests to tree cover and woody biomass across Europe — https://doi.org/10.1126/sciadv.adh4097</w:t>
      </w:r>
    </w:p>
    <w:p>
      <w:pPr>
        <w:pStyle w:val="SourceNote"/>
      </w:pPr>
      <w:r>
        <w:rPr>
          <w:b/>
        </w:rPr>
        <w:t>Review status:</w:t>
      </w:r>
      <w:r>
        <w:t xml:space="preserve"> unchecked — possible relationship only</w:t>
      </w:r>
    </w:p>
    <w:p>
      <w:pPr>
        <w:pStyle w:val="Heading2"/>
      </w:pPr>
      <w:r>
        <w:t>192. Claim + two later sources: Foresight on the future of public research metrology in Europe</w:t>
      </w:r>
    </w:p>
    <w:p>
      <w:pPr>
        <w:pStyle w:val="SourceNote"/>
      </w:pPr>
      <w:r>
        <w:rPr>
          <w:b/>
        </w:rPr>
        <w:t>Group ID:</w:t>
      </w:r>
      <w:r>
        <w:t xml:space="preserve"> group-e30dac9086e0620366b5</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Characteristics of special purpose acquisition companies as a new challenge in European markets — https://doi.org/10.5937/bizinfo2401089d</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possible relationship only</w:t>
      </w:r>
    </w:p>
    <w:p>
      <w:pPr>
        <w:pStyle w:val="Heading2"/>
      </w:pPr>
      <w:r>
        <w:t>193. Claim + two later sources: Crisis futures: The affects and temporalities of economic collapse in Iceland</w:t>
      </w:r>
    </w:p>
    <w:p>
      <w:pPr>
        <w:pStyle w:val="SourceNote"/>
      </w:pPr>
      <w:r>
        <w:rPr>
          <w:b/>
        </w:rPr>
        <w:t>Group ID:</w:t>
      </w:r>
      <w:r>
        <w:t xml:space="preserve"> group-a9670ab7fab1ea5f19e7</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"Happy those for whom the fold of ...": Intention and interpretation in the unfinished Romantic poetic text — https://openalex.org/W7135642000</w:t>
      </w:r>
    </w:p>
    <w:p>
      <w:pPr/>
      <w:r>
        <w:rPr>
          <w:b/>
        </w:rPr>
        <w:t>Later source:</w:t>
      </w:r>
      <w:r>
        <w:t xml:space="preserve"> The unfinished business of Church history — https://doi.org/10.4102/ve.v42i1.2329</w:t>
      </w:r>
    </w:p>
    <w:p>
      <w:pPr>
        <w:pStyle w:val="SourceNote"/>
      </w:pPr>
      <w:r>
        <w:rPr>
          <w:b/>
        </w:rPr>
        <w:t>Review status:</w:t>
      </w:r>
      <w:r>
        <w:t xml:space="preserve"> unchecked — possible relationship only</w:t>
      </w:r>
    </w:p>
    <w:p>
      <w:pPr>
        <w:pStyle w:val="Heading2"/>
      </w:pPr>
      <w:r>
        <w:t>194. Claim + two later sources: The perspectives of development of high-speed rail network in the European Union till</w:t>
        <w:br/>
        <w:t>the year 2050</w:t>
      </w:r>
    </w:p>
    <w:p>
      <w:pPr>
        <w:pStyle w:val="SourceNote"/>
      </w:pPr>
      <w:r>
        <w:rPr>
          <w:b/>
        </w:rPr>
        <w:t>Group ID:</w:t>
      </w:r>
      <w:r>
        <w:t xml:space="preserve"> group-688f9ebdafa1eed59b31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Selecting and analysing climate change adaptation measures at six research sites across Europe — https://doi.org/10.5194/nhess-21-2145-2021</w:t>
      </w:r>
    </w:p>
    <w:p>
      <w:pPr/>
      <w:r>
        <w:rPr>
          <w:b/>
        </w:rPr>
        <w:t>Later source:</w:t>
      </w:r>
      <w:r>
        <w:t xml:space="preserve"> Treatment and Outcome in Children With Tuberculous Meningitis: A Multicenter Pediatric Tuberculosis Network European Trials Group Study — https://doi.org/10.1093/cid/ciab982</w:t>
      </w:r>
    </w:p>
    <w:p>
      <w:pPr>
        <w:pStyle w:val="SourceNote"/>
      </w:pPr>
      <w:r>
        <w:rPr>
          <w:b/>
        </w:rPr>
        <w:t>Review status:</w:t>
      </w:r>
      <w:r>
        <w:t xml:space="preserve"> unchecked — possible relationship only</w:t>
      </w:r>
    </w:p>
    <w:p>
      <w:pPr>
        <w:pStyle w:val="Heading2"/>
      </w:pPr>
      <w:r>
        <w:t>195. Claim + two later sources: Long-term vision of rural areas in Hungary, focusing on foresights</w:t>
      </w:r>
    </w:p>
    <w:p>
      <w:pPr>
        <w:pStyle w:val="SourceNote"/>
      </w:pPr>
      <w:r>
        <w:rPr>
          <w:b/>
        </w:rPr>
        <w:t>Group ID:</w:t>
      </w:r>
      <w:r>
        <w:t xml:space="preserve"> group-65324a9a3b61c905122d</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Central And Eastern European Companies in Africa. The Case of Hungarian Businesses — https://doi.org/10.18267/pr.2026.vol.2587.3</w:t>
      </w:r>
    </w:p>
    <w:p>
      <w:pPr/>
      <w:r>
        <w:rPr>
          <w:b/>
        </w:rPr>
        <w:t>Later source:</w:t>
      </w:r>
      <w:r>
        <w:t xml:space="preserve"> Nutritional therapy of post-stroke dysphagia patients, with special reference to the role of dietitians in multidisciplinary teams: A Hungarian study — https://doi.org/10.1556/2066.2025.00068</w:t>
      </w:r>
    </w:p>
    <w:p>
      <w:pPr>
        <w:pStyle w:val="SourceNote"/>
      </w:pPr>
      <w:r>
        <w:rPr>
          <w:b/>
        </w:rPr>
        <w:t>Review status:</w:t>
      </w:r>
      <w:r>
        <w:t xml:space="preserve"> unchecked — possible relationship only</w:t>
      </w:r>
    </w:p>
    <w:p>
      <w:pPr>
        <w:pStyle w:val="Heading2"/>
      </w:pPr>
      <w:r>
        <w:t>196. Claim + two later sources: European human‐dominated landscapes provide ample space for the recolonization of large carnivore populations under future land change scenarios</w:t>
      </w:r>
    </w:p>
    <w:p>
      <w:pPr>
        <w:pStyle w:val="SourceNote"/>
      </w:pPr>
      <w:r>
        <w:rPr>
          <w:b/>
        </w:rPr>
        <w:t>Group ID:</w:t>
      </w:r>
      <w:r>
        <w:t xml:space="preserve"> group-3086d43b3ef92fbe4f7f</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Tipping points and farmer decision-making in European permanent grassland (PG) agricultural systems — https://doi.org/10.1016/j.jrurstud.2024.103364</w:t>
      </w:r>
    </w:p>
    <w:p>
      <w:pPr/>
      <w:r>
        <w:rPr>
          <w:b/>
        </w:rPr>
        <w:t>Later source:</w:t>
      </w:r>
      <w:r>
        <w:t xml:space="preserve"> Land surface phenology for the characterization of Mediterranean permanent grasslands — https://doi.org/10.1007/s11119-024-10215-z</w:t>
      </w:r>
    </w:p>
    <w:p>
      <w:pPr>
        <w:pStyle w:val="SourceNote"/>
      </w:pPr>
      <w:r>
        <w:rPr>
          <w:b/>
        </w:rPr>
        <w:t>Review status:</w:t>
      </w:r>
      <w:r>
        <w:t xml:space="preserve"> unchecked — possible relationship only</w:t>
      </w:r>
    </w:p>
    <w:p>
      <w:pPr>
        <w:pStyle w:val="Heading2"/>
      </w:pPr>
      <w:r>
        <w:t>197. Claim + two later sources: Quantifying the sensitivity of european power systems to energy scenarios and climate change projections</w:t>
      </w:r>
    </w:p>
    <w:p>
      <w:pPr>
        <w:pStyle w:val="SourceNote"/>
      </w:pPr>
      <w:r>
        <w:rPr>
          <w:b/>
        </w:rPr>
        <w:t>Group ID:</w:t>
      </w:r>
      <w:r>
        <w:t xml:space="preserve"> group-170592e0ec6640b465c7</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Spatial shifts of seasonal vegetation cycles in Europe over time — https://doi.org/10.5194/egusphere-egu25-11953</w:t>
      </w:r>
    </w:p>
    <w:p>
      <w:pPr/>
      <w:r>
        <w:rPr>
          <w:b/>
        </w:rPr>
        <w:t>Later source:</w:t>
      </w:r>
      <w:r>
        <w:t xml:space="preserve"> The spatiotemporal dynamics of COVID-19 in Europe: time-series clustering maps 5 distinct trajectories to spatial patterns — https://doi.org/10.1186/s12963-025-00405-w</w:t>
      </w:r>
    </w:p>
    <w:p>
      <w:pPr>
        <w:pStyle w:val="SourceNote"/>
      </w:pPr>
      <w:r>
        <w:rPr>
          <w:b/>
        </w:rPr>
        <w:t>Review status:</w:t>
      </w:r>
      <w:r>
        <w:t xml:space="preserve"> unchecked — possible relationship only</w:t>
      </w:r>
    </w:p>
    <w:p>
      <w:pPr>
        <w:pStyle w:val="Heading2"/>
      </w:pPr>
      <w:r>
        <w:t>198. Claim + two later sources: After-crisis Scenarios for the European Regions</w:t>
      </w:r>
    </w:p>
    <w:p>
      <w:pPr>
        <w:pStyle w:val="SourceNote"/>
      </w:pPr>
      <w:r>
        <w:rPr>
          <w:b/>
        </w:rPr>
        <w:t>Group ID:</w:t>
      </w:r>
      <w:r>
        <w:t xml:space="preserve"> group-d2eb864ee39774a7f4bd</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The New European Bauhaus Academy: a novel skills, knowledge and innovation platform to boost sustainable construction within the built environment — https://doi.org/10.5281/zenodo.20586709</w:t>
      </w:r>
    </w:p>
    <w:p>
      <w:pPr/>
      <w:r>
        <w:rPr>
          <w:b/>
        </w:rPr>
        <w:t>Later source:</w:t>
      </w:r>
      <w:r>
        <w:t xml:space="preserve"> Public perception of dermatologists in Europe — https://openalex.org/W7171337581</w:t>
      </w:r>
    </w:p>
    <w:p>
      <w:pPr>
        <w:pStyle w:val="SourceNote"/>
      </w:pPr>
      <w:r>
        <w:rPr>
          <w:b/>
        </w:rPr>
        <w:t>Review status:</w:t>
      </w:r>
      <w:r>
        <w:t xml:space="preserve"> unchecked — possible relationship only</w:t>
      </w:r>
    </w:p>
    <w:p>
      <w:pPr>
        <w:pStyle w:val="Heading2"/>
      </w:pPr>
      <w:r>
        <w:t>199. Claim + two later sources: Proposals of European Citizens for Reviving the Future of Shrinking Areas</w:t>
      </w:r>
    </w:p>
    <w:p>
      <w:pPr>
        <w:pStyle w:val="SourceNote"/>
      </w:pPr>
      <w:r>
        <w:rPr>
          <w:b/>
        </w:rPr>
        <w:t>Group ID:</w:t>
      </w:r>
      <w:r>
        <w:t xml:space="preserve"> group-c1a5108ff84447ffa0f5</w:t>
      </w:r>
    </w:p>
    <w:p>
      <w:pPr>
        <w:pStyle w:val="SourceNote"/>
      </w:pPr>
      <w:r>
        <w:rPr>
          <w:b/>
        </w:rPr>
        <w:t>Original source:</w:t>
      </w:r>
      <w:r>
        <w:t xml:space="preserve"> https://doi.org/10.2478/quageo-2021-0039</w:t>
      </w:r>
    </w:p>
    <w:p>
      <w:pPr/>
      <w:r>
        <w:rPr>
          <w:b/>
        </w:rPr>
        <w:t>Original future claim:</w:t>
      </w:r>
      <w:r>
        <w:t xml:space="preserve">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Tourism in Depopulation Contexts: A Hybrid Bibliometric and Narrative Systematic Review — https://doi.org/10.3390/world7030040</w:t>
      </w:r>
    </w:p>
    <w:p>
      <w:pPr/>
      <w:r>
        <w:rPr>
          <w:b/>
        </w:rPr>
        <w:t>Later source:</w:t>
      </w:r>
      <w:r>
        <w:t xml:space="preserve"> Analysis of housing in depopulated rural areas: a transnational comparison — https://doi.org/10.4995/vlc.2026.25269</w:t>
      </w:r>
    </w:p>
    <w:p>
      <w:pPr>
        <w:pStyle w:val="SourceNote"/>
      </w:pPr>
      <w:r>
        <w:rPr>
          <w:b/>
        </w:rPr>
        <w:t>Review status:</w:t>
      </w:r>
      <w:r>
        <w:t xml:space="preserve"> unchecked — possible relationship only</w:t>
      </w:r>
    </w:p>
    <w:p>
      <w:pPr>
        <w:pStyle w:val="Heading2"/>
      </w:pPr>
      <w:r>
        <w:t>200. Claim + two later sources: Analytical support to foresighting EU roles as a Global Security Actor</w:t>
      </w:r>
    </w:p>
    <w:p>
      <w:pPr>
        <w:pStyle w:val="SourceNote"/>
      </w:pPr>
      <w:r>
        <w:rPr>
          <w:b/>
        </w:rPr>
        <w:t>Group ID:</w:t>
      </w:r>
      <w:r>
        <w:t xml:space="preserve"> group-1fd6323d113de5be1700</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THE IMPORTANCE OF MP’S PROFILE IN MAKING SECURITY DECISIONS — https://doi.org/10.20544/icp.8.1.23.p30</w:t>
      </w:r>
    </w:p>
    <w:p>
      <w:pPr/>
      <w:r>
        <w:rPr>
          <w:b/>
        </w:rPr>
        <w:t>Later source:</w:t>
      </w:r>
      <w:r>
        <w:t xml:space="preserve"> Risky decision-making in major depressive disorder: A three-level meta-analysis — https://doi.org/10.1016/j.ijchp.2023.100417</w:t>
      </w:r>
    </w:p>
    <w:p>
      <w:pPr>
        <w:pStyle w:val="SourceNote"/>
      </w:pPr>
      <w:r>
        <w:rPr>
          <w:b/>
        </w:rPr>
        <w:t>Review status:</w:t>
      </w:r>
      <w:r>
        <w:t xml:space="preserve"> unchecked — possible relationship only</w:t>
      </w:r>
    </w:p>
    <w:p>
      <w:pPr>
        <w:pStyle w:val="Heading2"/>
      </w:pPr>
      <w:r>
        <w:t>201. Claim + two later sources: Scenarios for European agricultural policymaking in the era of digitalisation</w:t>
      </w:r>
    </w:p>
    <w:p>
      <w:pPr>
        <w:pStyle w:val="SourceNote"/>
      </w:pPr>
      <w:r>
        <w:rPr>
          <w:b/>
        </w:rPr>
        <w:t>Group ID:</w:t>
      </w:r>
      <w:r>
        <w:t xml:space="preserve"> group-e5092bbdc7d7207f2c44</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Is Digitalization Alone Enough for Tax Revenue Mobilization Across Europe and Asia? — https://doi.org/10.24912/je.v31i2.4056</w:t>
      </w:r>
    </w:p>
    <w:p>
      <w:pPr/>
      <w:r>
        <w:rPr>
          <w:b/>
        </w:rPr>
        <w:t>Later source:</w:t>
      </w:r>
      <w:r>
        <w:t xml:space="preserve"> Understanding Driver Distraction : Key Performance Indicator Findings from Baseline and Trendline in 4 European Countries — https://openalex.org/W7137534956</w:t>
      </w:r>
    </w:p>
    <w:p>
      <w:pPr>
        <w:pStyle w:val="SourceNote"/>
      </w:pPr>
      <w:r>
        <w:rPr>
          <w:b/>
        </w:rPr>
        <w:t>Review status:</w:t>
      </w:r>
      <w:r>
        <w:t xml:space="preserve"> unchecked — possible relationship only</w:t>
      </w:r>
    </w:p>
    <w:p>
      <w:pPr>
        <w:pStyle w:val="Heading2"/>
      </w:pPr>
      <w:r>
        <w:t>202. Claim + two later sources: STRATEGIC DIRECTIONS OF DEVELOPMENT OF THE POLISH POWER SECTOR IN THE LIGHT OF CLIMATE AND ENERGY POLICY OF THE EUROPEAN UNION</w:t>
      </w:r>
    </w:p>
    <w:p>
      <w:pPr>
        <w:pStyle w:val="SourceNote"/>
      </w:pPr>
      <w:r>
        <w:rPr>
          <w:b/>
        </w:rPr>
        <w:t>Group ID:</w:t>
      </w:r>
      <w:r>
        <w:t xml:space="preserve"> group-bdd335acd105b496ce33</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Analysis of Demand-Driven Operation in an Existing Biogas Plant Under Polish Electricity Market Conditions — https://doi.org/10.3390/en19133119</w:t>
      </w:r>
    </w:p>
    <w:p>
      <w:pPr>
        <w:pStyle w:val="SourceNote"/>
      </w:pPr>
      <w:r>
        <w:rPr>
          <w:b/>
        </w:rPr>
        <w:t>Review status:</w:t>
      </w:r>
      <w:r>
        <w:t xml:space="preserve"> unchecked — possible relationship only</w:t>
      </w:r>
    </w:p>
    <w:p>
      <w:pPr>
        <w:pStyle w:val="Heading2"/>
      </w:pPr>
      <w:r>
        <w:t>203. Claim + two later sources: MARKET DRIVEN POWER PLANT INVESTMENT PERSPECTIVES IN EUROPE: CLIMATE POLICY AND TECHNOLOGY SCENARIOS UNTIL 2050 IN THE MODEL EMELIE-ESY</w:t>
      </w:r>
    </w:p>
    <w:p>
      <w:pPr>
        <w:pStyle w:val="SourceNote"/>
      </w:pPr>
      <w:r>
        <w:rPr>
          <w:b/>
        </w:rPr>
        <w:t>Group ID:</w:t>
      </w:r>
      <w:r>
        <w:t xml:space="preserve"> group-93d9c2b3190b2dacf5f7</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Stochastic Models of Electricity Consumption — https://doi.org/10.17150/2713-1734.2024.6(1).31-46</w:t>
      </w:r>
    </w:p>
    <w:p>
      <w:pPr>
        <w:pStyle w:val="SourceNote"/>
      </w:pPr>
      <w:r>
        <w:rPr>
          <w:b/>
        </w:rPr>
        <w:t>Review status:</w:t>
      </w:r>
      <w:r>
        <w:t xml:space="preserve"> unchecked — possible relationship only</w:t>
      </w:r>
    </w:p>
    <w:p>
      <w:pPr>
        <w:pStyle w:val="Heading2"/>
      </w:pPr>
      <w:r>
        <w:t>204.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group-8271259b72fce10a6694</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Empowering energy consumers in the EU : legal pathways for promoting renewable electricity through demand-side management — https://openalex.org/W7125460656</w:t>
      </w:r>
    </w:p>
    <w:p>
      <w:pPr/>
      <w:r>
        <w:rPr>
          <w:b/>
        </w:rPr>
        <w:t>Later source:</w:t>
      </w:r>
      <w:r>
        <w:t xml:space="preserve"> Pathways to meeting growing electricity demand through expanding customer choice: a review of emerging hybrid power choice policies and practices — https://doi.org/10.3389/fsuep.2026.1766514</w:t>
      </w:r>
    </w:p>
    <w:p>
      <w:pPr>
        <w:pStyle w:val="SourceNote"/>
      </w:pPr>
      <w:r>
        <w:rPr>
          <w:b/>
        </w:rPr>
        <w:t>Review status:</w:t>
      </w:r>
      <w:r>
        <w:t xml:space="preserve"> unchecked — possible relationship only</w:t>
      </w:r>
    </w:p>
    <w:p>
      <w:pPr>
        <w:pStyle w:val="Heading2"/>
      </w:pPr>
      <w:r>
        <w:t>205. Claim + two later sources: Policy Modelling for Ambitious Energy Efficiency Investment in the EU Residential Buildings</w:t>
      </w:r>
    </w:p>
    <w:p>
      <w:pPr>
        <w:pStyle w:val="SourceNote"/>
      </w:pPr>
      <w:r>
        <w:rPr>
          <w:b/>
        </w:rPr>
        <w:t>Group ID:</w:t>
      </w:r>
      <w:r>
        <w:t xml:space="preserve"> group-10e291833cf7685067a1</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Empirical research of foreign direct investments efficiency in the European Union on the edge of pandemic outbreak — https://doi.org/10.1371/journal.pone.0313161</w:t>
      </w:r>
    </w:p>
    <w:p>
      <w:pPr/>
      <w:r>
        <w:rPr>
          <w:b/>
        </w:rPr>
        <w:t>Later source:</w:t>
      </w:r>
      <w:r>
        <w:t xml:space="preserve"> Editorial: Ex situ conservation of plant genetic resources in Europe – A journey through history, mission, challenges and future opportunities — https://doi.org/10.46265/genresj.blds6319</w:t>
      </w:r>
    </w:p>
    <w:p>
      <w:pPr>
        <w:pStyle w:val="SourceNote"/>
      </w:pPr>
      <w:r>
        <w:rPr>
          <w:b/>
        </w:rPr>
        <w:t>Review status:</w:t>
      </w:r>
      <w:r>
        <w:t xml:space="preserve"> unchecked — possible relationship only</w:t>
      </w:r>
    </w:p>
    <w:p>
      <w:pPr>
        <w:pStyle w:val="Heading2"/>
      </w:pPr>
      <w:r>
        <w:t>206. Claim + two later sources: A New Climate for Europe: 2030 Climate Targets Must Be More Ambitious</w:t>
      </w:r>
    </w:p>
    <w:p>
      <w:pPr>
        <w:pStyle w:val="SourceNote"/>
      </w:pPr>
      <w:r>
        <w:rPr>
          <w:b/>
        </w:rPr>
        <w:t>Group ID:</w:t>
      </w:r>
      <w:r>
        <w:t xml:space="preserve"> group-2c85a88d49125f30593b</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The 2026 Europe report of the Lancet Countdown on health and climate change: narrowing window for decisive health action — https://doi.org/10.1016/s2468-2667(26)00025-3</w:t>
      </w:r>
    </w:p>
    <w:p>
      <w:pPr/>
      <w:r>
        <w:rPr>
          <w:b/>
        </w:rPr>
        <w:t>Later source:</w:t>
      </w:r>
      <w:r>
        <w:t xml:space="preserve"> Simulating Nature Futures Pathways for Europe using a Nexus Modelling Framework — https://doi.org/10.5281/zenodo.22918966</w:t>
      </w:r>
    </w:p>
    <w:p>
      <w:pPr>
        <w:pStyle w:val="SourceNote"/>
      </w:pPr>
      <w:r>
        <w:rPr>
          <w:b/>
        </w:rPr>
        <w:t>Review status:</w:t>
      </w:r>
      <w:r>
        <w:t xml:space="preserve"> unchecked — possible relationship only</w:t>
      </w:r>
    </w:p>
    <w:p>
      <w:pPr>
        <w:pStyle w:val="Heading2"/>
      </w:pPr>
      <w:r>
        <w:t>207. Claim + two later sources: Dutch Public health Foresight study 2018/20</w:t>
      </w:r>
    </w:p>
    <w:p>
      <w:pPr>
        <w:pStyle w:val="SourceNote"/>
      </w:pPr>
      <w:r>
        <w:rPr>
          <w:b/>
        </w:rPr>
        <w:t>Group ID:</w:t>
      </w:r>
      <w:r>
        <w:t xml:space="preserve"> group-de61c650db018e97a61b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Seeking the Cause of Dementia: An Analysis of Correlation Leading to Hypotheses for Causation and the Grok-Ritchie Dementia Protocol — https://doi.org/10.5281/zenodo.19362993</w:t>
      </w:r>
    </w:p>
    <w:p>
      <w:pPr>
        <w:pStyle w:val="SourceNote"/>
      </w:pPr>
      <w:r>
        <w:rPr>
          <w:b/>
        </w:rPr>
        <w:t>Review status:</w:t>
      </w:r>
      <w:r>
        <w:t xml:space="preserve"> unchecked — possible relationship only</w:t>
      </w:r>
    </w:p>
    <w:p>
      <w:pPr>
        <w:pStyle w:val="Heading2"/>
      </w:pPr>
      <w:r>
        <w:t>208. Claim + two later sources: Constructing Resilient Futures: Integrating UK multi-stakeholder transport and energy resilience for 2050</w:t>
      </w:r>
    </w:p>
    <w:p>
      <w:pPr>
        <w:pStyle w:val="SourceNote"/>
      </w:pPr>
      <w:r>
        <w:rPr>
          <w:b/>
        </w:rPr>
        <w:t>Group ID:</w:t>
      </w:r>
      <w:r>
        <w:t xml:space="preserve"> group-f8eb019d0aa5c3ab4503</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Online Interest in Radical Islam and Terrorist Attacks — https://doi.org/10.1515/peps-2024-0054</w:t>
      </w:r>
    </w:p>
    <w:p>
      <w:pPr/>
      <w:r>
        <w:rPr>
          <w:b/>
        </w:rPr>
        <w:t>Later source:</w:t>
      </w:r>
      <w:r>
        <w:t xml:space="preserve"> PREVENTION OF TERRORIST ATTACKS ON CRITICAL INFRASTRUCTURE ON THE EXAMPLE OF AN AIRPORT — https://doi.org/10.29119/1641-3466.2025.216.13</w:t>
      </w:r>
    </w:p>
    <w:p>
      <w:pPr>
        <w:pStyle w:val="SourceNote"/>
      </w:pPr>
      <w:r>
        <w:rPr>
          <w:b/>
        </w:rPr>
        <w:t>Review status:</w:t>
      </w:r>
      <w:r>
        <w:t xml:space="preserve"> unchecked — possible relationship only</w:t>
      </w:r>
    </w:p>
    <w:p>
      <w:pPr>
        <w:pStyle w:val="Heading2"/>
      </w:pPr>
      <w:r>
        <w:t>209. Claim + two later sources: An Agent-Based Assessment of Land Use and Ecosystem Changes in Traditional Agricultural Landscape of Portugal</w:t>
      </w:r>
    </w:p>
    <w:p>
      <w:pPr>
        <w:pStyle w:val="SourceNote"/>
      </w:pPr>
      <w:r>
        <w:rPr>
          <w:b/>
        </w:rPr>
        <w:t>Group ID:</w:t>
      </w:r>
      <w:r>
        <w:t xml:space="preserve"> group-eb955d850f24e9f93ee7</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Spatiotemporal analysis of montado land cover dynamics in southern Portugal: the influence of anthropogenic and natural disturbances — https://doi.org/10.1007/s10457-026-01564-x</w:t>
      </w:r>
    </w:p>
    <w:p>
      <w:pPr/>
      <w:r>
        <w:rPr>
          <w:b/>
        </w:rPr>
        <w:t>Later source:</w:t>
      </w:r>
      <w:r>
        <w:t xml:space="preserve"> The impact of protected areas on mammal conservation in Europe — https://openalex.org/W7135676786</w:t>
      </w:r>
    </w:p>
    <w:p>
      <w:pPr>
        <w:pStyle w:val="SourceNote"/>
      </w:pPr>
      <w:r>
        <w:rPr>
          <w:b/>
        </w:rPr>
        <w:t>Review status:</w:t>
      </w:r>
      <w:r>
        <w:t xml:space="preserve"> unchecked — possible relationship only</w:t>
      </w:r>
    </w:p>
    <w:p>
      <w:pPr>
        <w:pStyle w:val="Heading2"/>
      </w:pPr>
      <w:r>
        <w:t>210. Claim + two later sources: A history of futures: A review of scenario use in water policy studies in the Netherlands</w:t>
      </w:r>
    </w:p>
    <w:p>
      <w:pPr>
        <w:pStyle w:val="SourceNote"/>
      </w:pPr>
      <w:r>
        <w:rPr>
          <w:b/>
        </w:rPr>
        <w:t>Group ID:</w:t>
      </w:r>
      <w:r>
        <w:t xml:space="preserve"> group-5b558553800abab81f0a</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Assessing the energy security of European Union countries from two perspectives – A new integrated approach based on MCDM methods — https://doi.org/10.1016/j.apenergy.2023.121443</w:t>
      </w:r>
    </w:p>
    <w:p>
      <w:pPr/>
      <w:r>
        <w:rPr>
          <w:b/>
        </w:rPr>
        <w:t>Later source:</w:t>
      </w:r>
      <w:r>
        <w:t xml:space="preserve"> Approval of artificial intelligence and machine learning-based medical devices in the USA and Europe (2015–20): a comparative analysis — https://doi.org/10.1016/s2589-7500(20)30292-2</w:t>
      </w:r>
    </w:p>
    <w:p>
      <w:pPr>
        <w:pStyle w:val="SourceNote"/>
      </w:pPr>
      <w:r>
        <w:rPr>
          <w:b/>
        </w:rPr>
        <w:t>Review status:</w:t>
      </w:r>
      <w:r>
        <w:t xml:space="preserve"> unchecked — possible relationship only</w:t>
      </w:r>
    </w:p>
    <w:p>
      <w:pPr>
        <w:pStyle w:val="Heading2"/>
      </w:pPr>
      <w:r>
        <w:t>211. Claim + two later sources: Anticipatory governance for newcomers: lessons learned from the UK, the Netherlands, Finland, and Korea</w:t>
      </w:r>
    </w:p>
    <w:p>
      <w:pPr>
        <w:pStyle w:val="SourceNote"/>
      </w:pPr>
      <w:r>
        <w:rPr>
          <w:b/>
        </w:rPr>
        <w:t>Group ID:</w:t>
      </w:r>
      <w:r>
        <w:t xml:space="preserve"> group-f40e6add07e5cd2e8e1d</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Educating and raising public awareness about floods with uniformed high-water marks — https://doi.org/10.5194/ems2025-48</w:t>
      </w:r>
    </w:p>
    <w:p>
      <w:pPr/>
      <w:r>
        <w:rPr>
          <w:b/>
        </w:rPr>
        <w:t>Later source:</w:t>
      </w:r>
      <w:r>
        <w:t xml:space="preserve"> I CAN SPEAK: LOCAL GOVERNMENT REPRESENTATIVES TO EDUCATE THE PUBLIC TO SPEAK ENGLISH — https://openalex.org/W7216915950</w:t>
      </w:r>
    </w:p>
    <w:p>
      <w:pPr>
        <w:pStyle w:val="SourceNote"/>
      </w:pPr>
      <w:r>
        <w:rPr>
          <w:b/>
        </w:rPr>
        <w:t>Review status:</w:t>
      </w:r>
      <w:r>
        <w:t xml:space="preserve"> unchecked — possible relationship only</w:t>
      </w:r>
    </w:p>
    <w:p>
      <w:pPr>
        <w:pStyle w:val="Heading2"/>
      </w:pPr>
      <w:r>
        <w:t>212. Claim + two later sources: Foresight and “grand challenges” within research and innovation policies</w:t>
      </w:r>
    </w:p>
    <w:p>
      <w:pPr>
        <w:pStyle w:val="SourceNote"/>
      </w:pPr>
      <w:r>
        <w:rPr>
          <w:b/>
        </w:rPr>
        <w:t>Group ID:</w:t>
      </w:r>
      <w:r>
        <w:t xml:space="preserve"> group-b79aa7e1225ef33b95d5</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Meaning, Purpose, and Leadership Thriving — https://doi.org/10.1002/jls.70045</w:t>
      </w:r>
    </w:p>
    <w:p>
      <w:pPr/>
      <w:r>
        <w:rPr>
          <w:b/>
        </w:rPr>
        <w:t>Later source:</w:t>
      </w:r>
      <w:r>
        <w:t xml:space="preserve"> The Authenticity of Purpose Claims: Firm Capacity and Job Seeker Responses to Recruitment Efforts — https://doi.org/10.1287/mnsc.2023.03931</w:t>
      </w:r>
    </w:p>
    <w:p>
      <w:pPr>
        <w:pStyle w:val="SourceNote"/>
      </w:pPr>
      <w:r>
        <w:rPr>
          <w:b/>
        </w:rPr>
        <w:t>Review status:</w:t>
      </w:r>
      <w:r>
        <w:t xml:space="preserve"> unchecked — possible relationship only</w:t>
      </w:r>
    </w:p>
    <w:p>
      <w:pPr>
        <w:pStyle w:val="Heading2"/>
      </w:pPr>
      <w:r>
        <w:t>213. Claim + two later sources: Governance barriers to sustainable energy transitions – Assessing Ireland's capacity towards marine energy futures</w:t>
      </w:r>
    </w:p>
    <w:p>
      <w:pPr>
        <w:pStyle w:val="SourceNote"/>
      </w:pPr>
      <w:r>
        <w:rPr>
          <w:b/>
        </w:rPr>
        <w:t>Group ID:</w:t>
      </w:r>
      <w:r>
        <w:t xml:space="preserve"> group-a0ffc18e9d6d9ceef432</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The Governance Context for Adaptive Heritage Reuse: A Review and Typology of Fifteen European Countries — https://doi.org/10.1080/17567505.2022.2153201</w:t>
      </w:r>
    </w:p>
    <w:p>
      <w:pPr/>
      <w:r>
        <w:rPr>
          <w:b/>
        </w:rPr>
        <w:t>Later source:</w:t>
      </w:r>
      <w:r>
        <w:t xml:space="preserve"> Offshore outsourcing of innovation by SMEs: a 4F perspective of governance — https://doi.org/10.1108/scm-09-2020-0486</w:t>
      </w:r>
    </w:p>
    <w:p>
      <w:pPr>
        <w:pStyle w:val="SourceNote"/>
      </w:pPr>
      <w:r>
        <w:rPr>
          <w:b/>
        </w:rPr>
        <w:t>Review status:</w:t>
      </w:r>
      <w:r>
        <w:t xml:space="preserve"> unchecked — possible relationship only</w:t>
      </w:r>
    </w:p>
    <w:p>
      <w:pPr>
        <w:pStyle w:val="Heading2"/>
      </w:pPr>
      <w:r>
        <w:t>214. Claim + two later sources: Developments in Energy use for Transport in 27 European Union Countries through 2030</w:t>
      </w:r>
    </w:p>
    <w:p>
      <w:pPr>
        <w:pStyle w:val="SourceNote"/>
      </w:pPr>
      <w:r>
        <w:rPr>
          <w:b/>
        </w:rPr>
        <w:t>Group ID:</w:t>
      </w:r>
      <w:r>
        <w:t xml:space="preserve"> group-cbb1f22acf7fcc8804af</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Global value chains and the redistribution of GHG emissions: The case of Czechia — https://doi.org/10.1016/j.rspp.2026.100338</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215. Claim + two later sources: Impact of Quasi‐Idealized Future Land Cover Scenarios at High Latitudes in Complex Terrain</w:t>
      </w:r>
    </w:p>
    <w:p>
      <w:pPr>
        <w:pStyle w:val="SourceNote"/>
      </w:pPr>
      <w:r>
        <w:rPr>
          <w:b/>
        </w:rPr>
        <w:t>Group ID:</w:t>
      </w:r>
      <w:r>
        <w:t xml:space="preserve"> group-e83284bd25cfcaf99e1b</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Human West Nile Virus infections in Europe: weather or climate? — https://doi.org/10.5194/egusphere-egu26-18547</w:t>
      </w:r>
    </w:p>
    <w:p>
      <w:pPr>
        <w:pStyle w:val="SourceNote"/>
      </w:pPr>
      <w:r>
        <w:rPr>
          <w:b/>
        </w:rPr>
        <w:t>Review status:</w:t>
      </w:r>
      <w:r>
        <w:t xml:space="preserve"> unchecked — possible relationship only</w:t>
      </w:r>
    </w:p>
    <w:p>
      <w:pPr>
        <w:pStyle w:val="Heading2"/>
      </w:pPr>
      <w:r>
        <w:t>216. Claim + two later sources: International migration by 2030: impact of immigration policies scenarios on growth and employment</w:t>
      </w:r>
    </w:p>
    <w:p>
      <w:pPr>
        <w:pStyle w:val="SourceNote"/>
      </w:pPr>
      <w:r>
        <w:rPr>
          <w:b/>
        </w:rPr>
        <w:t>Group ID:</w:t>
      </w:r>
      <w:r>
        <w:t xml:space="preserve"> group-2ef45ba421cc4fcfe1c8</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Listening, Learning, and Letting Go: History and Impact of Fund for Shared Insight, 2014-2026 — https://openalex.org/W7220885628</w:t>
      </w:r>
    </w:p>
    <w:p>
      <w:pPr/>
      <w:r>
        <w:rPr>
          <w:b/>
        </w:rPr>
        <w:t>Later source:</w:t>
      </w:r>
      <w:r>
        <w:t xml:space="preserve"> Exceptionality and Common Features of Migration Law in the Age Of Mass Migration * — https://doi.org/10.4324/9781003560937-19</w:t>
      </w:r>
    </w:p>
    <w:p>
      <w:pPr>
        <w:pStyle w:val="SourceNote"/>
      </w:pPr>
      <w:r>
        <w:rPr>
          <w:b/>
        </w:rPr>
        <w:t>Review status:</w:t>
      </w:r>
      <w:r>
        <w:t xml:space="preserve"> unchecked — possible relationship only</w:t>
      </w:r>
    </w:p>
    <w:p>
      <w:pPr>
        <w:pStyle w:val="Heading2"/>
      </w:pPr>
      <w:r>
        <w:t>217. Claim + two later sources: Will climate change affect the electricity production sector? A European study</w:t>
      </w:r>
    </w:p>
    <w:p>
      <w:pPr>
        <w:pStyle w:val="SourceNote"/>
      </w:pPr>
      <w:r>
        <w:rPr>
          <w:b/>
        </w:rPr>
        <w:t>Group ID:</w:t>
      </w:r>
      <w:r>
        <w:t xml:space="preserve"> group-822f6e2d29298993c5a1</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A data-driven framework for the temporal extrapolation of annual water withdrawals for hydrological modelling — https://doi.org/10.5194/egusphere-egu25-11405</w:t>
      </w:r>
    </w:p>
    <w:p>
      <w:pPr/>
      <w:r>
        <w:rPr>
          <w:b/>
        </w:rPr>
        <w:t>Later source:</w:t>
      </w:r>
      <w:r>
        <w:t xml:space="preserve"> Perspectives of Electricity Production from Biogas in the European Union — https://doi.org/10.3390/en17051169</w:t>
      </w:r>
    </w:p>
    <w:p>
      <w:pPr>
        <w:pStyle w:val="SourceNote"/>
      </w:pPr>
      <w:r>
        <w:rPr>
          <w:b/>
        </w:rPr>
        <w:t>Review status:</w:t>
      </w:r>
      <w:r>
        <w:t xml:space="preserve"> unchecked — possible relationship only</w:t>
      </w:r>
    </w:p>
    <w:p>
      <w:pPr>
        <w:pStyle w:val="Heading2"/>
      </w:pPr>
      <w:r>
        <w:t>218. Claim + two later sources: Animal Health Surveillance in Scotland in 2030: Using Scenario Planning to Develop Strategies in the Context of “Brexit”</w:t>
      </w:r>
    </w:p>
    <w:p>
      <w:pPr>
        <w:pStyle w:val="SourceNote"/>
      </w:pPr>
      <w:r>
        <w:rPr>
          <w:b/>
        </w:rPr>
        <w:t>Group ID:</w:t>
      </w:r>
      <w:r>
        <w:t xml:space="preserve"> group-b2e5fc76aac7d3931f36</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Overview of the Use of Co-creation Tools for the Design of Sustainable Buildings — https://doi.org/10.1007/978-3-032-09040-9_12</w:t>
      </w:r>
    </w:p>
    <w:p>
      <w:pPr>
        <w:pStyle w:val="SourceNote"/>
      </w:pPr>
      <w:r>
        <w:rPr>
          <w:b/>
        </w:rPr>
        <w:t>Review status:</w:t>
      </w:r>
      <w:r>
        <w:t xml:space="preserve"> unchecked — possible relationship only</w:t>
      </w:r>
    </w:p>
    <w:p>
      <w:pPr>
        <w:pStyle w:val="Heading2"/>
      </w:pPr>
      <w:r>
        <w:t>219. Claim + two later sources: Superconductivity and the environment: a Roadmap</w:t>
      </w:r>
    </w:p>
    <w:p>
      <w:pPr>
        <w:pStyle w:val="SourceNote"/>
      </w:pPr>
      <w:r>
        <w:rPr>
          <w:b/>
        </w:rPr>
        <w:t>Group ID:</w:t>
      </w:r>
      <w:r>
        <w:t xml:space="preserve"> group-f805ac064e4b865abea3</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Dynamic MIPS Rate Stabilization for Complex Processors — https://doi.org/10.1145/2714575</w:t>
      </w:r>
    </w:p>
    <w:p>
      <w:pPr/>
      <w:r>
        <w:rPr>
          <w:b/>
        </w:rPr>
        <w:t>Later source:</w:t>
      </w:r>
      <w:r>
        <w:t xml:space="preserve"> Diabetic retinopathy stabilization after renal transplantation — https://doi.org/10.4103/0301-4738.136303</w:t>
      </w:r>
    </w:p>
    <w:p>
      <w:pPr>
        <w:pStyle w:val="SourceNote"/>
      </w:pPr>
      <w:r>
        <w:rPr>
          <w:b/>
        </w:rPr>
        <w:t>Review status:</w:t>
      </w:r>
      <w:r>
        <w:t xml:space="preserve"> unchecked — possible relationship only</w:t>
      </w:r>
    </w:p>
    <w:p>
      <w:pPr>
        <w:pStyle w:val="Heading2"/>
      </w:pPr>
      <w:r>
        <w:t>220. Claim + two later sources: Foresight in Public Administration: Methods and Perspectives of Implementation in Ukraine</w:t>
      </w:r>
    </w:p>
    <w:p>
      <w:pPr>
        <w:pStyle w:val="SourceNote"/>
      </w:pPr>
      <w:r>
        <w:rPr>
          <w:b/>
        </w:rPr>
        <w:t>Group ID:</w:t>
      </w:r>
      <w:r>
        <w:t xml:space="preserve"> group-b7aa2778cea047eaf4da</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Methodological guidelines for practical works in the "System software" academic discipline — https://openalex.org/W7199565614</w:t>
      </w:r>
    </w:p>
    <w:p>
      <w:pPr>
        <w:pStyle w:val="SourceNote"/>
      </w:pPr>
      <w:r>
        <w:rPr>
          <w:b/>
        </w:rPr>
        <w:t>Review status:</w:t>
      </w:r>
      <w:r>
        <w:t xml:space="preserve"> unchecked — possible relationship only</w:t>
      </w:r>
    </w:p>
    <w:p>
      <w:pPr>
        <w:pStyle w:val="Heading2"/>
      </w:pPr>
      <w:r>
        <w:t>221. Claim + two later sources: Energy Efficiency Vision 2050: How will new societal trends influence future energy demand in the European countries?</w:t>
      </w:r>
    </w:p>
    <w:p>
      <w:pPr>
        <w:pStyle w:val="SourceNote"/>
      </w:pPr>
      <w:r>
        <w:rPr>
          <w:b/>
        </w:rPr>
        <w:t>Group ID:</w:t>
      </w:r>
      <w:r>
        <w:t xml:space="preserve"> group-f85ac607280daa2b73b4</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The (worst) laws of the land: the concept of legislative basket cases, legislative backsliding and public administration in Central-Eastern Europe — https://doi.org/10.1080/01442872.2025.2501741</w:t>
      </w:r>
    </w:p>
    <w:p>
      <w:pPr/>
      <w:r>
        <w:rPr>
          <w:b/>
        </w:rPr>
        <w:t>Later source:</w:t>
      </w:r>
      <w:r>
        <w:t xml:space="preserve"> Future sea level rise dominates changes in worst case extreme sea levels along the global coastline by 2100 — https://doi.org/10.1088/1748-9326/acb504</w:t>
      </w:r>
    </w:p>
    <w:p>
      <w:pPr>
        <w:pStyle w:val="SourceNote"/>
      </w:pPr>
      <w:r>
        <w:rPr>
          <w:b/>
        </w:rPr>
        <w:t>Review status:</w:t>
      </w:r>
      <w:r>
        <w:t xml:space="preserve"> unchecked — possible relationship only</w:t>
      </w:r>
    </w:p>
    <w:p>
      <w:pPr>
        <w:pStyle w:val="Heading2"/>
      </w:pPr>
      <w:r>
        <w:t>222. Claim + two later sources: Energy system transition and macroeconomic impacts of a European decarbonization action towards a below 2 °C climate stabilization</w:t>
      </w:r>
    </w:p>
    <w:p>
      <w:pPr>
        <w:pStyle w:val="SourceNote"/>
      </w:pPr>
      <w:r>
        <w:rPr>
          <w:b/>
        </w:rPr>
        <w:t>Group ID:</w:t>
      </w:r>
      <w:r>
        <w:t xml:space="preserve"> group-c778ace47271f7144243</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Can a wealth tax reduce CO2 emissions in Europe? — https://doi.org/10.1016/j.ecolecon.2026.109231</w:t>
      </w:r>
    </w:p>
    <w:p>
      <w:pPr/>
      <w:r>
        <w:rPr>
          <w:b/>
        </w:rPr>
        <w:t>Later source:</w:t>
      </w:r>
      <w:r>
        <w:t xml:space="preserve"> Firm's emission reduction effectiveness and the influence of the five institutional dimensions of the quintuple helix model: European evidence — https://doi.org/10.1111/beer.12662</w:t>
      </w:r>
    </w:p>
    <w:p>
      <w:pPr>
        <w:pStyle w:val="SourceNote"/>
      </w:pPr>
      <w:r>
        <w:rPr>
          <w:b/>
        </w:rPr>
        <w:t>Review status:</w:t>
      </w:r>
      <w:r>
        <w:t xml:space="preserve"> unchecked — possible relationship only</w:t>
      </w:r>
    </w:p>
    <w:p>
      <w:pPr>
        <w:pStyle w:val="Heading2"/>
      </w:pPr>
      <w:r>
        <w:t>223. Claim + two later sources: Burden of pancreatic cancer along with attributable risk factors in Europe between 1990 and 2019, and projections until 2039</w:t>
      </w:r>
    </w:p>
    <w:p>
      <w:pPr>
        <w:pStyle w:val="SourceNote"/>
      </w:pPr>
      <w:r>
        <w:rPr>
          <w:b/>
        </w:rPr>
        <w:t>Group ID:</w:t>
      </w:r>
      <w:r>
        <w:t xml:space="preserve"> group-707c50505f31905ab998</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Biological data derived from European weather radars — https://doi.org/10.1038/s41597-025-04641-5</w:t>
      </w:r>
    </w:p>
    <w:p>
      <w:pPr/>
      <w:r>
        <w:rPr>
          <w:b/>
        </w:rPr>
        <w:t>Later source:</w:t>
      </w:r>
      <w:r>
        <w:t xml:space="preserve"> High resolution assessment of air quality and health in Europe under different climate mitigation scenarios — https://doi.org/10.1038/s41467-025-60449-2</w:t>
      </w:r>
    </w:p>
    <w:p>
      <w:pPr>
        <w:pStyle w:val="SourceNote"/>
      </w:pPr>
      <w:r>
        <w:rPr>
          <w:b/>
        </w:rPr>
        <w:t>Review status:</w:t>
      </w:r>
      <w:r>
        <w:t xml:space="preserve"> unchecked — possible relationship only</w:t>
      </w:r>
    </w:p>
    <w:p>
      <w:pPr>
        <w:pStyle w:val="Heading2"/>
      </w:pPr>
      <w:r>
        <w:t>224. Claim + two later sources: Securing a bioenergy future without imports</w:t>
      </w:r>
    </w:p>
    <w:p>
      <w:pPr>
        <w:pStyle w:val="SourceNote"/>
      </w:pPr>
      <w:r>
        <w:rPr>
          <w:b/>
        </w:rPr>
        <w:t>Group ID:</w:t>
      </w:r>
      <w:r>
        <w:t xml:space="preserve"> group-baf6f146e01aa3bda59e</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A systematic review of modeling approaches for flexible energy resources — https://doi.org/10.1016/j.rser.2023.113541</w:t>
      </w:r>
    </w:p>
    <w:p>
      <w:pPr/>
      <w:r>
        <w:rPr>
          <w:b/>
        </w:rPr>
        <w:t>Later source:</w:t>
      </w:r>
      <w:r>
        <w:t xml:space="preserve"> Remote sensing, snow modelling, survey data and Indigenous Knowledge show how snow and sea-ice conditions affect Peary caribou (Rangifer tarandus pearyi) distribution and inter-island and island–mainland movements — https://doi.org/10.33265/polar.v41.7964</w:t>
      </w:r>
    </w:p>
    <w:p>
      <w:pPr>
        <w:pStyle w:val="SourceNote"/>
      </w:pPr>
      <w:r>
        <w:rPr>
          <w:b/>
        </w:rPr>
        <w:t>Review status:</w:t>
      </w:r>
      <w:r>
        <w:t xml:space="preserve"> unchecked — possible relationship only</w:t>
      </w:r>
    </w:p>
    <w:p>
      <w:pPr>
        <w:pStyle w:val="Heading2"/>
      </w:pPr>
      <w:r>
        <w:t>225. Claim + two later sources: Shifts, turning points and inertia exploring long-term industry trends in European transport</w:t>
      </w:r>
    </w:p>
    <w:p>
      <w:pPr>
        <w:pStyle w:val="SourceNote"/>
      </w:pPr>
      <w:r>
        <w:rPr>
          <w:b/>
        </w:rPr>
        <w:t>Group ID:</w:t>
      </w:r>
      <w:r>
        <w:t xml:space="preserve"> group-39ef329e317ce543a292</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Economic, technological and environmental drivers of the circular economy in the European Union: a panel data analysis — https://doi.org/10.1186/s12302-025-01119-4</w:t>
      </w:r>
    </w:p>
    <w:p>
      <w:pPr/>
      <w:r>
        <w:rPr>
          <w:b/>
        </w:rPr>
        <w:t>Later source:</w:t>
      </w:r>
      <w:r>
        <w:t xml:space="preserve"> Simulating the Impact of Employment Growth on Poverty: Implications for the European Social Targets — https://doi.org/10.17645/si.9903</w:t>
      </w:r>
    </w:p>
    <w:p>
      <w:pPr>
        <w:pStyle w:val="SourceNote"/>
      </w:pPr>
      <w:r>
        <w:rPr>
          <w:b/>
        </w:rPr>
        <w:t>Review status:</w:t>
      </w:r>
      <w:r>
        <w:t xml:space="preserve"> unchecked — possible relationship only</w:t>
      </w:r>
    </w:p>
    <w:p>
      <w:pPr>
        <w:pStyle w:val="Heading2"/>
      </w:pPr>
      <w:r>
        <w:t>226. Claim + two later sources: Electricity Spot Market Design 2030-2050</w:t>
      </w:r>
    </w:p>
    <w:p>
      <w:pPr>
        <w:pStyle w:val="SourceNote"/>
      </w:pPr>
      <w:r>
        <w:rPr>
          <w:b/>
        </w:rPr>
        <w:t>Group ID:</w:t>
      </w:r>
      <w:r>
        <w:t xml:space="preserve"> group-3375f250a0d37d3f927a</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Urban Nature Plans: Strategic Tool for Integrated Biodiversity and Climate Planning in German Cities — https://doi.org/10.2148/benv.51.4.569</w:t>
      </w:r>
    </w:p>
    <w:p>
      <w:pPr/>
      <w:r>
        <w:rPr>
          <w:b/>
        </w:rPr>
        <w:t>Later source:</w:t>
      </w:r>
      <w:r>
        <w:t xml:space="preserve"> The Impact of the Russian-Ukrainian War on Europe and the German Leadership — https://doi.org/10.35757/stp.2025.53.3.02</w:t>
      </w:r>
    </w:p>
    <w:p>
      <w:pPr>
        <w:pStyle w:val="SourceNote"/>
      </w:pPr>
      <w:r>
        <w:rPr>
          <w:b/>
        </w:rPr>
        <w:t>Review status:</w:t>
      </w:r>
      <w:r>
        <w:t xml:space="preserve"> unchecked — possible relationship only</w:t>
      </w:r>
    </w:p>
    <w:p>
      <w:pPr>
        <w:pStyle w:val="Heading2"/>
      </w:pPr>
      <w:r>
        <w:t>227. Claim + two later sources: Centre-Periphery Relations in Europe: Demographic Aspect</w:t>
      </w:r>
    </w:p>
    <w:p>
      <w:pPr>
        <w:pStyle w:val="SourceNote"/>
      </w:pPr>
      <w:r>
        <w:rPr>
          <w:b/>
        </w:rPr>
        <w:t>Group ID:</w:t>
      </w:r>
      <w:r>
        <w:t xml:space="preserve"> group-653aa1c1e0687c47693b</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Osteoporosis in Europe: a compendium of country-specific reports — https://doi.org/10.1007/s11657-021-00969-8</w:t>
      </w:r>
    </w:p>
    <w:p>
      <w:pPr/>
      <w:r>
        <w:rPr>
          <w:b/>
        </w:rPr>
        <w:t>Later source:</w:t>
      </w:r>
      <w:r>
        <w:t xml:space="preserve"> COVID-19 in Europe: from outbreak to vaccination — https://doi.org/10.1186/s12889-022-14454-5</w:t>
      </w:r>
    </w:p>
    <w:p>
      <w:pPr>
        <w:pStyle w:val="SourceNote"/>
      </w:pPr>
      <w:r>
        <w:rPr>
          <w:b/>
        </w:rPr>
        <w:t>Review status:</w:t>
      </w:r>
      <w:r>
        <w:t xml:space="preserve"> unchecked — possible relationship only</w:t>
      </w:r>
    </w:p>
    <w:p>
      <w:pPr>
        <w:pStyle w:val="Heading2"/>
      </w:pPr>
      <w:r>
        <w:t>228. Claim + two later sources: Designing health system scenarios at the national level</w:t>
      </w:r>
    </w:p>
    <w:p>
      <w:pPr>
        <w:pStyle w:val="SourceNote"/>
      </w:pPr>
      <w:r>
        <w:rPr>
          <w:b/>
        </w:rPr>
        <w:t>Group ID:</w:t>
      </w:r>
      <w:r>
        <w:t xml:space="preserve"> group-82b9b6940eb295fa3c07</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Optimizing coating materials and processes for controlled release coated urea fertilizer: review of bio-based coating materials and encapsulation methods — https://doi.org/10.15480/882.17571</w:t>
      </w:r>
    </w:p>
    <w:p>
      <w:pPr/>
      <w:r>
        <w:rPr>
          <w:b/>
        </w:rPr>
        <w:t>Later source:</w:t>
      </w:r>
      <w:r>
        <w:t xml:space="preserve"> Measuring the Confidence Architecture of Indo-European Claims: findings, code and reproduction materials. — https://doi.org/10.5281/zenodo.22880450</w:t>
      </w:r>
    </w:p>
    <w:p>
      <w:pPr>
        <w:pStyle w:val="SourceNote"/>
      </w:pPr>
      <w:r>
        <w:rPr>
          <w:b/>
        </w:rPr>
        <w:t>Review status:</w:t>
      </w:r>
      <w:r>
        <w:t xml:space="preserve"> unchecked — possible relationship only</w:t>
      </w:r>
    </w:p>
    <w:p>
      <w:pPr>
        <w:pStyle w:val="Heading2"/>
      </w:pPr>
      <w:r>
        <w:t>229. Claim + two later sources: Assessing the future medical cost burden for the European health systems under alternative exposure-to-risks scenarios</w:t>
      </w:r>
    </w:p>
    <w:p>
      <w:pPr>
        <w:pStyle w:val="SourceNote"/>
      </w:pPr>
      <w:r>
        <w:rPr>
          <w:b/>
        </w:rPr>
        <w:t>Group ID:</w:t>
      </w:r>
      <w:r>
        <w:t xml:space="preserve"> group-c0dc32275adf821b1dfc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Association between healthcare resources, healthcare systems, and population health in European countries — https://doi.org/10.1186/s12913-024-11743-0</w:t>
      </w:r>
    </w:p>
    <w:p>
      <w:pPr/>
      <w:r>
        <w:rPr>
          <w:b/>
        </w:rPr>
        <w:t>Later source:</w:t>
      </w:r>
      <w:r>
        <w:t xml:space="preserve"> Exploring the Dichotomy: The Impact of Private Healthcare Investment on Public Healthcare Quality in Europe — https://doi.org/10.37355/kd-2025-09</w:t>
      </w:r>
    </w:p>
    <w:p>
      <w:pPr>
        <w:pStyle w:val="SourceNote"/>
      </w:pPr>
      <w:r>
        <w:rPr>
          <w:b/>
        </w:rPr>
        <w:t>Review status:</w:t>
      </w:r>
      <w:r>
        <w:t xml:space="preserve"> unchecked — possible relationship only</w:t>
      </w:r>
    </w:p>
    <w:p>
      <w:pPr>
        <w:pStyle w:val="Heading2"/>
      </w:pPr>
      <w:r>
        <w:t>230. Claim + two later sources: FRESHER: Challenges and opportunities for building Health/Healthy futures</w:t>
      </w:r>
    </w:p>
    <w:p>
      <w:pPr>
        <w:pStyle w:val="SourceNote"/>
      </w:pPr>
      <w:r>
        <w:rPr>
          <w:b/>
        </w:rPr>
        <w:t>Group ID:</w:t>
      </w:r>
      <w:r>
        <w:t xml:space="preserve"> group-22251209852aab315ae5</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Techno-economic evaluation of an elastic composite phase change material for building envelopes — https://doi.org/10.1016/j.tsep.2026.104727</w:t>
      </w:r>
    </w:p>
    <w:p>
      <w:pPr/>
      <w:r>
        <w:rPr>
          <w:b/>
        </w:rPr>
        <w:t>Later source:</w:t>
      </w:r>
      <w:r>
        <w:t xml:space="preserve"> Experimental characterization of the thermophysical properties of some selected phase change materials for building applications: Critical input data for numerical simulations — https://doi.org/10.1016/j.est.2025.115463</w:t>
      </w:r>
    </w:p>
    <w:p>
      <w:pPr>
        <w:pStyle w:val="SourceNote"/>
      </w:pPr>
      <w:r>
        <w:rPr>
          <w:b/>
        </w:rPr>
        <w:t>Review status:</w:t>
      </w:r>
      <w:r>
        <w:t xml:space="preserve"> unchecked — possible relationship only</w:t>
      </w:r>
    </w:p>
    <w:p>
      <w:pPr>
        <w:pStyle w:val="Heading2"/>
      </w:pPr>
      <w:r>
        <w:t>231. Claim + two later sources: The implications of regional and national demographic projections for future GMS costs in Ireland through to 2026</w:t>
      </w:r>
    </w:p>
    <w:p>
      <w:pPr>
        <w:pStyle w:val="SourceNote"/>
      </w:pPr>
      <w:r>
        <w:rPr>
          <w:b/>
        </w:rPr>
        <w:t>Group ID:</w:t>
      </w:r>
      <w:r>
        <w:t xml:space="preserve"> group-02f6d63b0bd980e02677</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Later source:</w:t>
      </w:r>
      <w:r>
        <w:t xml:space="preserve"> Monte Carlo Greeks for European Pandemic Options under Stochastic SIS Model — https://openalex.org/W7167764542</w:t>
      </w:r>
    </w:p>
    <w:p>
      <w:pPr>
        <w:pStyle w:val="SourceNote"/>
      </w:pPr>
      <w:r>
        <w:rPr>
          <w:b/>
        </w:rPr>
        <w:t>Review status:</w:t>
      </w:r>
      <w:r>
        <w:t xml:space="preserve"> unchecked — possible relationship only</w:t>
      </w:r>
    </w:p>
    <w:p>
      <w:pPr>
        <w:pStyle w:val="Heading2"/>
      </w:pPr>
      <w:r>
        <w:t>232. Claim + two later sources: A scenario-planning approach to human resources for health: the case of community pharmacists in Portugal</w:t>
      </w:r>
    </w:p>
    <w:p>
      <w:pPr>
        <w:pStyle w:val="SourceNote"/>
      </w:pPr>
      <w:r>
        <w:rPr>
          <w:b/>
        </w:rPr>
        <w:t>Group ID:</w:t>
      </w:r>
      <w:r>
        <w:t xml:space="preserve"> group-ff44b8c2dc5346514d43</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Adverse drug reaction reporting by New Zealand pharmacists: a cross-sectional investigation of community and hospital pharmacists — https://doi.org/10.1093/ijpp/riaf017</w:t>
      </w:r>
    </w:p>
    <w:p>
      <w:pPr/>
      <w:r>
        <w:rPr>
          <w:b/>
        </w:rPr>
        <w:t>Later source:</w:t>
      </w:r>
      <w:r>
        <w:t xml:space="preserve"> Design Policy Mapping in Europe — https://openalex.org/W7215223829</w:t>
      </w:r>
    </w:p>
    <w:p>
      <w:pPr>
        <w:pStyle w:val="SourceNote"/>
      </w:pPr>
      <w:r>
        <w:rPr>
          <w:b/>
        </w:rPr>
        <w:t>Review status:</w:t>
      </w:r>
      <w:r>
        <w:t xml:space="preserve"> unchecked — possible relationship only</w:t>
      </w:r>
    </w:p>
    <w:p>
      <w:pPr>
        <w:pStyle w:val="Heading2"/>
      </w:pPr>
      <w:r>
        <w:t>233. Claim + two later sources: The northern hemisphere circumglobal teleconnection in a seasonal forecast model and its relationship to European summer forecast skill</w:t>
      </w:r>
    </w:p>
    <w:p>
      <w:pPr>
        <w:pStyle w:val="SourceNote"/>
      </w:pPr>
      <w:r>
        <w:rPr>
          <w:b/>
        </w:rPr>
        <w:t>Group ID:</w:t>
      </w:r>
      <w:r>
        <w:t xml:space="preserve"> group-e805c40646ce91ed2def</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Predicting current and future distribution of the common waxbill using a mechanistic modelling approach — https://doi.org/10.1101/2025.11.16.688699</w:t>
      </w:r>
    </w:p>
    <w:p>
      <w:pPr/>
      <w:r>
        <w:rPr>
          <w:b/>
        </w:rPr>
        <w:t>Later source:</w:t>
      </w:r>
      <w:r>
        <w:t xml:space="preserve"> The evolving story of Borrelia burgdorferi sensu lato transmission in Europe — https://doi.org/10.1007/s00436-022-07445-3</w:t>
      </w:r>
    </w:p>
    <w:p>
      <w:pPr>
        <w:pStyle w:val="SourceNote"/>
      </w:pPr>
      <w:r>
        <w:rPr>
          <w:b/>
        </w:rPr>
        <w:t>Review status:</w:t>
      </w:r>
      <w:r>
        <w:t xml:space="preserve"> unchecked — possible relationship only</w:t>
      </w:r>
    </w:p>
    <w:p>
      <w:pPr>
        <w:pStyle w:val="Heading2"/>
      </w:pPr>
      <w:r>
        <w:t>234.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235. Claim + two later sources: Integrating foresight into government. Is it possible? Is it likely?</w:t>
      </w:r>
    </w:p>
    <w:p>
      <w:pPr>
        <w:pStyle w:val="SourceNote"/>
      </w:pPr>
      <w:r>
        <w:rPr>
          <w:b/>
        </w:rPr>
        <w:t>Group ID:</w:t>
      </w:r>
      <w:r>
        <w:t xml:space="preserve"> group-f198ee04b7620b628895</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Genome-wide analyses of ADHD identify 27 risk loci, refine the genetic architecture and implicate several cognitive domains — https://doi.org/10.1038/s41588-022-01285-8</w:t>
      </w:r>
    </w:p>
    <w:p>
      <w:pPr/>
      <w:r>
        <w:rPr>
          <w:b/>
        </w:rPr>
        <w:t>Later source:</w:t>
      </w:r>
      <w:r>
        <w:t xml:space="preserve"> A named entity recognition framework using transformers to identify relevant clinical findings from mammographic radiological reports — https://doi.org/10.1117/12.2670228</w:t>
      </w:r>
    </w:p>
    <w:p>
      <w:pPr>
        <w:pStyle w:val="SourceNote"/>
      </w:pPr>
      <w:r>
        <w:rPr>
          <w:b/>
        </w:rPr>
        <w:t>Review status:</w:t>
      </w:r>
      <w:r>
        <w:t xml:space="preserve"> unchecked — possible relationship only</w:t>
      </w:r>
    </w:p>
    <w:p>
      <w:pPr>
        <w:pStyle w:val="Heading2"/>
      </w:pPr>
      <w:r>
        <w:t>236. Claim + two later sources: An exploratory policy analysis of electric vehicle sales competition and sensitivity to infrastructure in Europe</w:t>
      </w:r>
    </w:p>
    <w:p>
      <w:pPr>
        <w:pStyle w:val="SourceNote"/>
      </w:pPr>
      <w:r>
        <w:rPr>
          <w:b/>
        </w:rPr>
        <w:t>Group ID:</w:t>
      </w:r>
      <w:r>
        <w:t xml:space="preserve"> group-ed18dec6ff3b51d3fbde</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 Charging Infrastructure and Electrification Dynamics in Europe: A Descriptive Assessment of Infrastructure Strain — https://doi.org/10.3390/en19092063</w:t>
      </w:r>
    </w:p>
    <w:p>
      <w:pPr/>
      <w:r>
        <w:rPr>
          <w:b/>
        </w:rPr>
        <w:t>Later source:</w:t>
      </w:r>
      <w:r>
        <w:t xml:space="preserve"> Electric Mobility and Smart Mobility Concepts—Restrained Uptake in German Cities — https://doi.org/10.3390/wevj10040081</w:t>
      </w:r>
    </w:p>
    <w:p>
      <w:pPr>
        <w:pStyle w:val="SourceNote"/>
      </w:pPr>
      <w:r>
        <w:rPr>
          <w:b/>
        </w:rPr>
        <w:t>Review status:</w:t>
      </w:r>
      <w:r>
        <w:t xml:space="preserve"> unchecked — possible relationship only</w:t>
      </w:r>
    </w:p>
    <w:p>
      <w:pPr>
        <w:pStyle w:val="Heading2"/>
      </w:pPr>
      <w:r>
        <w:t>237. Claim + two later sources: CORPORATE FORESIGHT AND ASSESSMENT OF INNOVATIVE ACTIVITY OF INDUSTRIAL ENTERPRISES</w:t>
      </w:r>
    </w:p>
    <w:p>
      <w:pPr>
        <w:pStyle w:val="SourceNote"/>
      </w:pPr>
      <w:r>
        <w:rPr>
          <w:b/>
        </w:rPr>
        <w:t>Group ID:</w:t>
      </w:r>
      <w:r>
        <w:t xml:space="preserve"> group-13b45bad2d930701bc80</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FORESIGHT METHODS TOOLS FOR INNOVATIVE MARKETING AND DIGITAL MARKET FORESIGHT — https://doi.org/10.20998/2313-8890.2025.12.08</w:t>
      </w:r>
    </w:p>
    <w:p>
      <w:pPr/>
      <w:r>
        <w:rPr>
          <w:b/>
        </w:rPr>
        <w:t>Later source:</w:t>
      </w:r>
      <w:r>
        <w:t xml:space="preserve"> Strategic foresight and management of energy security in Jordan : The mediating role of strategic agility — https://openalex.org/W7166258236</w:t>
      </w:r>
    </w:p>
    <w:p>
      <w:pPr>
        <w:pStyle w:val="SourceNote"/>
      </w:pPr>
      <w:r>
        <w:rPr>
          <w:b/>
        </w:rPr>
        <w:t>Review status:</w:t>
      </w:r>
      <w:r>
        <w:t xml:space="preserve"> unchecked — possible relationship only</w:t>
      </w:r>
    </w:p>
    <w:p>
      <w:pPr>
        <w:pStyle w:val="Heading2"/>
      </w:pPr>
      <w:r>
        <w:t>238. Claim + two later sources: Varying soil moisture–atmosphere feedbacks explain divergent temperature extremes and precipitation projections in central Europe</w:t>
      </w:r>
    </w:p>
    <w:p>
      <w:pPr>
        <w:pStyle w:val="SourceNote"/>
      </w:pPr>
      <w:r>
        <w:rPr>
          <w:b/>
        </w:rPr>
        <w:t>Group ID:</w:t>
      </w:r>
      <w:r>
        <w:t xml:space="preserve"> group-9d58c51677e1375f4339</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Civilizational Temperature: A CRTI-Based Heuristic Exploration of Long-Term System Dynamics (1000 BCE–2025 CE) — https://doi.org/10.5281/zenodo.19058865</w:t>
      </w:r>
    </w:p>
    <w:p>
      <w:pPr/>
      <w:r>
        <w:rPr>
          <w:b/>
        </w:rPr>
        <w:t>Later source:</w:t>
      </w:r>
      <w:r>
        <w:t xml:space="preserve"> Regional climate projections using a deep-learning–based model-ranking and downscaling framework: application to European climate zones — https://doi.org/10.1007/s11356-025-36872-9</w:t>
      </w:r>
    </w:p>
    <w:p>
      <w:pPr>
        <w:pStyle w:val="SourceNote"/>
      </w:pPr>
      <w:r>
        <w:rPr>
          <w:b/>
        </w:rPr>
        <w:t>Review status:</w:t>
      </w:r>
      <w:r>
        <w:t xml:space="preserve"> unchecked — possible relationship only</w:t>
      </w:r>
    </w:p>
    <w:p>
      <w:pPr>
        <w:pStyle w:val="Heading2"/>
      </w:pPr>
      <w:r>
        <w:t>239.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240. Claim + two later sources: Long-term outlook for wood construction in Europe</w:t>
      </w:r>
    </w:p>
    <w:p>
      <w:pPr>
        <w:pStyle w:val="SourceNote"/>
      </w:pPr>
      <w:r>
        <w:rPr>
          <w:b/>
        </w:rPr>
        <w:t>Group ID:</w:t>
      </w:r>
      <w:r>
        <w:t xml:space="preserve"> group-b1b50dc31e024bfcb877</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Value creation and competitiveness in small European markets — https://doi.org/10.5281/zenodo.19133639</w:t>
      </w:r>
    </w:p>
    <w:p>
      <w:pPr/>
      <w:r>
        <w:rPr>
          <w:b/>
        </w:rPr>
        <w:t>Later source:</w:t>
      </w:r>
      <w:r>
        <w:t xml:space="preserve"> Market analysis for Superhood Oy's European expansion — https://openalex.org/W7162354352</w:t>
      </w:r>
    </w:p>
    <w:p>
      <w:pPr>
        <w:pStyle w:val="SourceNote"/>
      </w:pPr>
      <w:r>
        <w:rPr>
          <w:b/>
        </w:rPr>
        <w:t>Review status:</w:t>
      </w:r>
      <w:r>
        <w:t xml:space="preserve"> unchecked — possible relationship only</w:t>
      </w:r>
    </w:p>
    <w:p>
      <w:pPr>
        <w:pStyle w:val="Heading2"/>
      </w:pPr>
      <w:r>
        <w:t>241. Claim + two later sources: A ‘futures’ approach towards the wellbeing of future generations in Wales and beyond</w:t>
      </w:r>
    </w:p>
    <w:p>
      <w:pPr>
        <w:pStyle w:val="SourceNote"/>
      </w:pPr>
      <w:r>
        <w:rPr>
          <w:b/>
        </w:rPr>
        <w:t>Group ID:</w:t>
      </w:r>
      <w:r>
        <w:t xml:space="preserve"> group-bd4804e882c07b94a54d</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A Short Review about Predicting the Dew Point Pressure for Gas Condensate Reservoirs by Empirical Correlations — https://doi.org/10.5281/zenodo.8195449</w:t>
      </w:r>
    </w:p>
    <w:p>
      <w:pPr/>
      <w:r>
        <w:rPr>
          <w:b/>
        </w:rPr>
        <w:t>Later source:</w:t>
      </w:r>
      <w:r>
        <w:t xml:space="preserve"> Physicians' perception about predictors of opioid abuse in patients with chronic non-cancer pain: a Delphi study — https://doi.org/10.3389/fpain.2023.1269018</w:t>
      </w:r>
    </w:p>
    <w:p>
      <w:pPr>
        <w:pStyle w:val="SourceNote"/>
      </w:pPr>
      <w:r>
        <w:rPr>
          <w:b/>
        </w:rPr>
        <w:t>Review status:</w:t>
      </w:r>
      <w:r>
        <w:t xml:space="preserve"> unchecked — possible relationship only</w:t>
      </w:r>
    </w:p>
    <w:p>
      <w:pPr>
        <w:pStyle w:val="Heading2"/>
      </w:pPr>
      <w:r>
        <w:t>242. Claim + two later sources: Electromobility Scenarios: Research Findings to Inform Policy</w:t>
      </w:r>
    </w:p>
    <w:p>
      <w:pPr>
        <w:pStyle w:val="SourceNote"/>
      </w:pPr>
      <w:r>
        <w:rPr>
          <w:b/>
        </w:rPr>
        <w:t>Group ID:</w:t>
      </w:r>
      <w:r>
        <w:t xml:space="preserve"> group-26ece6abb06088bbcea5</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Geodiversity data for Europe — https://doi.org/10.1098/rsta.2023.0173</w:t>
      </w:r>
    </w:p>
    <w:p>
      <w:pPr/>
      <w:r>
        <w:rPr>
          <w:b/>
        </w:rPr>
        <w:t>Later source:</w:t>
      </w:r>
      <w:r>
        <w:t xml:space="preserve"> Assessing pesticide residues occurrence and risks in water systems: A Pan-European and Argentina perspective — https://doi.org/10.1016/j.watres.2024.121419</w:t>
      </w:r>
    </w:p>
    <w:p>
      <w:pPr>
        <w:pStyle w:val="SourceNote"/>
      </w:pPr>
      <w:r>
        <w:rPr>
          <w:b/>
        </w:rPr>
        <w:t>Review status:</w:t>
      </w:r>
      <w:r>
        <w:t xml:space="preserve"> unchecked — possible relationship only</w:t>
      </w:r>
    </w:p>
    <w:p>
      <w:pPr>
        <w:pStyle w:val="Heading2"/>
      </w:pPr>
      <w:r>
        <w:t>243. Claim + two later sources: The Future of Visitor Attractions in The Netherlands</w:t>
      </w:r>
    </w:p>
    <w:p>
      <w:pPr>
        <w:pStyle w:val="SourceNote"/>
      </w:pPr>
      <w:r>
        <w:rPr>
          <w:b/>
        </w:rPr>
        <w:t>Group ID:</w:t>
      </w:r>
      <w:r>
        <w:t xml:space="preserve"> group-84127334bc53bee5f709</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Sports Marketing as a Tool for Creating an Image of Leading European Football Clubs — https://doi.org/10.15611/2022.29.9.03</w:t>
      </w:r>
    </w:p>
    <w:p>
      <w:pPr>
        <w:pStyle w:val="SourceNote"/>
      </w:pPr>
      <w:r>
        <w:rPr>
          <w:b/>
        </w:rPr>
        <w:t>Review status:</w:t>
      </w:r>
      <w:r>
        <w:t xml:space="preserve"> unchecked — possible relationship only</w:t>
      </w:r>
    </w:p>
    <w:p>
      <w:pPr>
        <w:pStyle w:val="Heading2"/>
      </w:pPr>
      <w:r>
        <w:t>244. Claim + two later sources: Using Scenarios to Assess Policy Mixes for Resource Efficiency and Eco-Innovation in Different Fiscal Policy Frameworks</w:t>
      </w:r>
    </w:p>
    <w:p>
      <w:pPr>
        <w:pStyle w:val="SourceNote"/>
      </w:pPr>
      <w:r>
        <w:rPr>
          <w:b/>
        </w:rPr>
        <w:t>Group ID:</w:t>
      </w:r>
      <w:r>
        <w:t xml:space="preserve"> group-792404cc13e6f41baba3</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Foresight on Demand (FoD) Impact of the COVID-19 Pandemic on European Consumer Behaviour - Foresight Study — https://openalex.org/W7137724443</w:t>
      </w:r>
    </w:p>
    <w:p>
      <w:pPr>
        <w:pStyle w:val="SourceNote"/>
      </w:pPr>
      <w:r>
        <w:rPr>
          <w:b/>
        </w:rPr>
        <w:t>Review status:</w:t>
      </w:r>
      <w:r>
        <w:t xml:space="preserve"> unchecked — possible relationship only</w:t>
      </w:r>
    </w:p>
    <w:p>
      <w:pPr>
        <w:pStyle w:val="Heading2"/>
      </w:pPr>
      <w:r>
        <w:t>245. Claim + two later sources: Spatial Simulation of Codesigned Land Cover Change Scenarios in New England: Alternative Futures and Their Consequences for Conservation Priorities</w:t>
      </w:r>
    </w:p>
    <w:p>
      <w:pPr>
        <w:pStyle w:val="SourceNote"/>
      </w:pPr>
      <w:r>
        <w:rPr>
          <w:b/>
        </w:rPr>
        <w:t>Group ID:</w:t>
      </w:r>
      <w:r>
        <w:t xml:space="preserve"> group-ed97c3c445945be6be5a</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Preparing to Prepare a Manuscript — https://doi.org/10.1097/nur.0000000000000973</w:t>
      </w:r>
    </w:p>
    <w:p>
      <w:pPr/>
      <w:r>
        <w:rPr>
          <w:b/>
        </w:rPr>
        <w:t>Later source:</w:t>
      </w:r>
      <w:r>
        <w:t xml:space="preserve"> Can AI help authors prepare better risk science manuscripts? — https://doi.org/10.1111/risa.70055</w:t>
      </w:r>
    </w:p>
    <w:p>
      <w:pPr>
        <w:pStyle w:val="SourceNote"/>
      </w:pPr>
      <w:r>
        <w:rPr>
          <w:b/>
        </w:rPr>
        <w:t>Review status:</w:t>
      </w:r>
      <w:r>
        <w:t xml:space="preserve"> unchecked — possible relationship only</w:t>
      </w:r>
    </w:p>
    <w:p>
      <w:pPr>
        <w:pStyle w:val="Heading2"/>
      </w:pPr>
      <w:r>
        <w:t>246. Claim + two later sources: Futuring European industry: assessing the ManuFuture road towards EU re-industrialization</w:t>
      </w:r>
    </w:p>
    <w:p>
      <w:pPr>
        <w:pStyle w:val="SourceNote"/>
      </w:pPr>
      <w:r>
        <w:rPr>
          <w:b/>
        </w:rPr>
        <w:t>Group ID:</w:t>
      </w:r>
      <w:r>
        <w:t xml:space="preserve"> group-bb3965057977a839919e</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Industrial energy transformation and multi-level governance: evidence from Germany — https://doi.org/10.32846/2306-9716/2026.eco.3-66.30</w:t>
      </w:r>
    </w:p>
    <w:p>
      <w:pPr/>
      <w:r>
        <w:rPr>
          <w:b/>
        </w:rPr>
        <w:t>Later source:</w:t>
      </w:r>
      <w:r>
        <w:t xml:space="preserve"> A network analysis of systemic risk in the European banking sector — https://doi.org/10.1007/s10203-026-00600-w</w:t>
      </w:r>
    </w:p>
    <w:p>
      <w:pPr>
        <w:pStyle w:val="SourceNote"/>
      </w:pPr>
      <w:r>
        <w:rPr>
          <w:b/>
        </w:rPr>
        <w:t>Review status:</w:t>
      </w:r>
      <w:r>
        <w:t xml:space="preserve"> unchecked — possible relationship only</w:t>
      </w:r>
    </w:p>
    <w:p>
      <w:pPr>
        <w:pStyle w:val="Heading2"/>
      </w:pPr>
      <w:r>
        <w:t>247. Claim + two later sources: THREE INVESTMENT SCENARIOS FOR  FUTURE NUCLEAR REACTORS IN EUROPE</w:t>
      </w:r>
    </w:p>
    <w:p>
      <w:pPr>
        <w:pStyle w:val="SourceNote"/>
      </w:pPr>
      <w:r>
        <w:rPr>
          <w:b/>
        </w:rPr>
        <w:t>Group ID:</w:t>
      </w:r>
      <w:r>
        <w:t xml:space="preserve"> group-b2fe5adcacc176537121</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Atomic rivers. The (Un)sustainability of nuclear power in an age of climate change — https://doi.org/10.1016/j.enpol.2025.114631</w:t>
      </w:r>
    </w:p>
    <w:p>
      <w:pPr>
        <w:pStyle w:val="SourceNote"/>
      </w:pPr>
      <w:r>
        <w:rPr>
          <w:b/>
        </w:rPr>
        <w:t>Review status:</w:t>
      </w:r>
      <w:r>
        <w:t xml:space="preserve"> unchecked — possible relationship only</w:t>
      </w:r>
    </w:p>
    <w:p>
      <w:pPr>
        <w:pStyle w:val="Heading2"/>
      </w:pPr>
      <w:r>
        <w:t>248. Claim + two later sources: A road map for explorative scenario creation on Belgian rail freight transport development</w:t>
      </w:r>
    </w:p>
    <w:p>
      <w:pPr>
        <w:pStyle w:val="SourceNote"/>
      </w:pPr>
      <w:r>
        <w:rPr>
          <w:b/>
        </w:rPr>
        <w:t>Group ID:</w:t>
      </w:r>
      <w:r>
        <w:t xml:space="preserve"> group-918f9938057c917aff93</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An Analysis of Interdisciplinary Thematic Clusters and Evolutionary Paths in Research on AI Music Creation — https://doi.org/10.17548/ksaf.2026.06.30.285</w:t>
      </w:r>
    </w:p>
    <w:p>
      <w:pPr/>
      <w:r>
        <w:rPr>
          <w:b/>
        </w:rPr>
        <w:t>Later source:</w:t>
      </w:r>
      <w:r>
        <w:t xml:space="preserve"> Integrating Global Knowledge for Dual Value Creation An Interdisciplinary Framework for Practice-Informed Social Entrepreneurship Education — https://doi.org/10.20381/ruor-32260</w:t>
      </w:r>
    </w:p>
    <w:p>
      <w:pPr>
        <w:pStyle w:val="SourceNote"/>
      </w:pPr>
      <w:r>
        <w:rPr>
          <w:b/>
        </w:rPr>
        <w:t>Review status:</w:t>
      </w:r>
      <w:r>
        <w:t xml:space="preserve"> unchecked — possible relationship only</w:t>
      </w:r>
    </w:p>
    <w:p>
      <w:pPr>
        <w:pStyle w:val="Heading2"/>
      </w:pPr>
      <w:r>
        <w:t>249. Claim + two later sources: Three scenarios for industrial relations in Europe</w:t>
      </w:r>
    </w:p>
    <w:p>
      <w:pPr>
        <w:pStyle w:val="SourceNote"/>
      </w:pPr>
      <w:r>
        <w:rPr>
          <w:b/>
        </w:rPr>
        <w:t>Group ID:</w:t>
      </w:r>
      <w:r>
        <w:t xml:space="preserve"> group-d34f81b24e8bee5973be</w:t>
      </w:r>
    </w:p>
    <w:p>
      <w:pPr>
        <w:pStyle w:val="SourceNote"/>
      </w:pPr>
      <w:r>
        <w:rPr>
          <w:b/>
        </w:rPr>
        <w:t>Original source:</w:t>
      </w:r>
      <w:r>
        <w:t xml:space="preserve"> https://doi.org/10.1111/j.1564-913x.2015.00221.x</w:t>
      </w:r>
    </w:p>
    <w:p>
      <w:pPr/>
      <w:r>
        <w:rPr>
          <w:b/>
        </w:rPr>
        <w:t>Original future claim:</w:t>
      </w:r>
      <w:r>
        <w:t xml:space="preserve">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Digital Currencies in Context: A Cross-Regional Study of Blockchain Adoption in the U.S. and Europe — https://doi.org/10.33423/jabe.v27i6.7943</w:t>
      </w:r>
    </w:p>
    <w:p>
      <w:pPr/>
      <w:r>
        <w:rPr>
          <w:b/>
        </w:rPr>
        <w:t>Later source:</w:t>
      </w:r>
      <w:r>
        <w:t xml:space="preserve"> Three Exercises in the Regionalization of Europe — https://doi.org/10.1002/9781394284375.ch11</w:t>
      </w:r>
    </w:p>
    <w:p>
      <w:pPr>
        <w:pStyle w:val="SourceNote"/>
      </w:pPr>
      <w:r>
        <w:rPr>
          <w:b/>
        </w:rPr>
        <w:t>Review status:</w:t>
      </w:r>
      <w:r>
        <w:t xml:space="preserve"> unchecked — possible relationship only</w:t>
      </w:r>
    </w:p>
    <w:p>
      <w:pPr>
        <w:pStyle w:val="Heading2"/>
      </w:pPr>
      <w:r>
        <w:t>250. Claim + two later sources: Education in an uncertain future: Two scenarios</w:t>
      </w:r>
    </w:p>
    <w:p>
      <w:pPr>
        <w:pStyle w:val="SourceNote"/>
      </w:pPr>
      <w:r>
        <w:rPr>
          <w:b/>
        </w:rPr>
        <w:t>Group ID:</w:t>
      </w:r>
      <w:r>
        <w:t xml:space="preserve"> group-809e1c939339c2923a04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 erstwhile state of Jammu and Kashmir: a constitutional lens to examine In Re: Article 370 of the Constitution — https://doi.org/10.1080/24730580.2026.2644745</w:t>
      </w:r>
    </w:p>
    <w:p>
      <w:pPr/>
      <w:r>
        <w:rPr>
          <w:b/>
        </w:rPr>
        <w:t>Later source:</w:t>
      </w:r>
      <w:r>
        <w:t xml:space="preserve"> MORPHOLOGICAL MEANS AND STYLISTICS: NOUN, ARTICLE, PRONOUN, ADJECTIVE, VERB — https://doi.org/10.5281/zenodo.19602675</w:t>
      </w:r>
    </w:p>
    <w:p>
      <w:pPr>
        <w:pStyle w:val="SourceNote"/>
      </w:pPr>
      <w:r>
        <w:rPr>
          <w:b/>
        </w:rPr>
        <w:t>Review status:</w:t>
      </w:r>
      <w:r>
        <w:t xml:space="preserve"> unchecked — possible relationship only</w:t>
      </w:r>
    </w:p>
    <w:p>
      <w:pPr>
        <w:pStyle w:val="Heading2"/>
      </w:pPr>
      <w:r>
        <w:t>251. Claim + two later sources: Fiscal sustainability and the accuracy of macroeconomic forecasts: Do supranational forecasts rather than government forecasts make a difference?</w:t>
      </w:r>
    </w:p>
    <w:p>
      <w:pPr>
        <w:pStyle w:val="SourceNote"/>
      </w:pPr>
      <w:r>
        <w:rPr>
          <w:b/>
        </w:rPr>
        <w:t>Group ID:</w:t>
      </w:r>
      <w:r>
        <w:t xml:space="preserve"> group-498f13486d6395e8614c</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European anthropogenic AFOLU greenhouse gas emissions: a review and benchmark data — https://doi.org/10.5194/essd-12-961-2020</w:t>
      </w:r>
    </w:p>
    <w:p>
      <w:pPr/>
      <w:r>
        <w:rPr>
          <w:b/>
        </w:rPr>
        <w:t>Later source:</w:t>
      </w:r>
      <w:r>
        <w:t xml:space="preserve"> The development of cycling in European countries since 1990 — https://doi.org/10.18757/ejtir.2021.21.2.5411</w:t>
      </w:r>
    </w:p>
    <w:p>
      <w:pPr>
        <w:pStyle w:val="SourceNote"/>
      </w:pPr>
      <w:r>
        <w:rPr>
          <w:b/>
        </w:rPr>
        <w:t>Review status:</w:t>
      </w:r>
      <w:r>
        <w:t xml:space="preserve"> unchecked — possible relationship only</w:t>
      </w:r>
    </w:p>
    <w:p>
      <w:pPr>
        <w:pStyle w:val="Heading2"/>
      </w:pPr>
      <w:r>
        <w:t>252. Claim + two later sources: Shared Socio-economic Pathways for European agriculture and food systems: The Eur-Agri-SSPs</w:t>
      </w:r>
    </w:p>
    <w:p>
      <w:pPr>
        <w:pStyle w:val="SourceNote"/>
      </w:pPr>
      <w:r>
        <w:rPr>
          <w:b/>
        </w:rPr>
        <w:t>Group ID:</w:t>
      </w:r>
      <w:r>
        <w:t xml:space="preserve"> group-759767af802046fe9713</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Multicentre evaluation of a selective isolation protocol for detection of mcr-positive E. coli and Salmonella spp. in food-producing animals and meat — https://doi.org/10.1111/lam.13717</w:t>
      </w:r>
    </w:p>
    <w:p>
      <w:pPr/>
      <w:r>
        <w:rPr>
          <w:b/>
        </w:rPr>
        <w:t>Later source:</w:t>
      </w:r>
      <w:r>
        <w:t xml:space="preserve"> Implementation of a pan-European ecosystem and an interoperable platform for Smart and Healthy Ageing in Europe: An Innovation Action research protocol — https://doi.org/10.12688/openreseurope.14827.1</w:t>
      </w:r>
    </w:p>
    <w:p>
      <w:pPr>
        <w:pStyle w:val="SourceNote"/>
      </w:pPr>
      <w:r>
        <w:rPr>
          <w:b/>
        </w:rPr>
        <w:t>Review status:</w:t>
      </w:r>
      <w:r>
        <w:t xml:space="preserve"> unchecked — possible relationship only</w:t>
      </w:r>
    </w:p>
    <w:p>
      <w:pPr>
        <w:pStyle w:val="Heading2"/>
      </w:pPr>
      <w:r>
        <w:t>253. Claim + two later sources: Flexible electricity generation, grid exchange and storage for the transition to a 100% renewable energy system in Europe</w:t>
      </w:r>
    </w:p>
    <w:p>
      <w:pPr>
        <w:pStyle w:val="SourceNote"/>
      </w:pPr>
      <w:r>
        <w:rPr>
          <w:b/>
        </w:rPr>
        <w:t>Group ID:</w:t>
      </w:r>
      <w:r>
        <w:t xml:space="preserve"> group-0baf416bcea760699085</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D8.2: 'Just' transition pathway &amp; intermediate targets — https://doi.org/10.5281/zenodo.20486783</w:t>
      </w:r>
    </w:p>
    <w:p>
      <w:pPr/>
      <w:r>
        <w:rPr>
          <w:b/>
        </w:rPr>
        <w:t>Later source:</w:t>
      </w:r>
      <w:r>
        <w:t xml:space="preserve"> European Circular Economy Structural Typology Based on Multivariate Analysis of Latent Dimensions and Transition Pathways — https://doi.org/10.1002/sd.71629</w:t>
      </w:r>
    </w:p>
    <w:p>
      <w:pPr>
        <w:pStyle w:val="SourceNote"/>
      </w:pPr>
      <w:r>
        <w:rPr>
          <w:b/>
        </w:rPr>
        <w:t>Review status:</w:t>
      </w:r>
      <w:r>
        <w:t xml:space="preserve"> unchecked — possible relationship only</w:t>
      </w:r>
    </w:p>
    <w:p>
      <w:pPr>
        <w:pStyle w:val="Heading2"/>
      </w:pPr>
      <w:r>
        <w:t>254. Claim + two later sources: Consequences of Enduring Low Fertility – A German Case Study. Demographic Projections and Implications for Different Policy Fields</w:t>
      </w:r>
    </w:p>
    <w:p>
      <w:pPr>
        <w:pStyle w:val="SourceNote"/>
      </w:pPr>
      <w:r>
        <w:rPr>
          <w:b/>
        </w:rPr>
        <w:t>Group ID:</w:t>
      </w:r>
      <w:r>
        <w:t xml:space="preserve"> group-8cfd1c12e855e8160b3b</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Ageing and ocular problems — https://doi.org/10.1556/2066.2021.00042</w:t>
      </w:r>
    </w:p>
    <w:p>
      <w:pPr/>
      <w:r>
        <w:rPr>
          <w:b/>
        </w:rPr>
        <w:t>Later source:</w:t>
      </w:r>
      <w:r>
        <w:t xml:space="preserve"> Central and Peripheral Neuromuscular Adaptations to Ageing — https://doi.org/10.3390/jcm9030741</w:t>
      </w:r>
    </w:p>
    <w:p>
      <w:pPr>
        <w:pStyle w:val="SourceNote"/>
      </w:pPr>
      <w:r>
        <w:rPr>
          <w:b/>
        </w:rPr>
        <w:t>Review status:</w:t>
      </w:r>
      <w:r>
        <w:t xml:space="preserve"> unchecked — possible relationship only</w:t>
      </w:r>
    </w:p>
    <w:p>
      <w:pPr>
        <w:pStyle w:val="Heading2"/>
      </w:pPr>
      <w:r>
        <w:t>255. Claim + two later sources: A look into the future of the COVID-19 pandemic in Europe: an expert consultation</w:t>
      </w:r>
    </w:p>
    <w:p>
      <w:pPr>
        <w:pStyle w:val="SourceNote"/>
      </w:pPr>
      <w:r>
        <w:rPr>
          <w:b/>
        </w:rPr>
        <w:t>Group ID:</w:t>
      </w:r>
      <w:r>
        <w:t xml:space="preserve"> group-2df3ef5891816910148c</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Later source:</w:t>
      </w:r>
      <w:r>
        <w:t xml:space="preserve"> Aligning regional development processes in the Republic of Moldova with European Union standards and practices: perspectives and challenges — https://doi.org/10.59295/dnwe2025.13</w:t>
      </w:r>
    </w:p>
    <w:p>
      <w:pPr>
        <w:pStyle w:val="SourceNote"/>
      </w:pPr>
      <w:r>
        <w:rPr>
          <w:b/>
        </w:rPr>
        <w:t>Review status:</w:t>
      </w:r>
      <w:r>
        <w:t xml:space="preserve"> unchecked — possible relationship only</w:t>
      </w:r>
    </w:p>
    <w:p>
      <w:pPr>
        <w:pStyle w:val="Heading2"/>
      </w:pPr>
      <w:r>
        <w:t>256.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group-44264db1b939cc121336</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Assessment of Trends and Uncertainties in the Atmospheric Boundary Layer Height Estimated Using Radiosounding Observations over Europe — https://doi.org/10.3390/atmos12030301</w:t>
      </w:r>
    </w:p>
    <w:p>
      <w:pPr>
        <w:pStyle w:val="SourceNote"/>
      </w:pPr>
      <w:r>
        <w:rPr>
          <w:b/>
        </w:rPr>
        <w:t>Review status:</w:t>
      </w:r>
      <w:r>
        <w:t xml:space="preserve"> unchecked — possible relationship only</w:t>
      </w:r>
    </w:p>
    <w:p>
      <w:pPr>
        <w:pStyle w:val="Heading2"/>
      </w:pPr>
      <w:r>
        <w:t>257.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258. Claim + two later sources: Shaping the ‘Energy Union': between national positions and governance innovation in EU energy and climate policy</w:t>
      </w:r>
    </w:p>
    <w:p>
      <w:pPr>
        <w:pStyle w:val="SourceNote"/>
      </w:pPr>
      <w:r>
        <w:rPr>
          <w:b/>
        </w:rPr>
        <w:t>Group ID:</w:t>
      </w:r>
      <w:r>
        <w:t xml:space="preserve"> group-892e4df11f92275a84fa</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A New Idea(l) for Europe: Report on the Future of Cosmopolitanism in Europe — https://doi.org/10.17185/duepublico/74426</w:t>
      </w:r>
    </w:p>
    <w:p>
      <w:pPr>
        <w:pStyle w:val="SourceNote"/>
      </w:pPr>
      <w:r>
        <w:rPr>
          <w:b/>
        </w:rPr>
        <w:t>Review status:</w:t>
      </w:r>
      <w:r>
        <w:t xml:space="preserve"> unchecked — possible relationship only</w:t>
      </w:r>
    </w:p>
    <w:p>
      <w:pPr>
        <w:pStyle w:val="Heading2"/>
      </w:pPr>
      <w:r>
        <w:t>259. Claim + two later sources: Trends and Possible Future Developments in Global Forest-Product Markets—Implications for the Swedish Forest Sector</w:t>
      </w:r>
    </w:p>
    <w:p>
      <w:pPr>
        <w:pStyle w:val="SourceNote"/>
      </w:pPr>
      <w:r>
        <w:rPr>
          <w:b/>
        </w:rPr>
        <w:t>Group ID:</w:t>
      </w:r>
      <w:r>
        <w:t xml:space="preserve"> group-c2e22009ddb9e2414803</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Uncertainty quantification for overshoots of tipping thresholds — https://doi.org/10.5194/esd-16-1153-2025</w:t>
      </w:r>
    </w:p>
    <w:p>
      <w:pPr/>
      <w:r>
        <w:rPr>
          <w:b/>
        </w:rPr>
        <w:t>Later source:</w:t>
      </w:r>
      <w:r>
        <w:t xml:space="preserve"> Editorial: Critical perspectives in times of uncertainty — https://doi.org/10.1108/dpm-08-2025-435</w:t>
      </w:r>
    </w:p>
    <w:p>
      <w:pPr>
        <w:pStyle w:val="SourceNote"/>
      </w:pPr>
      <w:r>
        <w:rPr>
          <w:b/>
        </w:rPr>
        <w:t>Review status:</w:t>
      </w:r>
      <w:r>
        <w:t xml:space="preserve"> unchecked — possible relationship only</w:t>
      </w:r>
    </w:p>
    <w:p>
      <w:pPr>
        <w:pStyle w:val="Heading2"/>
      </w:pPr>
      <w:r>
        <w:t>260. Claim + two later sources: Energy Portfolio of the Eastern Poland Macroregion in the European Union</w:t>
      </w:r>
    </w:p>
    <w:p>
      <w:pPr>
        <w:pStyle w:val="SourceNote"/>
      </w:pPr>
      <w:r>
        <w:rPr>
          <w:b/>
        </w:rPr>
        <w:t>Group ID:</w:t>
      </w:r>
      <w:r>
        <w:t xml:space="preserve"> group-c751a0d72aedc1193aa8</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The predictors of party group bargaining success in the European Parliament — https://doi.org/10.1177/14651165261423104</w:t>
      </w:r>
    </w:p>
    <w:p>
      <w:pPr/>
      <w:r>
        <w:rPr>
          <w:b/>
        </w:rPr>
        <w:t>Later source:</w:t>
      </w:r>
      <w:r>
        <w:t xml:space="preserve"> Housing affordability and poverty in Europe: on the deteriorating position of market renters — https://doi.org/10.1017/s0047279423000703</w:t>
      </w:r>
    </w:p>
    <w:p>
      <w:pPr>
        <w:pStyle w:val="SourceNote"/>
      </w:pPr>
      <w:r>
        <w:rPr>
          <w:b/>
        </w:rPr>
        <w:t>Review status:</w:t>
      </w:r>
      <w:r>
        <w:t xml:space="preserve"> unchecked — possible relationship only</w:t>
      </w:r>
    </w:p>
    <w:p>
      <w:pPr>
        <w:pStyle w:val="Heading2"/>
      </w:pPr>
      <w:r>
        <w:t>261. Claim + two later sources: Future air quality in Europe: a multi-model assessment of projected exposure to ozone</w:t>
      </w:r>
    </w:p>
    <w:p>
      <w:pPr>
        <w:pStyle w:val="SourceNote"/>
      </w:pPr>
      <w:r>
        <w:rPr>
          <w:b/>
        </w:rPr>
        <w:t>Group ID:</w:t>
      </w:r>
      <w:r>
        <w:t xml:space="preserve"> group-f4529bc25db4fc4431ec</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Clean air in Europe for all — https://doi.org/10.1097/ee9.0000000000000245</w:t>
      </w:r>
    </w:p>
    <w:p>
      <w:pPr/>
      <w:r>
        <w:rPr>
          <w:b/>
        </w:rPr>
        <w:t>Later source:</w:t>
      </w:r>
      <w:r>
        <w:t xml:space="preserve"> Spatial heterogeneity of air pollution statistics in Europe — https://doi.org/10.1038/s41598-022-16109-2</w:t>
      </w:r>
    </w:p>
    <w:p>
      <w:pPr>
        <w:pStyle w:val="SourceNote"/>
      </w:pPr>
      <w:r>
        <w:rPr>
          <w:b/>
        </w:rPr>
        <w:t>Review status:</w:t>
      </w:r>
      <w:r>
        <w:t xml:space="preserve"> unchecked — possible relationship only</w:t>
      </w:r>
    </w:p>
    <w:p>
      <w:pPr>
        <w:pStyle w:val="Heading2"/>
      </w:pPr>
      <w:r>
        <w:t>262. Claim + two later sources: The future of trade unions in Croatia – various stakeholders’ perspectives</w:t>
      </w:r>
    </w:p>
    <w:p>
      <w:pPr>
        <w:pStyle w:val="SourceNote"/>
      </w:pPr>
      <w:r>
        <w:rPr>
          <w:b/>
        </w:rPr>
        <w:t>Group ID:</w:t>
      </w:r>
      <w:r>
        <w:t xml:space="preserve"> group-de43ce8f979df97d41de</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Trump's Trade Gambit: Chaos as a Calculated Strategy — https://doi.org/10.1177/00207020261439150</w:t>
      </w:r>
    </w:p>
    <w:p>
      <w:pPr/>
      <w:r>
        <w:rPr>
          <w:b/>
        </w:rPr>
        <w:t>Later source:</w:t>
      </w:r>
      <w:r>
        <w:t xml:space="preserve"> From Stigma to Support: Exploring Perceptions of Menstrual Leave Policies in European Workplaces — https://doi.org/10.1111/gwao.70256</w:t>
      </w:r>
    </w:p>
    <w:p>
      <w:pPr>
        <w:pStyle w:val="SourceNote"/>
      </w:pPr>
      <w:r>
        <w:rPr>
          <w:b/>
        </w:rPr>
        <w:t>Review status:</w:t>
      </w:r>
      <w:r>
        <w:t xml:space="preserve"> unchecked — possible relationship only</w:t>
      </w:r>
    </w:p>
    <w:p>
      <w:pPr>
        <w:pStyle w:val="Heading2"/>
      </w:pPr>
      <w:r>
        <w:t>263. Claim + two later sources: Agent‐Based Modeling of Alternative Futures in the British Land Use System</w:t>
      </w:r>
    </w:p>
    <w:p>
      <w:pPr>
        <w:pStyle w:val="SourceNote"/>
      </w:pPr>
      <w:r>
        <w:rPr>
          <w:b/>
        </w:rPr>
        <w:t>Group ID:</w:t>
      </w:r>
      <w:r>
        <w:t xml:space="preserve"> group-5f18135988305cf0aaab</w:t>
      </w:r>
    </w:p>
    <w:p>
      <w:pPr>
        <w:pStyle w:val="SourceNote"/>
      </w:pPr>
      <w:r>
        <w:rPr>
          <w:b/>
        </w:rPr>
        <w:t>Original source:</w:t>
      </w:r>
      <w:r>
        <w:t xml:space="preserve"> https://doi.org/10.1029/2022ef002905</w:t>
      </w:r>
    </w:p>
    <w:p>
      <w:pPr/>
      <w:r>
        <w:rPr>
          <w:b/>
        </w:rPr>
        <w:t>Original future claim:</w:t>
      </w:r>
      <w:r>
        <w:t xml:space="preserve">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High-resolution modelling of biodiversity under the shared socio-economic scenarios — https://doi.org/10.32942/x2h958</w:t>
      </w:r>
    </w:p>
    <w:p>
      <w:pPr>
        <w:pStyle w:val="SourceNote"/>
      </w:pPr>
      <w:r>
        <w:rPr>
          <w:b/>
        </w:rPr>
        <w:t>Review status:</w:t>
      </w:r>
      <w:r>
        <w:t xml:space="preserve"> unchecked — possible relationship only</w:t>
      </w:r>
    </w:p>
    <w:p>
      <w:pPr>
        <w:pStyle w:val="Heading2"/>
      </w:pPr>
      <w:r>
        <w:t>264. Claim + two later sources: Toward a Diagnostic Tool for Organizational Ethical Culture With Futures Thinking and Scenario Planning</w:t>
      </w:r>
    </w:p>
    <w:p>
      <w:pPr>
        <w:pStyle w:val="SourceNote"/>
      </w:pPr>
      <w:r>
        <w:rPr>
          <w:b/>
        </w:rPr>
        <w:t>Group ID:</w:t>
      </w:r>
      <w:r>
        <w:t xml:space="preserve"> group-cd418560fe3e31c5dec9</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Mapping the Evidence on Antimicrobial Resistance Transmission in Mass Gatherings: A Scoping Review — https://doi.org/10.17605/osf.io/9hq5t</w:t>
      </w:r>
    </w:p>
    <w:p>
      <w:pPr/>
      <w:r>
        <w:rPr>
          <w:b/>
        </w:rPr>
        <w:t>Later source:</w:t>
      </w:r>
      <w:r>
        <w:t xml:space="preserve"> Improved LEACH Model with Efficient Data Gathering Scheme for Mobile Internet of Things — https://doi.org/10.1109/icngcs64900.2025.11183334</w:t>
      </w:r>
    </w:p>
    <w:p>
      <w:pPr>
        <w:pStyle w:val="SourceNote"/>
      </w:pPr>
      <w:r>
        <w:rPr>
          <w:b/>
        </w:rPr>
        <w:t>Review status:</w:t>
      </w:r>
      <w:r>
        <w:t xml:space="preserve"> unchecked — possible relationship only</w:t>
      </w:r>
    </w:p>
    <w:p>
      <w:pPr>
        <w:pStyle w:val="Heading2"/>
      </w:pPr>
      <w:r>
        <w:t>265. Claim + two later sources: Scenarios for the Development of Multimodal Transport in the TRITIA Cross-Border Area</w:t>
      </w:r>
    </w:p>
    <w:p>
      <w:pPr>
        <w:pStyle w:val="SourceNote"/>
      </w:pPr>
      <w:r>
        <w:rPr>
          <w:b/>
        </w:rPr>
        <w:t>Group ID:</w:t>
      </w:r>
      <w:r>
        <w:t xml:space="preserve"> group-e62e486ade7bde1f1e4f</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Soil Governance in current European Union Law and in the European Green Deal — https://doi.org/10.1016/j.soisec.2022.100053</w:t>
      </w:r>
    </w:p>
    <w:p>
      <w:pPr/>
      <w:r>
        <w:rPr>
          <w:b/>
        </w:rPr>
        <w:t>Later source:</w:t>
      </w:r>
      <w:r>
        <w:t xml:space="preserve"> Nature-Based Solutions in Urban Areas: A European Analysis — https://doi.org/10.3390/app13010168</w:t>
      </w:r>
    </w:p>
    <w:p>
      <w:pPr>
        <w:pStyle w:val="SourceNote"/>
      </w:pPr>
      <w:r>
        <w:rPr>
          <w:b/>
        </w:rPr>
        <w:t>Review status:</w:t>
      </w:r>
      <w:r>
        <w:t xml:space="preserve"> unchecked — possible relationship only</w:t>
      </w:r>
    </w:p>
    <w:p>
      <w:pPr>
        <w:pStyle w:val="Heading2"/>
      </w:pPr>
      <w:r>
        <w:t>266. Claim + two later sources: Central Europe: Possible Scenarios</w:t>
      </w:r>
    </w:p>
    <w:p>
      <w:pPr>
        <w:pStyle w:val="SourceNote"/>
      </w:pPr>
      <w:r>
        <w:rPr>
          <w:b/>
        </w:rPr>
        <w:t>Group ID:</w:t>
      </w:r>
      <w:r>
        <w:t xml:space="preserve"> group-70fea2ed92a133192813</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SPES Explorer European Pressing Issues Dashboard — https://doi.org/10.5281/zenodo.18479791</w:t>
      </w:r>
    </w:p>
    <w:p>
      <w:pPr/>
      <w:r>
        <w:rPr>
          <w:b/>
        </w:rPr>
        <w:t>Later source:</w:t>
      </w:r>
      <w:r>
        <w:t xml:space="preserve"> Meeting Users’ Needs in National Health Information Infrastructures - Lessons from the Case of Germany — https://doi.org/10.24251/hicss.2026.448</w:t>
      </w:r>
    </w:p>
    <w:p>
      <w:pPr>
        <w:pStyle w:val="SourceNote"/>
      </w:pPr>
      <w:r>
        <w:rPr>
          <w:b/>
        </w:rPr>
        <w:t>Review status:</w:t>
      </w:r>
      <w:r>
        <w:t xml:space="preserve"> unchecked — possible relationship only</w:t>
      </w:r>
    </w:p>
    <w:p>
      <w:pPr>
        <w:pStyle w:val="Heading2"/>
      </w:pPr>
      <w:r>
        <w:t>267. Claim + two later sources: Cross-border climate vulnerabilities of the European Union to drought</w:t>
      </w:r>
    </w:p>
    <w:p>
      <w:pPr>
        <w:pStyle w:val="SourceNote"/>
      </w:pPr>
      <w:r>
        <w:rPr>
          <w:b/>
        </w:rPr>
        <w:t>Group ID:</w:t>
      </w:r>
      <w:r>
        <w:t xml:space="preserve"> group-94816b19f01866aba4cd</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Drought Impacts on Agricultural Production Across EU Regions — https://doi.org/10.1007/s40797-026-00379-0</w:t>
      </w:r>
    </w:p>
    <w:p>
      <w:pPr>
        <w:pStyle w:val="SourceNote"/>
      </w:pPr>
      <w:r>
        <w:rPr>
          <w:b/>
        </w:rPr>
        <w:t>Review status:</w:t>
      </w:r>
      <w:r>
        <w:t xml:space="preserve"> unchecked — possible relationship only</w:t>
      </w:r>
    </w:p>
    <w:p>
      <w:pPr>
        <w:pStyle w:val="Heading2"/>
      </w:pPr>
      <w:r>
        <w:t>268. Claim + two later sources: Development and transport implications of automated vehicles in the Netherlands: scenarios for 2030 and 2050</w:t>
      </w:r>
    </w:p>
    <w:p>
      <w:pPr>
        <w:pStyle w:val="SourceNote"/>
      </w:pPr>
      <w:r>
        <w:rPr>
          <w:b/>
        </w:rPr>
        <w:t>Group ID:</w:t>
      </w:r>
      <w:r>
        <w:t xml:space="preserve"> group-18641847586739c14ee7</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Electric Vehicle Fleet Penetration and Air Pollution Mortality in Europe — https://doi.org/10.32388/vkflrm</w:t>
      </w:r>
    </w:p>
    <w:p>
      <w:pPr/>
      <w:r>
        <w:rPr>
          <w:b/>
        </w:rPr>
        <w:t>Later source:</w:t>
      </w:r>
      <w:r>
        <w:t xml:space="preserve"> Electric Vehicle Fleet Penetration and Air Pollution Mortality in Europe — https://doi.org/10.32388/vkflrm.2</w:t>
      </w:r>
    </w:p>
    <w:p>
      <w:pPr>
        <w:pStyle w:val="SourceNote"/>
      </w:pPr>
      <w:r>
        <w:rPr>
          <w:b/>
        </w:rPr>
        <w:t>Review status:</w:t>
      </w:r>
      <w:r>
        <w:t xml:space="preserve"> unchecked — possible relationship only</w:t>
      </w:r>
    </w:p>
    <w:p>
      <w:pPr>
        <w:pStyle w:val="Heading2"/>
      </w:pPr>
      <w:r>
        <w:t>269. Claim + two later sources: Energy transition scenarios: What policies, societal attitudes, and technology developments will realize the EU Green Deal?</w:t>
      </w:r>
    </w:p>
    <w:p>
      <w:pPr>
        <w:pStyle w:val="SourceNote"/>
      </w:pPr>
      <w:r>
        <w:rPr>
          <w:b/>
        </w:rPr>
        <w:t>Group ID:</w:t>
      </w:r>
      <w:r>
        <w:t xml:space="preserve"> group-b4c8363bd667656b4b6c</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‘They Take Our Healthcare’: Health and Attitudes towards Immigration in Europe — https://doi.org/10.1177/00104140251342932</w:t>
      </w:r>
    </w:p>
    <w:p>
      <w:pPr>
        <w:pStyle w:val="SourceNote"/>
      </w:pPr>
      <w:r>
        <w:rPr>
          <w:b/>
        </w:rPr>
        <w:t>Review status:</w:t>
      </w:r>
      <w:r>
        <w:t xml:space="preserve"> unchecked — possible relationship only</w:t>
      </w:r>
    </w:p>
    <w:p>
      <w:pPr>
        <w:pStyle w:val="Heading2"/>
      </w:pPr>
      <w:r>
        <w:t>270. Claim + two later sources: Five transition pathways to renewable energy futures—scenarios from a Delphi study on key drivers and policy options</w:t>
      </w:r>
    </w:p>
    <w:p>
      <w:pPr>
        <w:pStyle w:val="SourceNote"/>
      </w:pPr>
      <w:r>
        <w:rPr>
          <w:b/>
        </w:rPr>
        <w:t>Group ID:</w:t>
      </w:r>
      <w:r>
        <w:t xml:space="preserve"> group-df4bf4129d58d2b5a30a</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Renewable Energy, Sustainable Business Models, and Decarbonization in the European Union: Comparative Analysis of Corporate Sustainability Reports — https://doi.org/10.3390/su17083646</w:t>
      </w:r>
    </w:p>
    <w:p>
      <w:pPr/>
      <w:r>
        <w:rPr>
          <w:b/>
        </w:rPr>
        <w:t>Later source:</w:t>
      </w:r>
      <w:r>
        <w:t xml:space="preserve"> Five models and ten predictors for energy costs on farms in the European Union — https://doi.org/10.1515/opag-2025-0441</w:t>
      </w:r>
    </w:p>
    <w:p>
      <w:pPr>
        <w:pStyle w:val="SourceNote"/>
      </w:pPr>
      <w:r>
        <w:rPr>
          <w:b/>
        </w:rPr>
        <w:t>Review status:</w:t>
      </w:r>
      <w:r>
        <w:t xml:space="preserve"> unchecked — possible relationship only</w:t>
      </w:r>
    </w:p>
    <w:p>
      <w:pPr>
        <w:pStyle w:val="Heading2"/>
      </w:pPr>
      <w:r>
        <w:t>271. Claim + two later sources: European Union, transnational terrorism and the strategic choice of counterterrorism policies in democratic countries</w:t>
      </w:r>
    </w:p>
    <w:p>
      <w:pPr>
        <w:pStyle w:val="SourceNote"/>
      </w:pPr>
      <w:r>
        <w:rPr>
          <w:b/>
        </w:rPr>
        <w:t>Group ID:</w:t>
      </w:r>
      <w:r>
        <w:t xml:space="preserve"> group-d75a48a0a97a1ce16ce3</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The Role of the European Union and the Council of Europe in Promoting Democracy: The Case of the South Caucasus States — https://doi.org/10.54503/2579-2903-2026.1-183</w:t>
      </w:r>
    </w:p>
    <w:p>
      <w:pPr/>
      <w:r>
        <w:rPr>
          <w:b/>
        </w:rPr>
        <w:t>Later source:</w:t>
      </w:r>
      <w:r>
        <w:t xml:space="preserve"> The impacts of scandal-based coalition terminations on voters — https://doi.org/10.1017/s1475676526101194</w:t>
      </w:r>
    </w:p>
    <w:p>
      <w:pPr>
        <w:pStyle w:val="SourceNote"/>
      </w:pPr>
      <w:r>
        <w:rPr>
          <w:b/>
        </w:rPr>
        <w:t>Review status:</w:t>
      </w:r>
      <w:r>
        <w:t xml:space="preserve"> unchecked — possible relationship only</w:t>
      </w:r>
    </w:p>
    <w:p>
      <w:pPr>
        <w:pStyle w:val="Heading2"/>
      </w:pPr>
      <w:r>
        <w:t>272. Claim + two later sources: Biotechnology versus agroecology: Entrenchments and surprise at a 2030 forecast scenario workshop</w:t>
      </w:r>
    </w:p>
    <w:p>
      <w:pPr>
        <w:pStyle w:val="SourceNote"/>
      </w:pPr>
      <w:r>
        <w:rPr>
          <w:b/>
        </w:rPr>
        <w:t>Group ID:</w:t>
      </w:r>
      <w:r>
        <w:t xml:space="preserve"> group-d2b3466245cf95b2f024</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Improving the methodology for the comprehensive assessment of the working conditions of workers in the foundry — https://doi.org/10.21122/1683-6065-2026-2-143-150</w:t>
      </w:r>
    </w:p>
    <w:p>
      <w:pPr/>
      <w:r>
        <w:rPr>
          <w:b/>
        </w:rPr>
        <w:t>Later source:</w:t>
      </w:r>
      <w:r>
        <w:t xml:space="preserve"> Experience on Training among the Participants of Teaching Methodology and Assessment — https://doi.org/10.3329/cmoshmcj.v23i1.78514</w:t>
      </w:r>
    </w:p>
    <w:p>
      <w:pPr>
        <w:pStyle w:val="SourceNote"/>
      </w:pPr>
      <w:r>
        <w:rPr>
          <w:b/>
        </w:rPr>
        <w:t>Review status:</w:t>
      </w:r>
      <w:r>
        <w:t xml:space="preserve"> unchecked — possible relationship only</w:t>
      </w:r>
    </w:p>
    <w:p>
      <w:pPr>
        <w:pStyle w:val="Heading2"/>
      </w:pPr>
      <w:r>
        <w:t>273. Claim + two later sources: Occupational Structure in European Countries: What do Forecasts Predict?</w:t>
      </w:r>
    </w:p>
    <w:p>
      <w:pPr>
        <w:pStyle w:val="SourceNote"/>
      </w:pPr>
      <w:r>
        <w:rPr>
          <w:b/>
        </w:rPr>
        <w:t>Group ID:</w:t>
      </w:r>
      <w:r>
        <w:t xml:space="preserve"> group-3d5e00cb5a51a97e9eee</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Digital communication and occupational well-being in 25 European countries — https://doi.org/10.1007/s10111-026-00902-4</w:t>
      </w:r>
    </w:p>
    <w:p>
      <w:pPr/>
      <w:r>
        <w:rPr>
          <w:b/>
        </w:rPr>
        <w:t>Later source:</w:t>
      </w:r>
      <w:r>
        <w:t xml:space="preserve"> Telework and Occupational Segregation in Europe — https://doi.org/10.3390/economies13100292</w:t>
      </w:r>
    </w:p>
    <w:p>
      <w:pPr>
        <w:pStyle w:val="SourceNote"/>
      </w:pPr>
      <w:r>
        <w:rPr>
          <w:b/>
        </w:rPr>
        <w:t>Review status:</w:t>
      </w:r>
      <w:r>
        <w:t xml:space="preserve"> unchecked — possible relationship only</w:t>
      </w:r>
    </w:p>
    <w:p>
      <w:pPr>
        <w:pStyle w:val="Heading2"/>
      </w:pPr>
      <w:r>
        <w:t>274. Claim + two later sources: What energy infrastructure will be needed by 2050 in the EU to support 1.5°C scenarios?</w:t>
      </w:r>
    </w:p>
    <w:p>
      <w:pPr>
        <w:pStyle w:val="SourceNote"/>
      </w:pPr>
      <w:r>
        <w:rPr>
          <w:b/>
        </w:rPr>
        <w:t>Group ID:</w:t>
      </w:r>
      <w:r>
        <w:t xml:space="preserve"> group-a1add20492c58bd2ca79</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Energy and Emission Disutilities of Transport Modes Under Transport Innovation in the European Union — https://doi.org/10.3390/en19051346</w:t>
      </w:r>
    </w:p>
    <w:p>
      <w:pPr/>
      <w:r>
        <w:rPr>
          <w:b/>
        </w:rPr>
        <w:t>Later source:</w:t>
      </w:r>
      <w:r>
        <w:t xml:space="preserve"> Sustainability of the European Energy System: The Evolution of the Energy Transition, Renewable Energy, and Energy Conservation — https://doi.org/10.3390/su18084046</w:t>
      </w:r>
    </w:p>
    <w:p>
      <w:pPr>
        <w:pStyle w:val="SourceNote"/>
      </w:pPr>
      <w:r>
        <w:rPr>
          <w:b/>
        </w:rPr>
        <w:t>Review status:</w:t>
      </w:r>
      <w:r>
        <w:t xml:space="preserve"> unchecked — possible relationship only</w:t>
      </w:r>
    </w:p>
    <w:p>
      <w:pPr>
        <w:pStyle w:val="Heading2"/>
      </w:pPr>
      <w:r>
        <w:t>275. Claim + two later sources: About global forecast of European Parliament TO 2035</w:t>
      </w:r>
    </w:p>
    <w:p>
      <w:pPr>
        <w:pStyle w:val="SourceNote"/>
      </w:pPr>
      <w:r>
        <w:rPr>
          <w:b/>
        </w:rPr>
        <w:t>Group ID:</w:t>
      </w:r>
      <w:r>
        <w:t xml:space="preserve"> group-7aa621cb267db0d2dec7</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Parabolic Modeling Forecasts of Space and Time European Hydropower Production — https://doi.org/10.3390/pr12061098</w:t>
      </w:r>
    </w:p>
    <w:p>
      <w:pPr/>
      <w:r>
        <w:rPr>
          <w:b/>
        </w:rPr>
        <w:t>Later source:</w:t>
      </w:r>
      <w:r>
        <w:t xml:space="preserve"> European Mortality Forecasts: Are the Targets Still Moving? — https://doi.org/10.1007/978-3-030-42472-5_9</w:t>
      </w:r>
    </w:p>
    <w:p>
      <w:pPr>
        <w:pStyle w:val="SourceNote"/>
      </w:pPr>
      <w:r>
        <w:rPr>
          <w:b/>
        </w:rPr>
        <w:t>Review status:</w:t>
      </w:r>
      <w:r>
        <w:t xml:space="preserve"> unchecked — possible relationship only</w:t>
      </w:r>
    </w:p>
    <w:p>
      <w:pPr>
        <w:pStyle w:val="Heading2"/>
      </w:pPr>
      <w:r>
        <w:t>276. Claim + two later sources: Assessing the impacts of technology improvements on the deployment of marine energy in Europe with an energy system perspective</w:t>
      </w:r>
    </w:p>
    <w:p>
      <w:pPr>
        <w:pStyle w:val="SourceNote"/>
      </w:pPr>
      <w:r>
        <w:rPr>
          <w:b/>
        </w:rPr>
        <w:t>Group ID:</w:t>
      </w:r>
      <w:r>
        <w:t xml:space="preserve"> group-f0b5c3020b53bf76c8ab</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Long‐term changes in taxonomic and functional composition of European marine fish communities — https://doi.org/10.1111/ecog.07234</w:t>
      </w:r>
    </w:p>
    <w:p>
      <w:pPr/>
      <w:r>
        <w:rPr>
          <w:b/>
        </w:rPr>
        <w:t>Later source:</w:t>
      </w:r>
      <w:r>
        <w:t xml:space="preserve"> The role of the marine research infrastructures in the European marine observation landscape: present and future perspectives — https://doi.org/10.3389/fmars.2023.1047251</w:t>
      </w:r>
    </w:p>
    <w:p>
      <w:pPr>
        <w:pStyle w:val="SourceNote"/>
      </w:pPr>
      <w:r>
        <w:rPr>
          <w:b/>
        </w:rPr>
        <w:t>Review status:</w:t>
      </w:r>
      <w:r>
        <w:t xml:space="preserve"> unchecked — possible relationship only</w:t>
      </w:r>
    </w:p>
    <w:p>
      <w:pPr>
        <w:pStyle w:val="Heading2"/>
      </w:pPr>
      <w:r>
        <w:t>277. Claim + two later sources: Implementing Systemic Innovation Strategies for a More Sustainable Future: The Case of Three Overseas Countries and Territories</w:t>
      </w:r>
    </w:p>
    <w:p>
      <w:pPr>
        <w:pStyle w:val="SourceNote"/>
      </w:pPr>
      <w:r>
        <w:rPr>
          <w:b/>
        </w:rPr>
        <w:t>Group ID:</w:t>
      </w:r>
      <w:r>
        <w:t xml:space="preserve"> group-f8add8d43edc2118d3b8</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The next episode for narrative foresight — https://doi.org/10.1016/j.futures.2026.103876</w:t>
      </w:r>
    </w:p>
    <w:p>
      <w:pPr/>
      <w:r>
        <w:rPr>
          <w:b/>
        </w:rPr>
        <w:t>Later source:</w:t>
      </w:r>
      <w:r>
        <w:t xml:space="preserve"> Designing a pluriversal foresight epistemology and schematic, an essay — https://doi.org/10.1186/s40309-026-00296-6</w:t>
      </w:r>
    </w:p>
    <w:p>
      <w:pPr>
        <w:pStyle w:val="SourceNote"/>
      </w:pPr>
      <w:r>
        <w:rPr>
          <w:b/>
        </w:rPr>
        <w:t>Review status:</w:t>
      </w:r>
      <w:r>
        <w:t xml:space="preserve"> unchecked — possible relationship only</w:t>
      </w:r>
    </w:p>
    <w:p>
      <w:pPr>
        <w:pStyle w:val="Heading2"/>
      </w:pPr>
      <w:r>
        <w:t>278. Claim + two later sources: Dynamics of the land use, land use change, and forestry sink in the European Union: the impacts of energy and climate targets for 2030</w:t>
      </w:r>
    </w:p>
    <w:p>
      <w:pPr>
        <w:pStyle w:val="SourceNote"/>
      </w:pPr>
      <w:r>
        <w:rPr>
          <w:b/>
        </w:rPr>
        <w:t>Group ID:</w:t>
      </w:r>
      <w:r>
        <w:t xml:space="preserve"> group-74a4331b749a5ab7c2ba</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European environmental sustainability through unraveling the nexus of total energy consumption, value addition, and GHG emissions in agriculture — https://doi.org/10.1177/0958305x261438604</w:t>
      </w:r>
    </w:p>
    <w:p>
      <w:pPr/>
      <w:r>
        <w:rPr>
          <w:b/>
        </w:rPr>
        <w:t>Later source:</w:t>
      </w:r>
      <w:r>
        <w:t xml:space="preserve"> Transformation of Peatland Management Toward Climate Targets in Europe — https://doi.org/10.34133/ehs.0239</w:t>
      </w:r>
    </w:p>
    <w:p>
      <w:pPr>
        <w:pStyle w:val="SourceNote"/>
      </w:pPr>
      <w:r>
        <w:rPr>
          <w:b/>
        </w:rPr>
        <w:t>Review status:</w:t>
      </w:r>
      <w:r>
        <w:t xml:space="preserve"> unchecked — possible relationship only</w:t>
      </w:r>
    </w:p>
    <w:p>
      <w:pPr>
        <w:pStyle w:val="Heading2"/>
      </w:pPr>
      <w:r>
        <w:t>279. Claim + two later sources: The future of the drug phenomenon and drug monitoring in Europe until 2030</w:t>
      </w:r>
    </w:p>
    <w:p>
      <w:pPr>
        <w:pStyle w:val="SourceNote"/>
      </w:pPr>
      <w:r>
        <w:rPr>
          <w:b/>
        </w:rPr>
        <w:t>Group ID:</w:t>
      </w:r>
      <w:r>
        <w:t xml:space="preserve"> group-41c810e4e7b3f03467e5</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Bridging the gap between research and decision making: A European survey to enhance cooperation in wastewater-based epidemiology (WBE) for illicit drugs — https://doi.org/10.1016/j.puhe.2025.02.009</w:t>
      </w:r>
    </w:p>
    <w:p>
      <w:pPr/>
      <w:r>
        <w:rPr>
          <w:b/>
        </w:rPr>
        <w:t>Later source:</w:t>
      </w:r>
      <w:r>
        <w:t xml:space="preserve"> Using time in prison as an ideal opportunity to treat Hepatitis C - PIONEER Framework Proposal — https://doi.org/10.18176/resp.00109</w:t>
      </w:r>
    </w:p>
    <w:p>
      <w:pPr>
        <w:pStyle w:val="SourceNote"/>
      </w:pPr>
      <w:r>
        <w:rPr>
          <w:b/>
        </w:rPr>
        <w:t>Review status:</w:t>
      </w:r>
      <w:r>
        <w:t xml:space="preserve"> unchecked — possible relationship only</w:t>
      </w:r>
    </w:p>
    <w:p>
      <w:pPr>
        <w:pStyle w:val="Heading2"/>
      </w:pPr>
      <w:r>
        <w:t>280. Claim + two later sources: Macrofinancial linkages in Europe: Evidence from quantile local projections</w:t>
      </w:r>
    </w:p>
    <w:p>
      <w:pPr>
        <w:pStyle w:val="SourceNote"/>
      </w:pPr>
      <w:r>
        <w:rPr>
          <w:b/>
        </w:rPr>
        <w:t>Group ID:</w:t>
      </w:r>
      <w:r>
        <w:t xml:space="preserve"> group-edb1fd94d9b831a35477</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Extreme weather in Europe: Determinants and economic impact — https://doi.org/10.1016/j.euroecorev.2026.105327</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281. Claim + two later sources: Future Precipitation Scenarios over Italy</w:t>
      </w:r>
    </w:p>
    <w:p>
      <w:pPr>
        <w:pStyle w:val="SourceNote"/>
      </w:pPr>
      <w:r>
        <w:rPr>
          <w:b/>
        </w:rPr>
        <w:t>Group ID:</w:t>
      </w:r>
      <w:r>
        <w:t xml:space="preserve"> group-93b85515d8cc78ebe96a</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European Ground Motion Service: GNSS model 2015-2025 (vector), Europe, 2-yearly, Oct. 2026 — https://doi.org/10.2909/836a384f-bcd1-4da3-9ed8-ac2f1f292c55</w:t>
      </w:r>
    </w:p>
    <w:p>
      <w:pPr/>
      <w:r>
        <w:rPr>
          <w:b/>
        </w:rPr>
        <w:t>Later source:</w:t>
      </w:r>
      <w:r>
        <w:t xml:space="preserve"> Merging modelled and reported flood impacts in Europe in a combined flood event catalogue for 1950–2020 — https://doi.org/10.5194/hess-28-3983-2024</w:t>
      </w:r>
    </w:p>
    <w:p>
      <w:pPr>
        <w:pStyle w:val="SourceNote"/>
      </w:pPr>
      <w:r>
        <w:rPr>
          <w:b/>
        </w:rPr>
        <w:t>Review status:</w:t>
      </w:r>
      <w:r>
        <w:t xml:space="preserve"> unchecked — possible relationship only</w:t>
      </w:r>
    </w:p>
    <w:p>
      <w:pPr>
        <w:pStyle w:val="Heading2"/>
      </w:pPr>
      <w:r>
        <w:t>282. Claim + two later sources: Foresighting organizational learning equilibrium in European universities</w:t>
      </w:r>
    </w:p>
    <w:p>
      <w:pPr>
        <w:pStyle w:val="SourceNote"/>
      </w:pPr>
      <w:r>
        <w:rPr>
          <w:b/>
        </w:rPr>
        <w:t>Group ID:</w:t>
      </w:r>
      <w:r>
        <w:t xml:space="preserve"> group-149d813cfee5259137a8</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Effects of Climate Change on Areas Suitable for Maize Cultivation and Aflatoxin Contamination in Europe — https://doi.org/10.3390/toxins15100599</w:t>
      </w:r>
    </w:p>
    <w:p>
      <w:pPr/>
      <w:r>
        <w:rPr>
          <w:b/>
        </w:rPr>
        <w:t>Later source:</w:t>
      </w:r>
      <w:r>
        <w:t xml:space="preserve"> What should European nephrology do with the new CKD-EPI equation? — https://doi.org/10.1093/ndt/gfac254</w:t>
      </w:r>
    </w:p>
    <w:p>
      <w:pPr>
        <w:pStyle w:val="SourceNote"/>
      </w:pPr>
      <w:r>
        <w:rPr>
          <w:b/>
        </w:rPr>
        <w:t>Review status:</w:t>
      </w:r>
      <w:r>
        <w:t xml:space="preserve"> unchecked — possible relationship only</w:t>
      </w:r>
    </w:p>
    <w:p>
      <w:pPr>
        <w:pStyle w:val="Heading2"/>
      </w:pPr>
      <w:r>
        <w:t>283. Claim + two later sources: Backcasting scenarios for Finland 2050 of low emissions</w:t>
      </w:r>
    </w:p>
    <w:p>
      <w:pPr>
        <w:pStyle w:val="SourceNote"/>
      </w:pPr>
      <w:r>
        <w:rPr>
          <w:b/>
        </w:rPr>
        <w:t>Group ID:</w:t>
      </w:r>
      <w:r>
        <w:t xml:space="preserve"> group-170975bba1b0156262a2</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Is There a Crisis of Democracy in Europe? — https://doi.org/10.1007/s11615-020-00231-9</w:t>
      </w:r>
    </w:p>
    <w:p>
      <w:pPr/>
      <w:r>
        <w:rPr>
          <w:b/>
        </w:rPr>
        <w:t>Later source:</w:t>
      </w:r>
      <w:r>
        <w:t xml:space="preserve"> Social Innovation in Community Energy in Europe: A Review of the Evidence — https://doi.org/10.3389/fenrg.2019.00031</w:t>
      </w:r>
    </w:p>
    <w:p>
      <w:pPr>
        <w:pStyle w:val="SourceNote"/>
      </w:pPr>
      <w:r>
        <w:rPr>
          <w:b/>
        </w:rPr>
        <w:t>Review status:</w:t>
      </w:r>
      <w:r>
        <w:t xml:space="preserve"> unchecked — possible relationship only</w:t>
      </w:r>
    </w:p>
    <w:p>
      <w:pPr>
        <w:pStyle w:val="Heading2"/>
      </w:pPr>
      <w:r>
        <w:t>284. Claim + two later sources: Futures of robotics. Human work in digital transformation</w:t>
      </w:r>
    </w:p>
    <w:p>
      <w:pPr>
        <w:pStyle w:val="SourceNote"/>
      </w:pPr>
      <w:r>
        <w:rPr>
          <w:b/>
        </w:rPr>
        <w:t>Group ID:</w:t>
      </w:r>
      <w:r>
        <w:t xml:space="preserve"> group-5c74750805e98fbe1093</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285. Claim + two later sources: Towards net zero CO2 in 2050: An emission reduction pathway for organic soils in Germany</w:t>
      </w:r>
    </w:p>
    <w:p>
      <w:pPr>
        <w:pStyle w:val="SourceNote"/>
      </w:pPr>
      <w:r>
        <w:rPr>
          <w:b/>
        </w:rPr>
        <w:t>Group ID:</w:t>
      </w:r>
      <w:r>
        <w:t xml:space="preserve"> group-76f28ace58ab5862e8be</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Energy pathway variety and the progress of the energy transition in European countries — https://doi.org/10.48550/arxiv.2609.09607</w:t>
      </w:r>
    </w:p>
    <w:p>
      <w:pPr/>
      <w:r>
        <w:rPr>
          <w:b/>
        </w:rPr>
        <w:t>Later source:</w:t>
      </w:r>
      <w:r>
        <w:t xml:space="preserve"> Women’s Leadership in Organizations as a Pathway to Ukraine’s European Integration — https://doi.org/10.32983/2222-4459-2024-11-377-386</w:t>
      </w:r>
    </w:p>
    <w:p>
      <w:pPr>
        <w:pStyle w:val="SourceNote"/>
      </w:pPr>
      <w:r>
        <w:rPr>
          <w:b/>
        </w:rPr>
        <w:t>Review status:</w:t>
      </w:r>
      <w:r>
        <w:t xml:space="preserve"> unchecked — possible relationship only</w:t>
      </w:r>
    </w:p>
    <w:p>
      <w:pPr>
        <w:pStyle w:val="Heading2"/>
      </w:pPr>
      <w:r>
        <w:t>286. Claim + two later sources: Conservation biology research priorities for 2050: A Central-Eastern European perspective</w:t>
      </w:r>
    </w:p>
    <w:p>
      <w:pPr>
        <w:pStyle w:val="SourceNote"/>
      </w:pPr>
      <w:r>
        <w:rPr>
          <w:b/>
        </w:rPr>
        <w:t>Group ID:</w:t>
      </w:r>
      <w:r>
        <w:t xml:space="preserve"> group-db705d6e42977be5e468</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Inventory and analysis of foresight studies on European livestock production systems: The D1.5 delivrable for the STEP-UP project — https://openalex.org/W7212105644</w:t>
      </w:r>
    </w:p>
    <w:p>
      <w:pPr>
        <w:pStyle w:val="SourceNote"/>
      </w:pPr>
      <w:r>
        <w:rPr>
          <w:b/>
        </w:rPr>
        <w:t>Review status:</w:t>
      </w:r>
      <w:r>
        <w:t xml:space="preserve"> unchecked — possible relationship only</w:t>
      </w:r>
    </w:p>
    <w:p>
      <w:pPr>
        <w:pStyle w:val="Heading2"/>
      </w:pPr>
      <w:r>
        <w:t>287. Claim + two later sources: Financing Innovations for the Renewable Energy Transition in Europe</w:t>
      </w:r>
    </w:p>
    <w:p>
      <w:pPr>
        <w:pStyle w:val="SourceNote"/>
      </w:pPr>
      <w:r>
        <w:rPr>
          <w:b/>
        </w:rPr>
        <w:t>Group ID:</w:t>
      </w:r>
      <w:r>
        <w:t xml:space="preserve"> group-76509a76b7eebe738f10</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The Governance and Funding of European Rearmament — https://doi.org/10.2478/ie-2025-0041</w:t>
      </w:r>
    </w:p>
    <w:p>
      <w:pPr/>
      <w:r>
        <w:rPr>
          <w:b/>
        </w:rPr>
        <w:t>Later source:</w:t>
      </w:r>
      <w:r>
        <w:t xml:space="preserve"> Comparison of Excise Duties in the Member States of the European Union — https://openalex.org/W7128985412</w:t>
      </w:r>
    </w:p>
    <w:p>
      <w:pPr>
        <w:pStyle w:val="SourceNote"/>
      </w:pPr>
      <w:r>
        <w:rPr>
          <w:b/>
        </w:rPr>
        <w:t>Review status:</w:t>
      </w:r>
      <w:r>
        <w:t xml:space="preserve"> unchecked — possible relationship only</w:t>
      </w:r>
    </w:p>
    <w:p>
      <w:pPr>
        <w:pStyle w:val="Heading2"/>
      </w:pPr>
      <w:r>
        <w:t>288. Claim + two later sources: The Selection of Intermodal Transport System Scenarios in the Function of Southeastern Europe Regional Development</w:t>
      </w:r>
    </w:p>
    <w:p>
      <w:pPr>
        <w:pStyle w:val="SourceNote"/>
      </w:pPr>
      <w:r>
        <w:rPr>
          <w:b/>
        </w:rPr>
        <w:t>Group ID:</w:t>
      </w:r>
      <w:r>
        <w:t xml:space="preserve"> group-16dcd893b971bc5a3184</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Assessing the effects of restoration and conservation on gaseous carbon fluxes and climate mitigation potential across six European coastal wetlands — https://doi.org/10.1016/j.ecoleng.2026.108080</w:t>
      </w:r>
    </w:p>
    <w:p>
      <w:pPr/>
      <w:r>
        <w:rPr>
          <w:b/>
        </w:rPr>
        <w:t>Later source:</w:t>
      </w:r>
      <w:r>
        <w:t xml:space="preserve"> Potential for Expanding Sorghum Production in Europe in the Face of Climate Change — https://doi.org/10.1029/2025ef007503</w:t>
      </w:r>
    </w:p>
    <w:p>
      <w:pPr>
        <w:pStyle w:val="SourceNote"/>
      </w:pPr>
      <w:r>
        <w:rPr>
          <w:b/>
        </w:rPr>
        <w:t>Review status:</w:t>
      </w:r>
      <w:r>
        <w:t xml:space="preserve"> unchecked — possible relationship only</w:t>
      </w:r>
    </w:p>
    <w:p>
      <w:pPr>
        <w:pStyle w:val="Heading2"/>
      </w:pPr>
      <w:r>
        <w:t>289. Claim + two later sources: Medium-term forecast of European economic sustainable growth using Markov chains</w:t>
      </w:r>
    </w:p>
    <w:p>
      <w:pPr>
        <w:pStyle w:val="SourceNote"/>
      </w:pPr>
      <w:r>
        <w:rPr>
          <w:b/>
        </w:rPr>
        <w:t>Group ID:</w:t>
      </w:r>
      <w:r>
        <w:t xml:space="preserve"> group-c46bb4fe94e17b599134</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Digitalisation and Economic Growth in the European Union — https://doi.org/10.3390/electronics12071718</w:t>
      </w:r>
    </w:p>
    <w:p>
      <w:pPr/>
      <w:r>
        <w:rPr>
          <w:b/>
        </w:rPr>
        <w:t>Later source:</w:t>
      </w:r>
      <w:r>
        <w:t xml:space="preserve"> The impact of international economic sanctions on national economic growth. — https://openalex.org/W7125359130</w:t>
      </w:r>
    </w:p>
    <w:p>
      <w:pPr>
        <w:pStyle w:val="SourceNote"/>
      </w:pPr>
      <w:r>
        <w:rPr>
          <w:b/>
        </w:rPr>
        <w:t>Review status:</w:t>
      </w:r>
      <w:r>
        <w:t xml:space="preserve"> unchecked — possible relationship only</w:t>
      </w:r>
    </w:p>
    <w:p>
      <w:pPr>
        <w:pStyle w:val="Heading2"/>
      </w:pPr>
      <w:r>
        <w:t>290. Claim + two later sources: What We Hope, What We Fear, What We Expect: Possible Scenarios for the Future of the Eurozone</w:t>
      </w:r>
    </w:p>
    <w:p>
      <w:pPr>
        <w:pStyle w:val="SourceNote"/>
      </w:pPr>
      <w:r>
        <w:rPr>
          <w:b/>
        </w:rPr>
        <w:t>Group ID:</w:t>
      </w:r>
      <w:r>
        <w:t xml:space="preserve"> group-124276965cd7f0717978</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European Reform Movements and the Making of the International Congress, 1840–1860 — https://doi.org/10.1080/07075332.2020.1808506</w:t>
      </w:r>
    </w:p>
    <w:p>
      <w:pPr/>
      <w:r>
        <w:rPr>
          <w:b/>
        </w:rPr>
        <w:t>Later source:</w:t>
      </w:r>
      <w:r>
        <w:t xml:space="preserve"> Economic Reforms and the Burdens of Transition — https://doi.org/10.1017/9781108752466.005</w:t>
      </w:r>
    </w:p>
    <w:p>
      <w:pPr>
        <w:pStyle w:val="SourceNote"/>
      </w:pPr>
      <w:r>
        <w:rPr>
          <w:b/>
        </w:rPr>
        <w:t>Review status:</w:t>
      </w:r>
      <w:r>
        <w:t xml:space="preserve"> unchecked — possible relationship only</w:t>
      </w:r>
    </w:p>
    <w:p>
      <w:pPr>
        <w:pStyle w:val="Heading2"/>
      </w:pPr>
      <w:r>
        <w:t>291.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292. Claim + two later sources: Transport demand evolution in Europe – factors of change, scenarios and challenges</w:t>
      </w:r>
    </w:p>
    <w:p>
      <w:pPr>
        <w:pStyle w:val="SourceNote"/>
      </w:pPr>
      <w:r>
        <w:rPr>
          <w:b/>
        </w:rPr>
        <w:t>Group ID:</w:t>
      </w:r>
      <w:r>
        <w:t xml:space="preserve"> group-c25b95bbfff8f85bafe1</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Barriers to women’s employment in the transport sector in Europe — https://doi.org/10.12688/openreseurope.16123.1</w:t>
      </w:r>
    </w:p>
    <w:p>
      <w:pPr/>
      <w:r>
        <w:rPr>
          <w:b/>
        </w:rPr>
        <w:t>Later source:</w:t>
      </w:r>
      <w:r>
        <w:t xml:space="preserve"> Effects of Digitalization on Labor Market Development in Transport Sector in Post- Covid Environment — https://doi.org/10.37075/2023.4/ea.2023.4.05</w:t>
      </w:r>
    </w:p>
    <w:p>
      <w:pPr>
        <w:pStyle w:val="SourceNote"/>
      </w:pPr>
      <w:r>
        <w:rPr>
          <w:b/>
        </w:rPr>
        <w:t>Review status:</w:t>
      </w:r>
      <w:r>
        <w:t xml:space="preserve"> unchecked — possible relationship only</w:t>
      </w:r>
    </w:p>
    <w:p>
      <w:pPr>
        <w:pStyle w:val="Heading2"/>
      </w:pPr>
      <w:r>
        <w:t>293. Claim + two later sources: Integrated scenarios of sustainable food production and consumption in Germany</w:t>
      </w:r>
    </w:p>
    <w:p>
      <w:pPr>
        <w:pStyle w:val="SourceNote"/>
      </w:pPr>
      <w:r>
        <w:rPr>
          <w:b/>
        </w:rPr>
        <w:t>Group ID:</w:t>
      </w:r>
      <w:r>
        <w:t xml:space="preserve"> group-2c275425a6c347fe4cb7</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Changing the Context of Business Management Theory. The So and So Management between Eclecticism and Wishful Thinking — https://doi.org/10.30958/ajl.11-3-2</w:t>
      </w:r>
    </w:p>
    <w:p>
      <w:pPr>
        <w:pStyle w:val="SourceNote"/>
      </w:pPr>
      <w:r>
        <w:rPr>
          <w:b/>
        </w:rPr>
        <w:t>Review status:</w:t>
      </w:r>
      <w:r>
        <w:t xml:space="preserve"> unchecked — possible relationship only</w:t>
      </w:r>
    </w:p>
    <w:p>
      <w:pPr>
        <w:pStyle w:val="Heading2"/>
      </w:pPr>
      <w:r>
        <w:t>294. Claim + two later sources: Long-Term Hydrocarbon Trade Options for the Maghreb Region and Europe—Renewable Energy Based Synthetic Fuels for a Net Zero Emissions World</w:t>
      </w:r>
    </w:p>
    <w:p>
      <w:pPr>
        <w:pStyle w:val="SourceNote"/>
      </w:pPr>
      <w:r>
        <w:rPr>
          <w:b/>
        </w:rPr>
        <w:t>Group ID:</w:t>
      </w:r>
      <w:r>
        <w:t xml:space="preserve"> group-f4695c241f02dc7c62f9</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Implementation of the WACC Notice and challenges in determining the VHCN risk premium — https://openalex.org/W7124128098</w:t>
      </w:r>
    </w:p>
    <w:p>
      <w:pPr/>
      <w:r>
        <w:rPr>
          <w:b/>
        </w:rPr>
        <w:t>Later source:</w:t>
      </w:r>
      <w:r>
        <w:t xml:space="preserve"> The relationship between the application of corporate sustainability policy and the weighted average cost of capital: examples of European countries — https://doi.org/10.29119/1641-3466.2024.202.8</w:t>
      </w:r>
    </w:p>
    <w:p>
      <w:pPr>
        <w:pStyle w:val="SourceNote"/>
      </w:pPr>
      <w:r>
        <w:rPr>
          <w:b/>
        </w:rPr>
        <w:t>Review status:</w:t>
      </w:r>
      <w:r>
        <w:t xml:space="preserve"> unchecked — possible relationship only</w:t>
      </w:r>
    </w:p>
    <w:p>
      <w:pPr>
        <w:pStyle w:val="Heading2"/>
      </w:pPr>
      <w:r>
        <w:t>295. Claim + two later sources: Exploring the Future of Universities Through Experimental Foresight</w:t>
      </w:r>
    </w:p>
    <w:p>
      <w:pPr>
        <w:pStyle w:val="SourceNote"/>
      </w:pPr>
      <w:r>
        <w:rPr>
          <w:b/>
        </w:rPr>
        <w:t>Group ID:</w:t>
      </w:r>
      <w:r>
        <w:t xml:space="preserve"> group-f271df44074c235a7f21</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Becoming a forerunner in foresight : Key elements of success in organizational foresight — https://openalex.org/W3175285991</w:t>
      </w:r>
    </w:p>
    <w:p>
      <w:pPr/>
      <w:r>
        <w:rPr>
          <w:b/>
        </w:rPr>
        <w:t>Later source:</w:t>
      </w:r>
      <w:r>
        <w:t xml:space="preserve"> Creativity, proactivity, and foresight — https://doi.org/10.1016/j.techfore.2021.121215</w:t>
      </w:r>
    </w:p>
    <w:p>
      <w:pPr>
        <w:pStyle w:val="SourceNote"/>
      </w:pPr>
      <w:r>
        <w:rPr>
          <w:b/>
        </w:rPr>
        <w:t>Review status:</w:t>
      </w:r>
      <w:r>
        <w:t xml:space="preserve"> unchecked — possible relationship only</w:t>
      </w:r>
    </w:p>
    <w:p>
      <w:pPr>
        <w:pStyle w:val="Heading2"/>
      </w:pPr>
      <w:r>
        <w:t>296. Claim + two later sources: Modelling the European Union Sustainability Transition: A Soft-Linking Approach</w:t>
      </w:r>
    </w:p>
    <w:p>
      <w:pPr>
        <w:pStyle w:val="SourceNote"/>
      </w:pPr>
      <w:r>
        <w:rPr>
          <w:b/>
        </w:rPr>
        <w:t>Group ID:</w:t>
      </w:r>
      <w:r>
        <w:t xml:space="preserve"> group-46265428f5a2f2897f4e</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IMPLEMENTASI EUROPEAN GREEN DEAL (EGD) TERKAIT KEBIJAKAN GREEN ECONOMY DI UNI EROPA TAHUN 2020-2024 — https://openalex.org/W7153397118</w:t>
      </w:r>
    </w:p>
    <w:p>
      <w:pPr/>
      <w:r>
        <w:rPr>
          <w:b/>
        </w:rPr>
        <w:t>Later source:</w:t>
      </w:r>
      <w:r>
        <w:t xml:space="preserve"> The European Green Deal (EGD) in the public opinion – assessment of awareness of environmental pollution and threats to health and life — https://doi.org/10.34659/eis.2026.97.2.1157</w:t>
      </w:r>
    </w:p>
    <w:p>
      <w:pPr>
        <w:pStyle w:val="SourceNote"/>
      </w:pPr>
      <w:r>
        <w:rPr>
          <w:b/>
        </w:rPr>
        <w:t>Review status:</w:t>
      </w:r>
      <w:r>
        <w:t xml:space="preserve"> unchecked — possible relationship only</w:t>
      </w:r>
    </w:p>
    <w:p>
      <w:pPr>
        <w:pStyle w:val="Heading2"/>
      </w:pPr>
      <w:r>
        <w:t>297. Claim + two later sources: Time banks, co-production and foresight: intertwined towards an alternative future</w:t>
      </w:r>
    </w:p>
    <w:p>
      <w:pPr>
        <w:pStyle w:val="SourceNote"/>
      </w:pPr>
      <w:r>
        <w:rPr>
          <w:b/>
        </w:rPr>
        <w:t>Group ID:</w:t>
      </w:r>
      <w:r>
        <w:t xml:space="preserve"> group-4f821bd3426036aefc52</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Implementation and Impacts of Taiwan’s Time Bank Multi-Empowerment Program Across Six Townships — https://doi.org/10.33790/jswwp1100180</w:t>
      </w:r>
    </w:p>
    <w:p>
      <w:pPr/>
      <w:r>
        <w:rPr>
          <w:b/>
        </w:rPr>
        <w:t>Later source:</w:t>
      </w:r>
      <w:r>
        <w:t xml:space="preserve"> Willingness, motivators and barriers to time bank participation: A scoping review — https://doi.org/10.1371/journal.pone.0322760</w:t>
      </w:r>
    </w:p>
    <w:p>
      <w:pPr>
        <w:pStyle w:val="SourceNote"/>
      </w:pPr>
      <w:r>
        <w:rPr>
          <w:b/>
        </w:rPr>
        <w:t>Review status:</w:t>
      </w:r>
      <w:r>
        <w:t xml:space="preserve"> unchecked — possible relationship only</w:t>
      </w:r>
    </w:p>
    <w:p>
      <w:pPr>
        <w:pStyle w:val="Heading2"/>
      </w:pPr>
      <w:r>
        <w:t>298. Claim + two later sources: Decarbonizing the EU energy system by 2050: an important role for BECCS</w:t>
      </w:r>
    </w:p>
    <w:p>
      <w:pPr>
        <w:pStyle w:val="SourceNote"/>
      </w:pPr>
      <w:r>
        <w:rPr>
          <w:b/>
        </w:rPr>
        <w:t>Group ID:</w:t>
      </w:r>
      <w:r>
        <w:t xml:space="preserve"> group-13ba9623bcaa9c526b18</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Conclusions on Land Policies in Europe — https://doi.org/10.1007/978-3-031-83725-8_17</w:t>
      </w:r>
    </w:p>
    <w:p>
      <w:pPr/>
      <w:r>
        <w:rPr>
          <w:b/>
        </w:rPr>
        <w:t>Later source:</w:t>
      </w:r>
      <w:r>
        <w:t xml:space="preserve"> Cancer burden in Europe: a systematic analysis of the GLOBOCAN database (2022) — https://doi.org/10.1186/s12885-025-13862-1</w:t>
      </w:r>
    </w:p>
    <w:p>
      <w:pPr>
        <w:pStyle w:val="SourceNote"/>
      </w:pPr>
      <w:r>
        <w:rPr>
          <w:b/>
        </w:rPr>
        <w:t>Review status:</w:t>
      </w:r>
      <w:r>
        <w:t xml:space="preserve"> unchecked — possible relationship only</w:t>
      </w:r>
    </w:p>
    <w:p>
      <w:pPr>
        <w:pStyle w:val="Heading2"/>
      </w:pPr>
      <w:r>
        <w:t>299. Claim + two later sources: Charging the future: Roadmaps and value tensions for mainstreaming prosumerism to 2030 and 2050</w:t>
      </w:r>
    </w:p>
    <w:p>
      <w:pPr>
        <w:pStyle w:val="SourceNote"/>
      </w:pPr>
      <w:r>
        <w:rPr>
          <w:b/>
        </w:rPr>
        <w:t>Group ID:</w:t>
      </w:r>
      <w:r>
        <w:t xml:space="preserve"> group-df3236ee1b2d1d62bb5c</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Discrimination of two-highlight versus single-highlight phantom echoes by bottlenose dolphins ( Tursiops truncatus ) — https://doi.org/10.1121/10.0043763</w:t>
      </w:r>
    </w:p>
    <w:p>
      <w:pPr/>
      <w:r>
        <w:rPr>
          <w:b/>
        </w:rPr>
        <w:t>Later source:</w:t>
      </w:r>
      <w:r>
        <w:t xml:space="preserve"> Three-dimensional third medium contact model for hyperelastic contact and pneumatically actuated systems — https://doi.org/10.48550/arxiv.2512.03181</w:t>
      </w:r>
    </w:p>
    <w:p>
      <w:pPr>
        <w:pStyle w:val="SourceNote"/>
      </w:pPr>
      <w:r>
        <w:rPr>
          <w:b/>
        </w:rPr>
        <w:t>Review status:</w:t>
      </w:r>
      <w:r>
        <w:t xml:space="preserve"> unchecked — possible relationship only</w:t>
      </w:r>
    </w:p>
    <w:p>
      <w:pPr>
        <w:pStyle w:val="Heading2"/>
      </w:pPr>
      <w:r>
        <w:t>300. Claim + two later sources: Organic farming in the European Union – perspectives for 2030</w:t>
      </w:r>
    </w:p>
    <w:p>
      <w:pPr>
        <w:pStyle w:val="SourceNote"/>
      </w:pPr>
      <w:r>
        <w:rPr>
          <w:b/>
        </w:rPr>
        <w:t>Group ID:</w:t>
      </w:r>
      <w:r>
        <w:t xml:space="preserve"> group-1bc0020be0a8fc01a993</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The Scramble for Europe — https://doi.org/10.1093/9780197781470.001.0001</w:t>
      </w:r>
    </w:p>
    <w:p>
      <w:pPr/>
      <w:r>
        <w:rPr>
          <w:b/>
        </w:rPr>
        <w:t>Later source:</w:t>
      </w:r>
      <w:r>
        <w:t xml:space="preserve"> A systematic review of the role of community science in European wildlife governance — https://openalex.org/W7202009244</w:t>
      </w:r>
    </w:p>
    <w:p>
      <w:pPr>
        <w:pStyle w:val="SourceNote"/>
      </w:pPr>
      <w:r>
        <w:rPr>
          <w:b/>
        </w:rPr>
        <w:t>Review status:</w:t>
      </w:r>
      <w:r>
        <w:t xml:space="preserve"> unchecked — possible relationship only</w:t>
      </w:r>
    </w:p>
    <w:p>
      <w:pPr>
        <w:pStyle w:val="Heading2"/>
      </w:pPr>
      <w:r>
        <w:t>301.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group-796e17de2270e6385311</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Robust data integration methods for understanding associations between climate change and hantavirus infection in Europe are needed: A systematic-narrative hybrid literature review — https://doi.org/10.1016/j.envc.2026.101486</w:t>
      </w:r>
    </w:p>
    <w:p>
      <w:pPr/>
      <w:r>
        <w:rPr>
          <w:b/>
        </w:rPr>
        <w:t>Later source:</w:t>
      </w:r>
      <w:r>
        <w:t xml:space="preserve"> Climate Change Threatens Micronutrient Density of European Winter Wheat — https://doi.org/10.1002/advs.202513322</w:t>
      </w:r>
    </w:p>
    <w:p>
      <w:pPr>
        <w:pStyle w:val="SourceNote"/>
      </w:pPr>
      <w:r>
        <w:rPr>
          <w:b/>
        </w:rPr>
        <w:t>Review status:</w:t>
      </w:r>
      <w:r>
        <w:t xml:space="preserve"> unchecked — possible relationship only</w:t>
      </w:r>
    </w:p>
    <w:p>
      <w:pPr>
        <w:pStyle w:val="Heading2"/>
      </w:pPr>
      <w:r>
        <w:t>302. Claim + two later sources: Estimation and Forecasts for the Share of Renewable Energy Consumption in Final Energy Consumption by 2020 in the European Union</w:t>
      </w:r>
    </w:p>
    <w:p>
      <w:pPr>
        <w:pStyle w:val="SourceNote"/>
      </w:pPr>
      <w:r>
        <w:rPr>
          <w:b/>
        </w:rPr>
        <w:t>Group ID:</w:t>
      </w:r>
      <w:r>
        <w:t xml:space="preserve"> group-2592aff9c7c0bd217e4d</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European Economic Forecast — https://doi.org/10.2765/0071034</w:t>
      </w:r>
    </w:p>
    <w:p>
      <w:pPr>
        <w:pStyle w:val="SourceNote"/>
      </w:pPr>
      <w:r>
        <w:rPr>
          <w:b/>
        </w:rPr>
        <w:t>Review status:</w:t>
      </w:r>
      <w:r>
        <w:t xml:space="preserve"> unchecked — possible relationship only</w:t>
      </w:r>
    </w:p>
    <w:p>
      <w:pPr>
        <w:pStyle w:val="Heading2"/>
      </w:pPr>
      <w:r>
        <w:t>303. Claim + two later sources: Multi-Model Projections of River Flood Risk in Europe under Global Warming</w:t>
      </w:r>
    </w:p>
    <w:p>
      <w:pPr>
        <w:pStyle w:val="SourceNote"/>
      </w:pPr>
      <w:r>
        <w:rPr>
          <w:b/>
        </w:rPr>
        <w:t>Group ID:</w:t>
      </w:r>
      <w:r>
        <w:t xml:space="preserve"> group-dd3bbea5a9ed51df0319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A Soil Monitoring Law for Europe — https://doi.org/10.1002/gch2.202400336</w:t>
      </w:r>
    </w:p>
    <w:p>
      <w:pPr>
        <w:pStyle w:val="SourceNote"/>
      </w:pPr>
      <w:r>
        <w:rPr>
          <w:b/>
        </w:rPr>
        <w:t>Review status:</w:t>
      </w:r>
      <w:r>
        <w:t xml:space="preserve"> unchecked — possible relationship only</w:t>
      </w:r>
    </w:p>
    <w:p>
      <w:pPr>
        <w:pStyle w:val="Heading2"/>
      </w:pPr>
      <w:r>
        <w:t>304. Claim + two later sources: EUROPEAN UNION STRATEGIC AUTONOMY IN THE CONTEXT OF THE CONFERENCE ON THE FUTURE OF EUROPE</w:t>
      </w:r>
    </w:p>
    <w:p>
      <w:pPr>
        <w:pStyle w:val="SourceNote"/>
      </w:pPr>
      <w:r>
        <w:rPr>
          <w:b/>
        </w:rPr>
        <w:t>Group ID:</w:t>
      </w:r>
      <w:r>
        <w:t xml:space="preserve"> group-86103db568027b42ddf1</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Legal, Ethical, and Social Issues of AI and Law Enforcement in Europe — https://doi.org/10.1017/9781009367783.022</w:t>
      </w:r>
    </w:p>
    <w:p>
      <w:pPr/>
      <w:r>
        <w:rPr>
          <w:b/>
        </w:rPr>
        <w:t>Later source:</w:t>
      </w:r>
      <w:r>
        <w:t xml:space="preserve"> The European Union Development Policy and Achieving Sustainable Development Goals (SDGs) of the United Nations — https://doi.org/10.4018/979-8-3693-1742-6.ch020</w:t>
      </w:r>
    </w:p>
    <w:p>
      <w:pPr>
        <w:pStyle w:val="SourceNote"/>
      </w:pPr>
      <w:r>
        <w:rPr>
          <w:b/>
        </w:rPr>
        <w:t>Review status:</w:t>
      </w:r>
      <w:r>
        <w:t xml:space="preserve"> unchecked — possible relationship only</w:t>
      </w:r>
    </w:p>
    <w:p>
      <w:pPr>
        <w:pStyle w:val="Heading2"/>
      </w:pPr>
      <w:r>
        <w:t>305. Claim + two later sources: Assessing Energy Descent Scenarios for the Ecological Transition in Spain 2020–2030</w:t>
      </w:r>
    </w:p>
    <w:p>
      <w:pPr>
        <w:pStyle w:val="SourceNote"/>
      </w:pPr>
      <w:r>
        <w:rPr>
          <w:b/>
        </w:rPr>
        <w:t>Group ID:</w:t>
      </w:r>
      <w:r>
        <w:t xml:space="preserve"> group-5f1a4c156e77ec030da9</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Economy, Geology and Sustainability: on the Security of Potash Supply in Spain and Europe and the Importance of Fertilizers for European Agriculture — https://doi.org/10.21701/bolgeomin/137.2/004</w:t>
      </w:r>
    </w:p>
    <w:p>
      <w:pPr/>
      <w:r>
        <w:rPr>
          <w:b/>
        </w:rPr>
        <w:t>Later source:</w:t>
      </w:r>
      <w:r>
        <w:t xml:space="preserve"> Predictiveness and drivers of highly pathogenic avian influenza outbreaks in Europe — https://doi.org/10.1038/s41598-025-04624-x</w:t>
      </w:r>
    </w:p>
    <w:p>
      <w:pPr>
        <w:pStyle w:val="SourceNote"/>
      </w:pPr>
      <w:r>
        <w:rPr>
          <w:b/>
        </w:rPr>
        <w:t>Review status:</w:t>
      </w:r>
      <w:r>
        <w:t xml:space="preserve"> unchecked — possible relationship only</w:t>
      </w:r>
    </w:p>
    <w:p>
      <w:pPr>
        <w:pStyle w:val="Heading2"/>
      </w:pPr>
      <w:r>
        <w:t>306. Claim + two later sources: Future prospects for personal security in travel by public transport</w:t>
      </w:r>
    </w:p>
    <w:p>
      <w:pPr>
        <w:pStyle w:val="SourceNote"/>
      </w:pPr>
      <w:r>
        <w:rPr>
          <w:b/>
        </w:rPr>
        <w:t>Group ID:</w:t>
      </w:r>
      <w:r>
        <w:t xml:space="preserve"> group-62c5f6b7b43277958536</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PRACTICAL APPROACHES TO DEVELOPING CREATIVE THINKING IN PRESCHOOL CHILDREN: A NARRATIVE REVIEW — https://doi.org/10.5281/zenodo.23090972</w:t>
      </w:r>
    </w:p>
    <w:p>
      <w:pPr>
        <w:pStyle w:val="SourceNote"/>
      </w:pPr>
      <w:r>
        <w:rPr>
          <w:b/>
        </w:rPr>
        <w:t>Review status:</w:t>
      </w:r>
      <w:r>
        <w:t xml:space="preserve"> unchecked — possible relationship only</w:t>
      </w:r>
    </w:p>
    <w:p>
      <w:pPr>
        <w:pStyle w:val="Heading2"/>
      </w:pPr>
      <w:r>
        <w:t>307. Claim + two later sources: A Mismatch in Future Narratives? A Comparative Analysis Between Energy Futures in Policy and of Citizens</w:t>
      </w:r>
    </w:p>
    <w:p>
      <w:pPr>
        <w:pStyle w:val="SourceNote"/>
      </w:pPr>
      <w:r>
        <w:rPr>
          <w:b/>
        </w:rPr>
        <w:t>Group ID:</w:t>
      </w:r>
      <w:r>
        <w:t xml:space="preserve"> group-60b84e6d1bfa3bec450e</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Narrative as Strategy: A Study on Central-Local Interaction in China's Tobacco Control Policy — https://doi.org/10.62787/jmhm.v4i3.377</w:t>
      </w:r>
    </w:p>
    <w:p>
      <w:pPr/>
      <w:r>
        <w:rPr>
          <w:b/>
        </w:rPr>
        <w:t>Later source:</w:t>
      </w:r>
      <w:r>
        <w:t xml:space="preserve"> The Plastic Excise Policy Debate in Indonesia: A Narrative Policy Analysis ApproachThe Plastic Excise Policy Debate in Indonesia: A Narrative Policy Analysis Approach — https://doi.org/10.51505/ijebmr.2025.9523</w:t>
      </w:r>
    </w:p>
    <w:p>
      <w:pPr>
        <w:pStyle w:val="SourceNote"/>
      </w:pPr>
      <w:r>
        <w:rPr>
          <w:b/>
        </w:rPr>
        <w:t>Review status:</w:t>
      </w:r>
      <w:r>
        <w:t xml:space="preserve"> unchecked — possible relationship only</w:t>
      </w:r>
    </w:p>
    <w:p>
      <w:pPr>
        <w:pStyle w:val="Heading2"/>
      </w:pPr>
      <w:r>
        <w:t>308. Claim + two later sources: Past and Future Trends in Refugee Migration on the Regional Level in Germany – An Analysis and Projection of Labor Market Effects</w:t>
      </w:r>
    </w:p>
    <w:p>
      <w:pPr>
        <w:pStyle w:val="SourceNote"/>
      </w:pPr>
      <w:r>
        <w:rPr>
          <w:b/>
        </w:rPr>
        <w:t>Group ID:</w:t>
      </w:r>
      <w:r>
        <w:t xml:space="preserve"> group-66650c41d7ecf395bf4a</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Regional economic impact of the Next Generation European Union recovery plan — https://doi.org/10.1016/j.pirs.2025.100105</w:t>
      </w:r>
    </w:p>
    <w:p>
      <w:pPr/>
      <w:r>
        <w:rPr>
          <w:b/>
        </w:rPr>
        <w:t>Later source:</w:t>
      </w:r>
      <w:r>
        <w:t xml:space="preserve"> Burden of intracerebral haemorrhage in Europe: forecasting incidence and mortality between 2019 and 2050 — https://doi.org/10.1016/j.lanepe.2024.100842</w:t>
      </w:r>
    </w:p>
    <w:p>
      <w:pPr>
        <w:pStyle w:val="SourceNote"/>
      </w:pPr>
      <w:r>
        <w:rPr>
          <w:b/>
        </w:rPr>
        <w:t>Review status:</w:t>
      </w:r>
      <w:r>
        <w:t xml:space="preserve"> unchecked — possible relationship only</w:t>
      </w:r>
    </w:p>
    <w:p>
      <w:pPr>
        <w:pStyle w:val="Heading2"/>
      </w:pPr>
      <w:r>
        <w:t>309. Claim + two later sources: The EU Decarbonisation Roadmap 2050—What way to walk?</w:t>
      </w:r>
    </w:p>
    <w:p>
      <w:pPr>
        <w:pStyle w:val="SourceNote"/>
      </w:pPr>
      <w:r>
        <w:rPr>
          <w:b/>
        </w:rPr>
        <w:t>Group ID:</w:t>
      </w:r>
      <w:r>
        <w:t xml:space="preserve"> group-6fcc95e031c2804c367d</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The clean development mechanism in Eastern Europe: an in-depth exploration — https://doi.org/10.1007/s11356-022-20988-3</w:t>
      </w:r>
    </w:p>
    <w:p>
      <w:pPr/>
      <w:r>
        <w:rPr>
          <w:b/>
        </w:rPr>
        <w:t>Later source:</w:t>
      </w:r>
      <w:r>
        <w:t xml:space="preserve"> 2014 European guideline on the management of syphilis — https://doi.org/10.1111/jdv.12734</w:t>
      </w:r>
    </w:p>
    <w:p>
      <w:pPr>
        <w:pStyle w:val="SourceNote"/>
      </w:pPr>
      <w:r>
        <w:rPr>
          <w:b/>
        </w:rPr>
        <w:t>Review status:</w:t>
      </w:r>
      <w:r>
        <w:t xml:space="preserve"> unchecked — possible relationship only</w:t>
      </w:r>
    </w:p>
    <w:p>
      <w:pPr>
        <w:pStyle w:val="Heading2"/>
      </w:pPr>
      <w:r>
        <w:t>310. Claim + two later sources: Food futures: system transitions towards UK food security</w:t>
      </w:r>
    </w:p>
    <w:p>
      <w:pPr>
        <w:pStyle w:val="SourceNote"/>
      </w:pPr>
      <w:r>
        <w:rPr>
          <w:b/>
        </w:rPr>
        <w:t>Group ID:</w:t>
      </w:r>
      <w:r>
        <w:t xml:space="preserve"> group-8f1d23a72887ff784beb</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Carbon capture and utilization under EU law: impermanent storage of CO2 in products and pre-combustion carbon capture — https://doi.org/10.1093/jwelb/jwae009</w:t>
      </w:r>
    </w:p>
    <w:p>
      <w:pPr/>
      <w:r>
        <w:rPr>
          <w:b/>
        </w:rPr>
        <w:t>Later source:</w:t>
      </w:r>
      <w:r>
        <w:t xml:space="preserve"> Article 89 — https://doi.org/10.1093/law/9780192864536.003.0110</w:t>
      </w:r>
    </w:p>
    <w:p>
      <w:pPr>
        <w:pStyle w:val="SourceNote"/>
      </w:pPr>
      <w:r>
        <w:rPr>
          <w:b/>
        </w:rPr>
        <w:t>Review status:</w:t>
      </w:r>
      <w:r>
        <w:t xml:space="preserve"> unchecked — possible relationship only</w:t>
      </w:r>
    </w:p>
    <w:p>
      <w:pPr>
        <w:pStyle w:val="Heading2"/>
      </w:pPr>
      <w:r>
        <w:t>311. Claim + two later sources: Scenario forecasting of consumption of main organic livestock products in Ukraine</w:t>
      </w:r>
    </w:p>
    <w:p>
      <w:pPr>
        <w:pStyle w:val="SourceNote"/>
      </w:pPr>
      <w:r>
        <w:rPr>
          <w:b/>
        </w:rPr>
        <w:t>Group ID:</w:t>
      </w:r>
      <w:r>
        <w:t xml:space="preserve"> group-c85685d63f0e0fb81f50</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Forecasting the dynamics of food security indicators in Ukraine during the wartime period of 2025-2026 — https://doi.org/10.32317/ekon.apk/1.2026.20</w:t>
      </w:r>
    </w:p>
    <w:p>
      <w:pPr/>
      <w:r>
        <w:rPr>
          <w:b/>
        </w:rPr>
        <w:t>Later source:</w:t>
      </w:r>
      <w:r>
        <w:t xml:space="preserve"> When climate risk affects the systemic risk of the insurance sector: ∆CoVaR forecasting — https://doi.org/10.1007/s00477-026-03350-8</w:t>
      </w:r>
    </w:p>
    <w:p>
      <w:pPr>
        <w:pStyle w:val="SourceNote"/>
      </w:pPr>
      <w:r>
        <w:rPr>
          <w:b/>
        </w:rPr>
        <w:t>Review status:</w:t>
      </w:r>
      <w:r>
        <w:t xml:space="preserve"> unchecked — possible relationship only</w:t>
      </w:r>
    </w:p>
    <w:p>
      <w:pPr>
        <w:pStyle w:val="Heading2"/>
      </w:pPr>
      <w:r>
        <w:t>312. Claim + two later sources: European electricity sector decarbonization under different levels of foresight</w:t>
      </w:r>
    </w:p>
    <w:p>
      <w:pPr>
        <w:pStyle w:val="SourceNote"/>
      </w:pPr>
      <w:r>
        <w:rPr>
          <w:b/>
        </w:rPr>
        <w:t>Group ID:</w:t>
      </w:r>
      <w:r>
        <w:t xml:space="preserve"> group-3cc191e10f147b1fc256</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The European Union and the Wider Europe — https://doi.org/10.1017/9781009230322.017</w:t>
      </w:r>
    </w:p>
    <w:p>
      <w:pPr/>
      <w:r>
        <w:rPr>
          <w:b/>
        </w:rPr>
        <w:t>Later source:</w:t>
      </w:r>
      <w:r>
        <w:t xml:space="preserve"> European Integration and the Treaties on European Union — https://doi.org/10.1017/9781009230322.008</w:t>
      </w:r>
    </w:p>
    <w:p>
      <w:pPr>
        <w:pStyle w:val="SourceNote"/>
      </w:pPr>
      <w:r>
        <w:rPr>
          <w:b/>
        </w:rPr>
        <w:t>Review status:</w:t>
      </w:r>
      <w:r>
        <w:t xml:space="preserve"> unchecked — possible relationship only</w:t>
      </w:r>
    </w:p>
    <w:p>
      <w:pPr>
        <w:pStyle w:val="Heading2"/>
      </w:pPr>
      <w:r>
        <w:t>313.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314. Claim + two later sources: Central-East European employees on the labour market of London</w:t>
      </w:r>
    </w:p>
    <w:p>
      <w:pPr>
        <w:pStyle w:val="SourceNote"/>
      </w:pPr>
      <w:r>
        <w:rPr>
          <w:b/>
        </w:rPr>
        <w:t>Group ID:</w:t>
      </w:r>
      <w:r>
        <w:t xml:space="preserve"> group-388964dc67841b40b97e</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THE HUMAN RIGHTS CRISIS IN AI DEVELOPMENT AND USE: DOES THE EUROPEAN FRAMEWORK PROVIDE AN ADEQUATE PROTECTION? — https://doi.org/10.70382/caijlphr.v9i6.038</w:t>
      </w:r>
    </w:p>
    <w:p>
      <w:pPr/>
      <w:r>
        <w:rPr>
          <w:b/>
        </w:rPr>
        <w:t>Later source:</w:t>
      </w:r>
      <w:r>
        <w:t xml:space="preserve"> Cross‐border dimensions of Arctic climate change impacts and implications for Europe — https://doi.org/10.1002/wcc.905</w:t>
      </w:r>
    </w:p>
    <w:p>
      <w:pPr>
        <w:pStyle w:val="SourceNote"/>
      </w:pPr>
      <w:r>
        <w:rPr>
          <w:b/>
        </w:rPr>
        <w:t>Review status:</w:t>
      </w:r>
      <w:r>
        <w:t xml:space="preserve"> unchecked — possible relationship only</w:t>
      </w:r>
    </w:p>
    <w:p>
      <w:pPr>
        <w:pStyle w:val="Heading2"/>
      </w:pPr>
      <w:r>
        <w:t>315. Claim + two later sources: Scenarios of Automated Mobility in Austria: Implications for Future Transport Policy</w:t>
      </w:r>
    </w:p>
    <w:p>
      <w:pPr>
        <w:pStyle w:val="SourceNote"/>
      </w:pPr>
      <w:r>
        <w:rPr>
          <w:b/>
        </w:rPr>
        <w:t>Group ID:</w:t>
      </w:r>
      <w:r>
        <w:t xml:space="preserve"> group-a40905e0adc7bf3e849a</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Future Changes of European Windstorm Losses in EURO-CORDEX Simulations — https://doi.org/10.16993/tellusa.4094</w:t>
      </w:r>
    </w:p>
    <w:p>
      <w:pPr/>
      <w:r>
        <w:rPr>
          <w:b/>
        </w:rPr>
        <w:t>Later source:</w:t>
      </w:r>
      <w:r>
        <w:t xml:space="preserve"> Europe's way from natural gas to green hydrogen: Modeling and simulation of the transforming European gas transport infrastructure — https://doi.org/10.1016/j.ijhydene.2025.04.408</w:t>
      </w:r>
    </w:p>
    <w:p>
      <w:pPr>
        <w:pStyle w:val="SourceNote"/>
      </w:pPr>
      <w:r>
        <w:rPr>
          <w:b/>
        </w:rPr>
        <w:t>Review status:</w:t>
      </w:r>
      <w:r>
        <w:t xml:space="preserve"> unchecked — possible relationship only</w:t>
      </w:r>
    </w:p>
    <w:p>
      <w:pPr>
        <w:pStyle w:val="Heading2"/>
      </w:pPr>
      <w:r>
        <w:t>316. Claim + two later sources: Long term impact of residue management on soil organic carbon stocks and nitrous oxide emissions from European croplands</w:t>
      </w:r>
    </w:p>
    <w:p>
      <w:pPr>
        <w:pStyle w:val="SourceNote"/>
      </w:pPr>
      <w:r>
        <w:rPr>
          <w:b/>
        </w:rPr>
        <w:t>Group ID:</w:t>
      </w:r>
      <w:r>
        <w:t xml:space="preserve"> group-dcea2bc5111b3fe1a165</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Biophysical climate responses to albedo management for wheat residue retention, cover crops, and pale wheat across European croplands — https://doi.org/10.5194/egusphere-egu26-9895</w:t>
      </w:r>
    </w:p>
    <w:p>
      <w:pPr/>
      <w:r>
        <w:rPr>
          <w:b/>
        </w:rPr>
        <w:t>Later source:</w:t>
      </w:r>
      <w:r>
        <w:t xml:space="preserve"> Associations between landscape-scale cereal residue management and local biodiversity in Europe — https://doi.org/10.1016/j.agee.2026.110664</w:t>
      </w:r>
    </w:p>
    <w:p>
      <w:pPr>
        <w:pStyle w:val="SourceNote"/>
      </w:pPr>
      <w:r>
        <w:rPr>
          <w:b/>
        </w:rPr>
        <w:t>Review status:</w:t>
      </w:r>
      <w:r>
        <w:t xml:space="preserve"> unchecked — possible relationship only</w:t>
      </w:r>
    </w:p>
    <w:p>
      <w:pPr>
        <w:pStyle w:val="Heading2"/>
      </w:pPr>
      <w:r>
        <w:t>317. Claim + two later sources: Renewables in the European power system and the impact on system rotational inertia</w:t>
      </w:r>
    </w:p>
    <w:p>
      <w:pPr>
        <w:pStyle w:val="SourceNote"/>
      </w:pPr>
      <w:r>
        <w:rPr>
          <w:b/>
        </w:rPr>
        <w:t>Group ID:</w:t>
      </w:r>
      <w:r>
        <w:t xml:space="preserve"> group-c9587ffef6218db158a0</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ETS Price Signal in the Power Sector: Evidence on Decarbonisation and Policy Overlap — https://doi.org/10.32388/iogu7j</w:t>
      </w:r>
    </w:p>
    <w:p>
      <w:pPr/>
      <w:r>
        <w:rPr>
          <w:b/>
        </w:rPr>
        <w:t>Later source:</w:t>
      </w:r>
      <w:r>
        <w:t xml:space="preserve"> Discourse vs. Decarbonisation: Tracking the Alignment Between EU Climate Rhetoric and National Energy Patterns — https://doi.org/10.3390/en18195304</w:t>
      </w:r>
    </w:p>
    <w:p>
      <w:pPr>
        <w:pStyle w:val="SourceNote"/>
      </w:pPr>
      <w:r>
        <w:rPr>
          <w:b/>
        </w:rPr>
        <w:t>Review status:</w:t>
      </w:r>
      <w:r>
        <w:t xml:space="preserve"> unchecked — possible relationship only</w:t>
      </w:r>
    </w:p>
    <w:p>
      <w:pPr>
        <w:pStyle w:val="Heading2"/>
      </w:pPr>
      <w:r>
        <w:t>318. Claim + two later sources: Assessing the prospective resource base for enhanced geothermal systems in Europe</w:t>
      </w:r>
    </w:p>
    <w:p>
      <w:pPr>
        <w:pStyle w:val="SourceNote"/>
      </w:pPr>
      <w:r>
        <w:rPr>
          <w:b/>
        </w:rPr>
        <w:t>Group ID:</w:t>
      </w:r>
      <w:r>
        <w:t xml:space="preserve"> group-19e0840fb8bb69874773</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Enhanced geothermal systems for clean firm energy generation — https://doi.org/10.1038/s44359-024-00019-9</w:t>
      </w:r>
    </w:p>
    <w:p>
      <w:pPr>
        <w:pStyle w:val="SourceNote"/>
      </w:pPr>
      <w:r>
        <w:rPr>
          <w:b/>
        </w:rPr>
        <w:t>Review status:</w:t>
      </w:r>
      <w:r>
        <w:t xml:space="preserve"> unchecked — possible relationship only</w:t>
      </w:r>
    </w:p>
    <w:p>
      <w:pPr>
        <w:pStyle w:val="Heading2"/>
      </w:pPr>
      <w:r>
        <w:t>319. Claim + two later sources: Outlook of the European forest-based sector: forest growth, harvest demand, wood-product markets, and forest carbon dynamics implications</w:t>
      </w:r>
    </w:p>
    <w:p>
      <w:pPr>
        <w:pStyle w:val="SourceNote"/>
      </w:pPr>
      <w:r>
        <w:rPr>
          <w:b/>
        </w:rPr>
        <w:t>Group ID:</w:t>
      </w:r>
      <w:r>
        <w:t xml:space="preserve"> group-2a350b2f169980d258c9</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Assessing the Air Quality Impacts of Net-Zero GHG Emissions in Europe and Switzerland with ICON-ART — https://doi.org/10.5194/egusphere-egu25-2578</w:t>
      </w:r>
    </w:p>
    <w:p>
      <w:pPr/>
      <w:r>
        <w:rPr>
          <w:b/>
        </w:rPr>
        <w:t>Later source:</w:t>
      </w:r>
      <w:r>
        <w:t xml:space="preserve"> Gallium: Assessing the Long-Term Future Extraction, Supply, Recycling, and Price of Using WORLD7, in Relation to Future Technology Visions in the European Union — https://doi.org/10.1007/s41247-025-00125-7</w:t>
      </w:r>
    </w:p>
    <w:p>
      <w:pPr>
        <w:pStyle w:val="SourceNote"/>
      </w:pPr>
      <w:r>
        <w:rPr>
          <w:b/>
        </w:rPr>
        <w:t>Review status:</w:t>
      </w:r>
      <w:r>
        <w:t xml:space="preserve"> unchecked — possible relationship only</w:t>
      </w:r>
    </w:p>
    <w:p>
      <w:pPr>
        <w:pStyle w:val="Heading2"/>
      </w:pPr>
      <w:r>
        <w:t>320. Claim + two later sources: Scenario planning as communicative action: Lessons from participatory exercises conducted for the Scottish livestock industry</w:t>
      </w:r>
    </w:p>
    <w:p>
      <w:pPr>
        <w:pStyle w:val="SourceNote"/>
      </w:pPr>
      <w:r>
        <w:rPr>
          <w:b/>
        </w:rPr>
        <w:t>Group ID:</w:t>
      </w:r>
      <w:r>
        <w:t xml:space="preserve"> group-a495d23f1cb58982fb8c</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Modelling the frequency and extent of waterlogging: a case study — https://doi.org/10.36334/modsim2025.j10.beverly</w:t>
      </w:r>
    </w:p>
    <w:p>
      <w:pPr/>
      <w:r>
        <w:rPr>
          <w:b/>
        </w:rPr>
        <w:t>Later source:</w:t>
      </w:r>
      <w:r>
        <w:t xml:space="preserve"> Extent of Corporate Sustainability Adoption in the Hospitality Industry: A Case Study of Tourist Hotels in Sri Lanka — https://doi.org/10.47772/ijriss.2024.809007</w:t>
      </w:r>
    </w:p>
    <w:p>
      <w:pPr>
        <w:pStyle w:val="SourceNote"/>
      </w:pPr>
      <w:r>
        <w:rPr>
          <w:b/>
        </w:rPr>
        <w:t>Review status:</w:t>
      </w:r>
      <w:r>
        <w:t xml:space="preserve"> unchecked — possible relationship only</w:t>
      </w:r>
    </w:p>
    <w:p>
      <w:pPr>
        <w:pStyle w:val="Heading2"/>
      </w:pPr>
      <w:r>
        <w:t>321. Claim + two later sources: Toward Identification of the Priority Lines of Research in Nanotechnology on the Basis of the Technology Foresight NT for Podlaskie 2020</w:t>
      </w:r>
    </w:p>
    <w:p>
      <w:pPr>
        <w:pStyle w:val="SourceNote"/>
      </w:pPr>
      <w:r>
        <w:rPr>
          <w:b/>
        </w:rPr>
        <w:t>Group ID:</w:t>
      </w:r>
      <w:r>
        <w:t xml:space="preserve"> group-ffb5c12eaa3ae4542b49</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From Reaction to Foresight: EUPHA’s vision for health security in Europe — https://doi.org/10.1093/eurpub/ckaf071</w:t>
      </w:r>
    </w:p>
    <w:p>
      <w:pPr/>
      <w:r>
        <w:rPr>
          <w:b/>
        </w:rPr>
        <w:t>Later source:</w:t>
      </w:r>
      <w:r>
        <w:t xml:space="preserve"> Article: Project FORESIGHT and Return on Investment — https://doi.org/10.4324/9780429318528-14</w:t>
      </w:r>
    </w:p>
    <w:p>
      <w:pPr>
        <w:pStyle w:val="SourceNote"/>
      </w:pPr>
      <w:r>
        <w:rPr>
          <w:b/>
        </w:rPr>
        <w:t>Review status:</w:t>
      </w:r>
      <w:r>
        <w:t xml:space="preserve"> unchecked — possible relationship only</w:t>
      </w:r>
    </w:p>
    <w:p>
      <w:pPr>
        <w:pStyle w:val="Heading2"/>
      </w:pPr>
      <w:r>
        <w:t>322. Claim + two later sources: Foresight technologies of economic systems: evidence from the tourism sector of Ukraine</w:t>
      </w:r>
    </w:p>
    <w:p>
      <w:pPr>
        <w:pStyle w:val="SourceNote"/>
      </w:pPr>
      <w:r>
        <w:rPr>
          <w:b/>
        </w:rPr>
        <w:t>Group ID:</w:t>
      </w:r>
      <w:r>
        <w:t xml:space="preserve"> group-9656dff343fc15e7eb8d</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Criminal Liability Arising from the Use of Artificial Intelligence Applications — https://doi.org/10.5281/zenodo.19810638</w:t>
      </w:r>
    </w:p>
    <w:p>
      <w:pPr/>
      <w:r>
        <w:rPr>
          <w:b/>
        </w:rPr>
        <w:t>Later source:</w:t>
      </w:r>
      <w:r>
        <w:t xml:space="preserve"> THE CHARACTERISTICS OF LOSSES ARISING FROM THE MISUSE OF DEBTORS' PERSONAL DATA IN ONLINE LENDING AGREEMENTS — https://doi.org/10.28946/lexl.v8i1.3827</w:t>
      </w:r>
    </w:p>
    <w:p>
      <w:pPr>
        <w:pStyle w:val="SourceNote"/>
      </w:pPr>
      <w:r>
        <w:rPr>
          <w:b/>
        </w:rPr>
        <w:t>Review status:</w:t>
      </w:r>
      <w:r>
        <w:t xml:space="preserve"> unchecked — possible relationship only</w:t>
      </w:r>
    </w:p>
    <w:p>
      <w:pPr>
        <w:pStyle w:val="Heading2"/>
      </w:pPr>
      <w:r>
        <w:t>323. Claim + two later sources: The Dutch Public Health Foresight Study 2018: an example of a comprehensive foresight exercise</w:t>
      </w:r>
    </w:p>
    <w:p>
      <w:pPr>
        <w:pStyle w:val="SourceNote"/>
      </w:pPr>
      <w:r>
        <w:rPr>
          <w:b/>
        </w:rPr>
        <w:t>Group ID:</w:t>
      </w:r>
      <w:r>
        <w:t xml:space="preserve"> group-bc0af2a3eae6e562e902</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Short-term thinking, long-term costs: How managerial myopia undermines green innovation — https://doi.org/10.4102/sajbm.v57i1.5337</w:t>
      </w:r>
    </w:p>
    <w:p>
      <w:pPr/>
      <w:r>
        <w:rPr>
          <w:b/>
        </w:rPr>
        <w:t>Later source:</w:t>
      </w:r>
      <w:r>
        <w:t xml:space="preserve"> Conclusions…and Beginnings — https://doi.org/10.4324/9781003733386-7</w:t>
      </w:r>
    </w:p>
    <w:p>
      <w:pPr>
        <w:pStyle w:val="SourceNote"/>
      </w:pPr>
      <w:r>
        <w:rPr>
          <w:b/>
        </w:rPr>
        <w:t>Review status:</w:t>
      </w:r>
      <w:r>
        <w:t xml:space="preserve"> unchecked — possible relationship only</w:t>
      </w:r>
    </w:p>
    <w:p>
      <w:pPr>
        <w:pStyle w:val="Heading2"/>
      </w:pPr>
      <w:r>
        <w:t>324. Claim + two later sources: The future of the Mediterranean agri-food systems: Trends and perspectives from a Delphi survey</w:t>
      </w:r>
    </w:p>
    <w:p>
      <w:pPr>
        <w:pStyle w:val="SourceNote"/>
      </w:pPr>
      <w:r>
        <w:rPr>
          <w:b/>
        </w:rPr>
        <w:t>Group ID:</w:t>
      </w:r>
      <w:r>
        <w:t xml:space="preserve"> group-337212b440821fd9a136</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Identifying and Ranking the Eight Risks of AI for Each of the Six Main AI-Focused Fintech Business Models — https://doi.org/10.1007/978-3-032-18109-1_7</w:t>
      </w:r>
    </w:p>
    <w:p>
      <w:pPr/>
      <w:r>
        <w:rPr>
          <w:b/>
        </w:rPr>
        <w:t>Later source:</w:t>
      </w:r>
      <w:r>
        <w:t xml:space="preserve"> Using a counterfactual thinking intervention to improve safe driving intentions and identifying strategies to avoid distracted driving in college students: A pilot study — https://doi.org/10.1016/j.trf.2026.103666</w:t>
      </w:r>
    </w:p>
    <w:p>
      <w:pPr>
        <w:pStyle w:val="SourceNote"/>
      </w:pPr>
      <w:r>
        <w:rPr>
          <w:b/>
        </w:rPr>
        <w:t>Review status:</w:t>
      </w:r>
      <w:r>
        <w:t xml:space="preserve"> unchecked — possible relationship only</w:t>
      </w:r>
    </w:p>
    <w:p>
      <w:pPr>
        <w:pStyle w:val="Heading2"/>
      </w:pPr>
      <w:r>
        <w:t>325. Claim + two later sources: Implementing Dynamics of Immigration Integration in Labor Force Participation Projection in EU28</w:t>
      </w:r>
    </w:p>
    <w:p>
      <w:pPr>
        <w:pStyle w:val="SourceNote"/>
      </w:pPr>
      <w:r>
        <w:rPr>
          <w:b/>
        </w:rPr>
        <w:t>Group ID:</w:t>
      </w:r>
      <w:r>
        <w:t xml:space="preserve"> group-fdc3209370375e7fd674</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The burden of informal family caregiving in Europe, 2000–2050: a microsimulation modelling study — https://doi.org/10.1016/j.lanepe.2025.101295</w:t>
      </w:r>
    </w:p>
    <w:p>
      <w:pPr/>
      <w:r>
        <w:rPr>
          <w:b/>
        </w:rPr>
        <w:t>Later source:</w:t>
      </w:r>
      <w:r>
        <w:t xml:space="preserve"> MicSim, a microsimulation model for population dynamics — https://doi.org/10.21203/rs.3.rs-2986170/v1</w:t>
      </w:r>
    </w:p>
    <w:p>
      <w:pPr>
        <w:pStyle w:val="SourceNote"/>
      </w:pPr>
      <w:r>
        <w:rPr>
          <w:b/>
        </w:rPr>
        <w:t>Review status:</w:t>
      </w:r>
      <w:r>
        <w:t xml:space="preserve"> unchecked — possible relationship only</w:t>
      </w:r>
    </w:p>
    <w:p>
      <w:pPr>
        <w:pStyle w:val="Heading2"/>
      </w:pPr>
      <w:r>
        <w:t>326. Claim + two later sources: Towards the European Union's Foreign Policy 2025 – Taking Stock of the Dahrendorf Foresight Project</w:t>
      </w:r>
    </w:p>
    <w:p>
      <w:pPr>
        <w:pStyle w:val="SourceNote"/>
      </w:pPr>
      <w:r>
        <w:rPr>
          <w:b/>
        </w:rPr>
        <w:t>Group ID:</w:t>
      </w:r>
      <w:r>
        <w:t xml:space="preserve"> group-40ed1f2c6c5dee0e3ef8</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Analysis of the current state of sewage sludge treatment from the perspective of current European directives — https://doi.org/10.1186/s12302-025-01097-7</w:t>
      </w:r>
    </w:p>
    <w:p>
      <w:pPr/>
      <w:r>
        <w:rPr>
          <w:b/>
        </w:rPr>
        <w:t>Later source:</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pStyle w:val="SourceNote"/>
      </w:pPr>
      <w:r>
        <w:rPr>
          <w:b/>
        </w:rPr>
        <w:t>Review status:</w:t>
      </w:r>
      <w:r>
        <w:t xml:space="preserve"> unchecked — possible relationship only</w:t>
      </w:r>
    </w:p>
    <w:p>
      <w:pPr>
        <w:pStyle w:val="Heading2"/>
      </w:pPr>
      <w:r>
        <w:t>327. Claim + two later sources: Prospects of labour migration pressure in Algeria, Morocco, Tunisia and Turkey</w:t>
      </w:r>
    </w:p>
    <w:p>
      <w:pPr>
        <w:pStyle w:val="SourceNote"/>
      </w:pPr>
      <w:r>
        <w:rPr>
          <w:b/>
        </w:rPr>
        <w:t>Group ID:</w:t>
      </w:r>
      <w:r>
        <w:t xml:space="preserve"> group-6d38ef6a946f724489ed</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Probabilistic storyline attribution using machine learning — https://doi.org/10.1088/3049-4753/aea4b7</w:t>
      </w:r>
    </w:p>
    <w:p>
      <w:pPr/>
      <w:r>
        <w:rPr>
          <w:b/>
        </w:rPr>
        <w:t>Later source:</w:t>
      </w:r>
      <w:r>
        <w:t xml:space="preserve"> Storyline Trees: Hierarchical Representations for Long-Form Narratives — https://doi.org/10.48550/arxiv.2606.20900</w:t>
      </w:r>
    </w:p>
    <w:p>
      <w:pPr>
        <w:pStyle w:val="SourceNote"/>
      </w:pPr>
      <w:r>
        <w:rPr>
          <w:b/>
        </w:rPr>
        <w:t>Review status:</w:t>
      </w:r>
      <w:r>
        <w:t xml:space="preserve"> unchecked — possible relationship only</w:t>
      </w:r>
    </w:p>
    <w:p>
      <w:pPr>
        <w:pStyle w:val="Heading2"/>
      </w:pPr>
      <w:r>
        <w:t>328. Claim + two later sources: Living within the safe operating space: a vision for a resource efficient Europe</w:t>
      </w:r>
    </w:p>
    <w:p>
      <w:pPr>
        <w:pStyle w:val="SourceNote"/>
      </w:pPr>
      <w:r>
        <w:rPr>
          <w:b/>
        </w:rPr>
        <w:t>Group ID:</w:t>
      </w:r>
      <w:r>
        <w:t xml:space="preserve"> group-0fe4c2687f25cb9d0599</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Barriers to healthcare for racialised populations in Europe: a scoping review of reviews — https://doi.org/10.1186/s12939-025-02577-1</w:t>
      </w:r>
    </w:p>
    <w:p>
      <w:pPr/>
      <w:r>
        <w:rPr>
          <w:b/>
        </w:rPr>
        <w:t>Later source:</w:t>
      </w:r>
      <w:r>
        <w:t xml:space="preserve"> A scoping review of seismic risk communication in Europe — https://doi.org/10.3389/feart.2023.1155576</w:t>
      </w:r>
    </w:p>
    <w:p>
      <w:pPr>
        <w:pStyle w:val="SourceNote"/>
      </w:pPr>
      <w:r>
        <w:rPr>
          <w:b/>
        </w:rPr>
        <w:t>Review status:</w:t>
      </w:r>
      <w:r>
        <w:t xml:space="preserve"> unchecked — possible relationship only</w:t>
      </w:r>
    </w:p>
    <w:p>
      <w:pPr>
        <w:pStyle w:val="Heading2"/>
      </w:pPr>
      <w:r>
        <w:t>329.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330. Claim + two later sources: The Public Health Status and Foresight report 2014: Four normative perspectives on a healthier Netherlands in 2040</w:t>
      </w:r>
    </w:p>
    <w:p>
      <w:pPr>
        <w:pStyle w:val="SourceNote"/>
      </w:pPr>
      <w:r>
        <w:rPr>
          <w:b/>
        </w:rPr>
        <w:t>Group ID:</w:t>
      </w:r>
      <w:r>
        <w:t xml:space="preserve"> group-433c3615469702dbf038</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European Cancer Prevention Organization on cancer screening: an expert panel position paper — https://doi.org/10.1097/cej.0000000000001025</w:t>
      </w:r>
    </w:p>
    <w:p>
      <w:pPr/>
      <w:r>
        <w:rPr>
          <w:b/>
        </w:rPr>
        <w:t>Later source:</w:t>
      </w:r>
      <w:r>
        <w:t xml:space="preserve"> Design Policy Mapping in Europe — https://openalex.org/W7215223829</w:t>
      </w:r>
    </w:p>
    <w:p>
      <w:pPr>
        <w:pStyle w:val="SourceNote"/>
      </w:pPr>
      <w:r>
        <w:rPr>
          <w:b/>
        </w:rPr>
        <w:t>Review status:</w:t>
      </w:r>
      <w:r>
        <w:t xml:space="preserve"> unchecked — possible relationship only</w:t>
      </w:r>
    </w:p>
    <w:p>
      <w:pPr>
        <w:pStyle w:val="Heading2"/>
      </w:pPr>
      <w:r>
        <w:t>331. Claim + two later sources: Secular stagnation – are we stuck in Summers' long winter?</w:t>
      </w:r>
    </w:p>
    <w:p>
      <w:pPr>
        <w:pStyle w:val="SourceNote"/>
      </w:pPr>
      <w:r>
        <w:rPr>
          <w:b/>
        </w:rPr>
        <w:t>Group ID:</w:t>
      </w:r>
      <w:r>
        <w:t xml:space="preserve"> group-5304f4cf73c44b61a849</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Impact of fiscal sustainability on economic growth in Kenya — https://doi.org/10.65748/fiqf-2026-0001</w:t>
      </w:r>
    </w:p>
    <w:p>
      <w:pPr/>
      <w:r>
        <w:rPr>
          <w:b/>
        </w:rPr>
        <w:t>Later source:</w:t>
      </w:r>
      <w:r>
        <w:t xml:space="preserve"> Fiscal Policy, Debt Management and Economic Growth in Nigeria — https://doi.org/10.47772/ijriss.2026.100500380</w:t>
      </w:r>
    </w:p>
    <w:p>
      <w:pPr>
        <w:pStyle w:val="SourceNote"/>
      </w:pPr>
      <w:r>
        <w:rPr>
          <w:b/>
        </w:rPr>
        <w:t>Review status:</w:t>
      </w:r>
      <w:r>
        <w:t xml:space="preserve"> unchecked — possible relationship only</w:t>
      </w:r>
    </w:p>
    <w:p>
      <w:pPr>
        <w:pStyle w:val="Heading2"/>
      </w:pPr>
      <w:r>
        <w:t>332.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group-4902d067c63189001a7d</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‘Learning lessons’: discussion, concluding thoughts and recommendations — https://doi.org/10.1332/policypress/9781447363385.003.0007</w:t>
      </w:r>
    </w:p>
    <w:p>
      <w:pPr>
        <w:pStyle w:val="SourceNote"/>
      </w:pPr>
      <w:r>
        <w:rPr>
          <w:b/>
        </w:rPr>
        <w:t>Review status:</w:t>
      </w:r>
      <w:r>
        <w:t xml:space="preserve"> unchecked — possible relationship only</w:t>
      </w:r>
    </w:p>
    <w:p>
      <w:pPr>
        <w:pStyle w:val="Heading2"/>
      </w:pPr>
      <w:r>
        <w:t>333. Claim + two later sources: (Re)politicization of climate change mitigating projects: environmental forms and motives of the Seine Nord Europe canal</w:t>
      </w:r>
    </w:p>
    <w:p>
      <w:pPr>
        <w:pStyle w:val="SourceNote"/>
      </w:pPr>
      <w:r>
        <w:rPr>
          <w:b/>
        </w:rPr>
        <w:t>Group ID:</w:t>
      </w:r>
      <w:r>
        <w:t xml:space="preserve"> group-189cafda90f8d6190dd4</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Place-based leadership and environmental conflicts in the European Union — https://doi.org/10.1080/00343404.2025.2486644</w:t>
      </w:r>
    </w:p>
    <w:p>
      <w:pPr/>
      <w:r>
        <w:rPr>
          <w:b/>
        </w:rPr>
        <w:t>Later source:</w:t>
      </w:r>
      <w:r>
        <w:t xml:space="preserve"> Environmental education on the European Green Deal. Implications and promotion of the concept through different channels in Romania — https://doi.org/10.33727/jriss.2025.1.20:193-203</w:t>
      </w:r>
    </w:p>
    <w:p>
      <w:pPr>
        <w:pStyle w:val="SourceNote"/>
      </w:pPr>
      <w:r>
        <w:rPr>
          <w:b/>
        </w:rPr>
        <w:t>Review status:</w:t>
      </w:r>
      <w:r>
        <w:t xml:space="preserve"> unchecked — possible relationship only</w:t>
      </w:r>
    </w:p>
    <w:p>
      <w:pPr>
        <w:pStyle w:val="Heading2"/>
      </w:pPr>
      <w:r>
        <w:t>334.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335. Claim + two later sources: Future Low-Carbon Transport Scenarios: Practice Theory-Based Visioning for Backcasting Studies</w:t>
      </w:r>
    </w:p>
    <w:p>
      <w:pPr>
        <w:pStyle w:val="SourceNote"/>
      </w:pPr>
      <w:r>
        <w:rPr>
          <w:b/>
        </w:rPr>
        <w:t>Group ID:</w:t>
      </w:r>
      <w:r>
        <w:t xml:space="preserve"> group-468e4984cd3749643be7</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Imaginaries of European Technology Frontrunners : Towards the Silicon Valley Vision or the European Dream? — https://openalex.org/W7204372713</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336. Claim + two later sources: An assessment of the impact of climate adaptation measures to reduce flood risk on ecosystem services</w:t>
      </w:r>
    </w:p>
    <w:p>
      <w:pPr>
        <w:pStyle w:val="SourceNote"/>
      </w:pPr>
      <w:r>
        <w:rPr>
          <w:b/>
        </w:rPr>
        <w:t>Group ID:</w:t>
      </w:r>
      <w:r>
        <w:t xml:space="preserve"> group-f277b02b0df5f9502cca</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Aneuploidy Can Be an Evolutionary Diversion on the Path to Adaptation — https://doi.org/10.1093/molbev/msae052</w:t>
      </w:r>
    </w:p>
    <w:p>
      <w:pPr/>
      <w:r>
        <w:rPr>
          <w:b/>
        </w:rPr>
        <w:t>Later source:</w:t>
      </w:r>
      <w:r>
        <w:t xml:space="preserve"> Environmental effects on genetic variance are likely to constrain adaptation in novel environments — https://doi.org/10.1093/evlett/qrad065</w:t>
      </w:r>
    </w:p>
    <w:p>
      <w:pPr>
        <w:pStyle w:val="SourceNote"/>
      </w:pPr>
      <w:r>
        <w:rPr>
          <w:b/>
        </w:rPr>
        <w:t>Review status:</w:t>
      </w:r>
      <w:r>
        <w:t xml:space="preserve"> unchecked — possible relationship only</w:t>
      </w:r>
    </w:p>
    <w:p>
      <w:pPr>
        <w:pStyle w:val="Heading2"/>
      </w:pPr>
      <w:r>
        <w:t>337. Claim + two later sources: Conditional forecasts of tourism exports and tourism export prices of the EU-15 within a global vector autoregression framework</w:t>
      </w:r>
    </w:p>
    <w:p>
      <w:pPr>
        <w:pStyle w:val="SourceNote"/>
      </w:pPr>
      <w:r>
        <w:rPr>
          <w:b/>
        </w:rPr>
        <w:t>Group ID:</w:t>
      </w:r>
      <w:r>
        <w:t xml:space="preserve"> group-ec3a451e063153cfc94c</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Lagged effect of tourism on environmental pollution: a comparative analysis among sub-Saharan African, European and Asian countries — https://doi.org/10.1007/s43621-025-02058-z</w:t>
      </w:r>
    </w:p>
    <w:p>
      <w:pPr/>
      <w:r>
        <w:rPr>
          <w:b/>
        </w:rPr>
        <w:t>Later source:</w:t>
      </w:r>
      <w:r>
        <w:t xml:space="preserve"> Google and Apple mobility data as predictors for European tourism during the COVID-19 pandemic: A neural network approach — https://doi.org/10.24136/eq.2023.013</w:t>
      </w:r>
    </w:p>
    <w:p>
      <w:pPr>
        <w:pStyle w:val="SourceNote"/>
      </w:pPr>
      <w:r>
        <w:rPr>
          <w:b/>
        </w:rPr>
        <w:t>Review status:</w:t>
      </w:r>
      <w:r>
        <w:t xml:space="preserve"> unchecked — possible relationship only</w:t>
      </w:r>
    </w:p>
    <w:p>
      <w:pPr>
        <w:pStyle w:val="Heading2"/>
      </w:pPr>
      <w:r>
        <w:t>338. Claim + two later sources: Balancing GHG mitigation and land-use conflicts: Alternative Northern European energy system scenarios</w:t>
      </w:r>
    </w:p>
    <w:p>
      <w:pPr>
        <w:pStyle w:val="SourceNote"/>
      </w:pPr>
      <w:r>
        <w:rPr>
          <w:b/>
        </w:rPr>
        <w:t>Group ID:</w:t>
      </w:r>
      <w:r>
        <w:t xml:space="preserve"> group-fa52fd482db3eeacb9c7</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Assimilating ESA CCI land surface temperature into the ORCHIDEE land surface model: insights from a multi-site study across Europe — https://doi.org/10.5194/hess-29-261-2025</w:t>
      </w:r>
    </w:p>
    <w:p>
      <w:pPr/>
      <w:r>
        <w:rPr>
          <w:b/>
        </w:rPr>
        <w:t>Later source:</w:t>
      </w:r>
      <w:r>
        <w:t xml:space="preserve"> Endogenous transformation of land transport in Europe for different climate targets — https://doi.org/10.1016/j.enconman.2025.120203</w:t>
      </w:r>
    </w:p>
    <w:p>
      <w:pPr>
        <w:pStyle w:val="SourceNote"/>
      </w:pPr>
      <w:r>
        <w:rPr>
          <w:b/>
        </w:rPr>
        <w:t>Review status:</w:t>
      </w:r>
      <w:r>
        <w:t xml:space="preserve"> unchecked — possible relationship only</w:t>
      </w:r>
    </w:p>
    <w:p>
      <w:pPr>
        <w:pStyle w:val="Heading2"/>
      </w:pPr>
      <w:r>
        <w:t>339. Claim + two later sources: A Transport Policy Tool for Reduction of Co2 Emissions in Finland – Visions, Scenarios and Pathways using Pluralistic Backcasting Method</w:t>
      </w:r>
    </w:p>
    <w:p>
      <w:pPr>
        <w:pStyle w:val="SourceNote"/>
      </w:pPr>
      <w:r>
        <w:rPr>
          <w:b/>
        </w:rPr>
        <w:t>Group ID:</w:t>
      </w:r>
      <w:r>
        <w:t xml:space="preserve"> group-0dc19b92264c3d53f2ca</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Association patterns of renewables and greenhouse gas emission reduction in the European Union — https://doi.org/10.2139/ssrn.6144181</w:t>
      </w:r>
    </w:p>
    <w:p>
      <w:pPr/>
      <w:r>
        <w:rPr>
          <w:b/>
        </w:rPr>
        <w:t>Later source:</w:t>
      </w:r>
      <w:r>
        <w:t xml:space="preserve"> The greenhouse gas reduction gap in manufacturing companies: An action-research framework for European reporting requirements — https://doi.org/10.1016/j.cesys.2026.100406</w:t>
      </w:r>
    </w:p>
    <w:p>
      <w:pPr>
        <w:pStyle w:val="SourceNote"/>
      </w:pPr>
      <w:r>
        <w:rPr>
          <w:b/>
        </w:rPr>
        <w:t>Review status:</w:t>
      </w:r>
      <w:r>
        <w:t xml:space="preserve"> unchecked — possible relationship only</w:t>
      </w:r>
    </w:p>
    <w:p>
      <w:pPr>
        <w:pStyle w:val="Heading2"/>
      </w:pPr>
      <w:r>
        <w:t>340. Claim + two later sources: Scenarios for population health inequalities in 2030 in Europe: the EURO-HEALTHY project experience</w:t>
      </w:r>
    </w:p>
    <w:p>
      <w:pPr>
        <w:pStyle w:val="SourceNote"/>
      </w:pPr>
      <w:r>
        <w:rPr>
          <w:b/>
        </w:rPr>
        <w:t>Group ID:</w:t>
      </w:r>
      <w:r>
        <w:t xml:space="preserve"> group-b94b3fcb1dfdd11a8619</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Landscape Report on Diamond OA Publishing: Europe — https://doi.org/10.5281/zenodo.19236088</w:t>
      </w:r>
    </w:p>
    <w:p>
      <w:pPr/>
      <w:r>
        <w:rPr>
          <w:b/>
        </w:rPr>
        <w:t>Later source:</w:t>
      </w:r>
      <w:r>
        <w:t xml:space="preserve"> Europe as a subject and object of epistemic reflection — https://doi.org/10.30574/wjarr.2025.27.1.2547</w:t>
      </w:r>
    </w:p>
    <w:p>
      <w:pPr>
        <w:pStyle w:val="SourceNote"/>
      </w:pPr>
      <w:r>
        <w:rPr>
          <w:b/>
        </w:rPr>
        <w:t>Review status:</w:t>
      </w:r>
      <w:r>
        <w:t xml:space="preserve"> unchecked — possible relationship only</w:t>
      </w:r>
    </w:p>
    <w:p>
      <w:pPr>
        <w:pStyle w:val="Heading2"/>
      </w:pPr>
      <w:r>
        <w:t>341. Claim + two later sources: Long-term scenarios for reaching climate targets and energy security in UK</w:t>
      </w:r>
    </w:p>
    <w:p>
      <w:pPr>
        <w:pStyle w:val="SourceNote"/>
      </w:pPr>
      <w:r>
        <w:rPr>
          <w:b/>
        </w:rPr>
        <w:t>Group ID:</w:t>
      </w:r>
      <w:r>
        <w:t xml:space="preserve"> group-7c0c5a8302e92af13e5c</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A seasonal two-factor model for solar energy production: A climate extreme events analysis — https://doi.org/10.1016/j.eneco.2025.108611</w:t>
      </w:r>
    </w:p>
    <w:p>
      <w:pPr/>
      <w:r>
        <w:rPr>
          <w:b/>
        </w:rPr>
        <w:t>Later source:</w:t>
      </w:r>
      <w:r>
        <w:t xml:space="preserve"> Energy and Clean Air Policies Will Overcome the Adverse Effect of Climate Change and Reduce China's Ozone Pollution in the Future: The Insight From a New Two‐Stage Model — https://doi.org/10.1029/2024jd043182</w:t>
      </w:r>
    </w:p>
    <w:p>
      <w:pPr>
        <w:pStyle w:val="SourceNote"/>
      </w:pPr>
      <w:r>
        <w:rPr>
          <w:b/>
        </w:rPr>
        <w:t>Review status:</w:t>
      </w:r>
      <w:r>
        <w:t xml:space="preserve"> unchecked — possible relationship only</w:t>
      </w:r>
    </w:p>
    <w:p>
      <w:pPr>
        <w:pStyle w:val="Heading2"/>
      </w:pPr>
      <w:r>
        <w:t>342. Claim + two later sources: How far away is hydrogen? Its role in the medium and long-term decarbonisation of the European energy system</w:t>
      </w:r>
    </w:p>
    <w:p>
      <w:pPr>
        <w:pStyle w:val="SourceNote"/>
      </w:pPr>
      <w:r>
        <w:rPr>
          <w:b/>
        </w:rPr>
        <w:t>Group ID:</w:t>
      </w:r>
      <w:r>
        <w:t xml:space="preserve"> group-f75b7cf8b32866ead73c</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Monitoring the impact of EU F-gas regulation on HFC-134a emissions through a comparison of top-down and bottom-up estimates — https://doi.org/10.1186/s12302-025-01081-1</w:t>
      </w:r>
    </w:p>
    <w:p>
      <w:pPr/>
      <w:r>
        <w:rPr>
          <w:b/>
        </w:rPr>
        <w:t>Later source:</w:t>
      </w:r>
      <w:r>
        <w:t xml:space="preserve"> TIMES-Europe: An Integrated Energy System Model for Analyzing Europe’s Energy and Climate Challenges — https://doi.org/10.1007/s10666-024-09976-8</w:t>
      </w:r>
    </w:p>
    <w:p>
      <w:pPr>
        <w:pStyle w:val="SourceNote"/>
      </w:pPr>
      <w:r>
        <w:rPr>
          <w:b/>
        </w:rPr>
        <w:t>Review status:</w:t>
      </w:r>
      <w:r>
        <w:t xml:space="preserve"> unchecked — possible relationship only</w:t>
      </w:r>
    </w:p>
    <w:p>
      <w:pPr>
        <w:pStyle w:val="Heading2"/>
      </w:pPr>
      <w:r>
        <w:t>343. Claim + two later sources: Renewable and Sustainable Energy Transitions for Countries with Different Climates and Renewable Energy Sources Potentials</w:t>
      </w:r>
    </w:p>
    <w:p>
      <w:pPr>
        <w:pStyle w:val="SourceNote"/>
      </w:pPr>
      <w:r>
        <w:rPr>
          <w:b/>
        </w:rPr>
        <w:t>Group ID:</w:t>
      </w:r>
      <w:r>
        <w:t xml:space="preserve"> group-f00bf4ad38101740e4ae</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Developing a European Psychotherapy Consortium (EPoC): Towards adopting a single-item self-report outcome measure across European countries — https://doi.org/10.32872/cpe.13827</w:t>
      </w:r>
    </w:p>
    <w:p>
      <w:pPr/>
      <w:r>
        <w:rPr>
          <w:b/>
        </w:rPr>
        <w:t>Later source:</w:t>
      </w:r>
      <w:r>
        <w:t xml:space="preserve"> Understanding Public Support for European Protected Areas: A Review of the Literature and Proposing a New Approach for Policy Makers — https://doi.org/10.3390/land11050733</w:t>
      </w:r>
    </w:p>
    <w:p>
      <w:pPr>
        <w:pStyle w:val="SourceNote"/>
      </w:pPr>
      <w:r>
        <w:rPr>
          <w:b/>
        </w:rPr>
        <w:t>Review status:</w:t>
      </w:r>
      <w:r>
        <w:t xml:space="preserve"> unchecked — possible relationship only</w:t>
      </w:r>
    </w:p>
    <w:p>
      <w:pPr>
        <w:pStyle w:val="Heading2"/>
      </w:pPr>
      <w:r>
        <w:t>344. Claim + two later sources: Socio-technical transitions in UK electricity: part 1 – history, actors and pathways</w:t>
      </w:r>
    </w:p>
    <w:p>
      <w:pPr>
        <w:pStyle w:val="SourceNote"/>
      </w:pPr>
      <w:r>
        <w:rPr>
          <w:b/>
        </w:rPr>
        <w:t>Group ID:</w:t>
      </w:r>
      <w:r>
        <w:t xml:space="preserve"> group-b3361994a5273aef9a48</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The G20 in Focus: An Anthology of African Analyses, Priorities, and Pathways — https://doi.org/10.36615/9781997468950</w:t>
      </w:r>
    </w:p>
    <w:p>
      <w:pPr/>
      <w:r>
        <w:rPr>
          <w:b/>
        </w:rPr>
        <w:t>Later source:</w:t>
      </w:r>
      <w:r>
        <w:t xml:space="preserve"> Gender Norms and Leadership Exclusion with a Focus on Women’s Pathways to Power in Southern Nigeria — https://openalex.org/W7216889169</w:t>
      </w:r>
    </w:p>
    <w:p>
      <w:pPr>
        <w:pStyle w:val="SourceNote"/>
      </w:pPr>
      <w:r>
        <w:rPr>
          <w:b/>
        </w:rPr>
        <w:t>Review status:</w:t>
      </w:r>
      <w:r>
        <w:t xml:space="preserve"> unchecked — possible relationship only</w:t>
      </w:r>
    </w:p>
    <w:p>
      <w:pPr>
        <w:pStyle w:val="Heading2"/>
      </w:pPr>
      <w:r>
        <w:t>345. Claim + two later sources: THE EUROPEAN MIGRATION CRISIS – ECONOMIC AND POLITICAL FACTORS AND CHALLENGES FOR THE FUTURE</w:t>
      </w:r>
    </w:p>
    <w:p>
      <w:pPr>
        <w:pStyle w:val="SourceNote"/>
      </w:pPr>
      <w:r>
        <w:rPr>
          <w:b/>
        </w:rPr>
        <w:t>Group ID:</w:t>
      </w:r>
      <w:r>
        <w:t xml:space="preserve"> group-829e1e45db7ca87973a1</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China-Central and Eastern European Countries Cooperation: Challenges and Restart — https://doi.org/10.18485/iipe_dijalozi_kina.2024.4.2.ch20</w:t>
      </w:r>
    </w:p>
    <w:p>
      <w:pPr/>
      <w:r>
        <w:rPr>
          <w:b/>
        </w:rPr>
        <w:t>Later source:</w:t>
      </w:r>
      <w:r>
        <w:t xml:space="preserve"> Reflections on Economic Governance in the Central European Countries — https://doi.org/10.54237/profnet.2024.znecogov_37</w:t>
      </w:r>
    </w:p>
    <w:p>
      <w:pPr>
        <w:pStyle w:val="SourceNote"/>
      </w:pPr>
      <w:r>
        <w:rPr>
          <w:b/>
        </w:rPr>
        <w:t>Review status:</w:t>
      </w:r>
      <w:r>
        <w:t xml:space="preserve"> unchecked — possible relationship only</w:t>
      </w:r>
    </w:p>
    <w:p>
      <w:pPr>
        <w:pStyle w:val="Heading2"/>
      </w:pPr>
      <w:r>
        <w:t>346. Claim + two later sources: Future population ageing and productivity in Finland under different education and fertility scenarios</w:t>
      </w:r>
    </w:p>
    <w:p>
      <w:pPr>
        <w:pStyle w:val="SourceNote"/>
      </w:pPr>
      <w:r>
        <w:rPr>
          <w:b/>
        </w:rPr>
        <w:t>Group ID:</w:t>
      </w:r>
      <w:r>
        <w:t xml:space="preserve"> group-ad176a205e8f1780958f</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MULTIDIMENSIONAL LOCAL RESILIENCE – ANALYSIS OF ENVIRONMENTAL, DEMOGRAPHIC AND INFRASTRUCTURAL FACTORS — https://doi.org/10.29119/1641-3466.2026.244.3</w:t>
      </w:r>
    </w:p>
    <w:p>
      <w:pPr/>
      <w:r>
        <w:rPr>
          <w:b/>
        </w:rPr>
        <w:t>Later source:</w:t>
      </w:r>
      <w:r>
        <w:t xml:space="preserve"> Distinct profiles of free speech support and their demographic, ideological, and epistemic characteristics — https://doi.org/10.1016/j.paid.2026.114009</w:t>
      </w:r>
    </w:p>
    <w:p>
      <w:pPr>
        <w:pStyle w:val="SourceNote"/>
      </w:pPr>
      <w:r>
        <w:rPr>
          <w:b/>
        </w:rPr>
        <w:t>Review status:</w:t>
      </w:r>
      <w:r>
        <w:t xml:space="preserve"> unchecked — possible relationship only</w:t>
      </w:r>
    </w:p>
    <w:p>
      <w:pPr>
        <w:pStyle w:val="Heading2"/>
      </w:pPr>
      <w:r>
        <w:t>347. Claim + two later sources: Are the European manufacturing and energy sectors on track for achieving net-zero emissions in 2050? An empirical analysis</w:t>
      </w:r>
    </w:p>
    <w:p>
      <w:pPr>
        <w:pStyle w:val="SourceNote"/>
      </w:pPr>
      <w:r>
        <w:rPr>
          <w:b/>
        </w:rPr>
        <w:t>Group ID:</w:t>
      </w:r>
      <w:r>
        <w:t xml:space="preserve"> group-a12cddb68a9f3cd8d4ae</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Achieving SDG 7 in the European Union: The Impact of Institutions and Macroeconomic Factors on Energy Conservation — https://doi.org/10.1002/sd.71042</w:t>
      </w:r>
    </w:p>
    <w:p>
      <w:pPr>
        <w:pStyle w:val="SourceNote"/>
      </w:pPr>
      <w:r>
        <w:rPr>
          <w:b/>
        </w:rPr>
        <w:t>Review status:</w:t>
      </w:r>
      <w:r>
        <w:t xml:space="preserve"> unchecked — possible relationship only</w:t>
      </w:r>
    </w:p>
    <w:p>
      <w:pPr>
        <w:pStyle w:val="Heading2"/>
      </w:pPr>
      <w:r>
        <w:t>348. Claim + two later sources: Scenarios for renewable energy deployment in North African countries and electricity exchange with Europe – A modelbased analysis for 2050</w:t>
      </w:r>
    </w:p>
    <w:p>
      <w:pPr>
        <w:pStyle w:val="SourceNote"/>
      </w:pPr>
      <w:r>
        <w:rPr>
          <w:b/>
        </w:rPr>
        <w:t>Group ID:</w:t>
      </w:r>
      <w:r>
        <w:t xml:space="preserve"> group-bc70564065637ddcfb15</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North Africa as an emerging green hydrogen hub: Algeria in focus — https://doi.org/10.1016/j.gerr.2026.100171</w:t>
      </w:r>
    </w:p>
    <w:p>
      <w:pPr/>
      <w:r>
        <w:rPr>
          <w:b/>
        </w:rPr>
        <w:t>Later source:</w:t>
      </w:r>
      <w:r>
        <w:t xml:space="preserve"> Geopolitical risk and renewable energy capacity deployment: the moderating role of institutional quality in selected European Union economies — https://doi.org/10.17605/osf.io/b76ny</w:t>
      </w:r>
    </w:p>
    <w:p>
      <w:pPr>
        <w:pStyle w:val="SourceNote"/>
      </w:pPr>
      <w:r>
        <w:rPr>
          <w:b/>
        </w:rPr>
        <w:t>Review status:</w:t>
      </w:r>
      <w:r>
        <w:t xml:space="preserve"> unchecked — possible relationship only</w:t>
      </w:r>
    </w:p>
    <w:p>
      <w:pPr>
        <w:pStyle w:val="Heading2"/>
      </w:pPr>
      <w:r>
        <w:t>349. Claim + two later sources: ClimateEU, scale-free climate normals, historical time series, and future projections for Europe</w:t>
      </w:r>
    </w:p>
    <w:p>
      <w:pPr>
        <w:pStyle w:val="SourceNote"/>
      </w:pPr>
      <w:r>
        <w:rPr>
          <w:b/>
        </w:rPr>
        <w:t>Group ID:</w:t>
      </w:r>
      <w:r>
        <w:t xml:space="preserve"> group-0a48edb710aa1039e190</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In temperate Europe, fire is already here: The case of The Netherlands — https://doi.org/10.1007/s13280-023-01960-y</w:t>
      </w:r>
    </w:p>
    <w:p>
      <w:pPr/>
      <w:r>
        <w:rPr>
          <w:b/>
        </w:rPr>
        <w:t>Later source:</w:t>
      </w:r>
      <w:r>
        <w:t xml:space="preserve"> The European Nucleotide Archive in 2024 — https://doi.org/10.1093/nar/gkae975</w:t>
      </w:r>
    </w:p>
    <w:p>
      <w:pPr>
        <w:pStyle w:val="SourceNote"/>
      </w:pPr>
      <w:r>
        <w:rPr>
          <w:b/>
        </w:rPr>
        <w:t>Review status:</w:t>
      </w:r>
      <w:r>
        <w:t xml:space="preserve"> unchecked — possible relationship only</w:t>
      </w:r>
    </w:p>
    <w:p>
      <w:pPr>
        <w:pStyle w:val="Heading2"/>
      </w:pPr>
      <w:r>
        <w:t>350. Claim + two later sources: Brexit and Its Impact on Poland’s Policy Towards Europe – An Attempt to Forecast</w:t>
      </w:r>
    </w:p>
    <w:p>
      <w:pPr>
        <w:pStyle w:val="SourceNote"/>
      </w:pPr>
      <w:r>
        <w:rPr>
          <w:b/>
        </w:rPr>
        <w:t>Group ID:</w:t>
      </w:r>
      <w:r>
        <w:t xml:space="preserve"> group-d2b05d7fec5c9af0efdc</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Differentiating early European psychobiography—An Eastern European contribution. — https://doi.org/10.1037/hop0000317</w:t>
      </w:r>
    </w:p>
    <w:p>
      <w:pPr/>
      <w:r>
        <w:rPr>
          <w:b/>
        </w:rPr>
        <w:t>Later source:</w:t>
      </w:r>
      <w:r>
        <w:t xml:space="preserve"> Freedom of Expression and speech threatened in Europe — https://doi.org/10.52224/21845263/rev45a4</w:t>
      </w:r>
    </w:p>
    <w:p>
      <w:pPr>
        <w:pStyle w:val="SourceNote"/>
      </w:pPr>
      <w:r>
        <w:rPr>
          <w:b/>
        </w:rPr>
        <w:t>Review status:</w:t>
      </w:r>
      <w:r>
        <w:t xml:space="preserve"> unchecked — possible relationship only</w:t>
      </w:r>
    </w:p>
    <w:p>
      <w:pPr>
        <w:pStyle w:val="Heading2"/>
      </w:pPr>
      <w:r>
        <w:t>351. Claim + two later sources: The use of probabilistic weather generator information for climate change adaptation in the UK water sector</w:t>
      </w:r>
    </w:p>
    <w:p>
      <w:pPr>
        <w:pStyle w:val="SourceNote"/>
      </w:pPr>
      <w:r>
        <w:rPr>
          <w:b/>
        </w:rPr>
        <w:t>Group ID:</w:t>
      </w:r>
      <w:r>
        <w:t xml:space="preserve"> group-9434fd0e59879986ccf1</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Response to Comment on “Soluble Receptor for Advanced Glycation End Products and Incident Hypertension in REGARDS” — https://doi.org/10.1093/ajh/hpaf229</w:t>
      </w:r>
    </w:p>
    <w:p>
      <w:pPr/>
      <w:r>
        <w:rPr>
          <w:b/>
        </w:rPr>
        <w:t>Later source:</w:t>
      </w:r>
      <w:r>
        <w:t xml:space="preserve"> Interpretation of Second Law of Thermodynamics in Extended Procedures for the Exploitation of the Entropy Inequality: Korteweg Fluids and Strain-Gradient Elasticity as Examples — https://doi.org/10.3390/e26040293</w:t>
      </w:r>
    </w:p>
    <w:p>
      <w:pPr>
        <w:pStyle w:val="SourceNote"/>
      </w:pPr>
      <w:r>
        <w:rPr>
          <w:b/>
        </w:rPr>
        <w:t>Review status:</w:t>
      </w:r>
      <w:r>
        <w:t xml:space="preserve"> unchecked — possible relationship only</w:t>
      </w:r>
    </w:p>
    <w:p>
      <w:pPr>
        <w:pStyle w:val="Heading2"/>
      </w:pPr>
      <w:r>
        <w:t>352. Claim + two later sources: Renewable jet fuel supply scenarios in the European Union in 2021–2030 in the context of proposed biofuel policy and competing biomass demand</w:t>
      </w:r>
    </w:p>
    <w:p>
      <w:pPr>
        <w:pStyle w:val="SourceNote"/>
      </w:pPr>
      <w:r>
        <w:rPr>
          <w:b/>
        </w:rPr>
        <w:t>Group ID:</w:t>
      </w:r>
      <w:r>
        <w:t xml:space="preserve"> group-0ec5897daf286682441d</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Effects of different renewable electricity diffusion paths and restricted european cooperation on Europe's hydrogen supply — https://doi.org/10.1016/j.esr.2024.101589</w:t>
      </w:r>
    </w:p>
    <w:p>
      <w:pPr/>
      <w:r>
        <w:rPr>
          <w:b/>
        </w:rPr>
        <w:t>Later source:</w:t>
      </w:r>
      <w:r>
        <w:t xml:space="preserve"> A review of product safety regulations in the European Union — https://doi.org/10.1365/s43439-022-00057-8</w:t>
      </w:r>
    </w:p>
    <w:p>
      <w:pPr>
        <w:pStyle w:val="SourceNote"/>
      </w:pPr>
      <w:r>
        <w:rPr>
          <w:b/>
        </w:rPr>
        <w:t>Review status:</w:t>
      </w:r>
      <w:r>
        <w:t xml:space="preserve"> unchecked — possible relationship only</w:t>
      </w:r>
    </w:p>
    <w:p>
      <w:pPr>
        <w:pStyle w:val="Heading2"/>
      </w:pPr>
      <w:r>
        <w:t>353. Claim + two later sources: Making sense of the future: visions and transition pathways of laypeople and professionals from six EU countries</w:t>
      </w:r>
    </w:p>
    <w:p>
      <w:pPr>
        <w:pStyle w:val="SourceNote"/>
      </w:pPr>
      <w:r>
        <w:rPr>
          <w:b/>
        </w:rPr>
        <w:t>Group ID:</w:t>
      </w:r>
      <w:r>
        <w:t xml:space="preserve"> group-26a277e0abd549e7ce97</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Evaluation of Operational Performance of Major European International Airports with Data Envelopment — https://doi.org/10.30518/jav.1639240</w:t>
      </w:r>
    </w:p>
    <w:p>
      <w:pPr>
        <w:pStyle w:val="SourceNote"/>
      </w:pPr>
      <w:r>
        <w:rPr>
          <w:b/>
        </w:rPr>
        <w:t>Review status:</w:t>
      </w:r>
      <w:r>
        <w:t xml:space="preserve"> unchecked — possible relationship only</w:t>
      </w:r>
    </w:p>
    <w:p>
      <w:pPr>
        <w:pStyle w:val="Heading2"/>
      </w:pPr>
      <w:r>
        <w:t>354.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355. Claim + two later sources: Futurescapes: expectations in Europe for relative effectiveness evidence for drugs in 2020</w:t>
      </w:r>
    </w:p>
    <w:p>
      <w:pPr>
        <w:pStyle w:val="SourceNote"/>
      </w:pPr>
      <w:r>
        <w:rPr>
          <w:b/>
        </w:rPr>
        <w:t>Group ID:</w:t>
      </w:r>
      <w:r>
        <w:t xml:space="preserve"> group-76b0be7333c039703bcd</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Seasonal Climate Change in Europe Over the Last Thousand Years as a Social Challenge — https://doi.org/10.1093/acrefore/9780190228620.013.980</w:t>
      </w:r>
    </w:p>
    <w:p>
      <w:pPr/>
      <w:r>
        <w:rPr>
          <w:b/>
        </w:rPr>
        <w:t>Later source:</w:t>
      </w:r>
      <w:r>
        <w:t xml:space="preserve"> A Governance Analysis of BEFIT: How the Member States’ Wish to Obtain more Regulatory Authority is Driving a Revolution — https://doi.org/10.54648/ecta2023025</w:t>
      </w:r>
    </w:p>
    <w:p>
      <w:pPr>
        <w:pStyle w:val="SourceNote"/>
      </w:pPr>
      <w:r>
        <w:rPr>
          <w:b/>
        </w:rPr>
        <w:t>Review status:</w:t>
      </w:r>
      <w:r>
        <w:t xml:space="preserve"> unchecked — possible relationship only</w:t>
      </w:r>
    </w:p>
    <w:p>
      <w:pPr>
        <w:pStyle w:val="Heading2"/>
      </w:pPr>
      <w:r>
        <w:t>356. Claim + two later sources: The impact of EU Climate/Energy policies on Belgium’s energy dependence up to 2050</w:t>
      </w:r>
    </w:p>
    <w:p>
      <w:pPr>
        <w:pStyle w:val="SourceNote"/>
      </w:pPr>
      <w:r>
        <w:rPr>
          <w:b/>
        </w:rPr>
        <w:t>Group ID:</w:t>
      </w:r>
      <w:r>
        <w:t xml:space="preserve"> group-024463b5e1242a2c8495</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Les « groupes Medvedkine » (1967-1974), transfert tardif de la culture d’agit-prop soviétique ? — https://openalex.org/W4364379400</w:t>
      </w:r>
    </w:p>
    <w:p>
      <w:pPr/>
      <w:r>
        <w:rPr>
          <w:b/>
        </w:rPr>
        <w:t>Later source:</w:t>
      </w:r>
      <w:r>
        <w:t xml:space="preserve"> Le rôle du commerce pour une adaptation résiliente au changement climatique dans l’agriculture africaine — https://doi.org/10.3917/edd.363.0041</w:t>
      </w:r>
    </w:p>
    <w:p>
      <w:pPr>
        <w:pStyle w:val="SourceNote"/>
      </w:pPr>
      <w:r>
        <w:rPr>
          <w:b/>
        </w:rPr>
        <w:t>Review status:</w:t>
      </w:r>
      <w:r>
        <w:t xml:space="preserve"> unchecked — possible relationship only</w:t>
      </w:r>
    </w:p>
    <w:p>
      <w:pPr>
        <w:pStyle w:val="Heading2"/>
      </w:pPr>
      <w:r>
        <w:t>357. Claim + two later sources: The Future of European Labour Law and the Right to Employability</w:t>
      </w:r>
    </w:p>
    <w:p>
      <w:pPr>
        <w:pStyle w:val="SourceNote"/>
      </w:pPr>
      <w:r>
        <w:rPr>
          <w:b/>
        </w:rPr>
        <w:t>Group ID:</w:t>
      </w:r>
      <w:r>
        <w:t xml:space="preserve"> group-41f32b49dc5cf2b95b64</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Guiding AI in radiology: ESR’s recommendations for effective implementation of the European AI Act — https://doi.org/10.1186/s13244-025-01905-x</w:t>
      </w:r>
    </w:p>
    <w:p>
      <w:pPr/>
      <w:r>
        <w:rPr>
          <w:b/>
        </w:rPr>
        <w:t>Later source:</w:t>
      </w:r>
      <w:r>
        <w:t xml:space="preserve"> European expert recommendations on clinical investigation and evaluation of high‐risk medical devices for children — https://doi.org/10.1111/apa.16919</w:t>
      </w:r>
    </w:p>
    <w:p>
      <w:pPr>
        <w:pStyle w:val="SourceNote"/>
      </w:pPr>
      <w:r>
        <w:rPr>
          <w:b/>
        </w:rPr>
        <w:t>Review status:</w:t>
      </w:r>
      <w:r>
        <w:t xml:space="preserve"> unchecked — possible relationship only</w:t>
      </w:r>
    </w:p>
    <w:p>
      <w:pPr>
        <w:pStyle w:val="Heading2"/>
      </w:pPr>
      <w:r>
        <w:t>358. Claim + two later sources: UK-EU RELATIONSHIP AFTER BREXIT: AN EXERCISE IN SCENARIO-BUILDING</w:t>
      </w:r>
    </w:p>
    <w:p>
      <w:pPr>
        <w:pStyle w:val="SourceNote"/>
      </w:pPr>
      <w:r>
        <w:rPr>
          <w:b/>
        </w:rPr>
        <w:t>Group ID:</w:t>
      </w:r>
      <w:r>
        <w:t xml:space="preserve"> group-334bbc355d1441e0ae7b</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Unsettling mainstream academic debates on community-based energy governance: Exploring the Japanese experience — https://doi.org/10.1016/j.rser.2024.114994</w:t>
      </w:r>
    </w:p>
    <w:p>
      <w:pPr/>
      <w:r>
        <w:rPr>
          <w:b/>
        </w:rPr>
        <w:t>Later source:</w:t>
      </w:r>
      <w:r>
        <w:t xml:space="preserve"> Sustainable development in the European Union — https://doi.org/10.4324/9780429262081-25</w:t>
      </w:r>
    </w:p>
    <w:p>
      <w:pPr>
        <w:pStyle w:val="SourceNote"/>
      </w:pPr>
      <w:r>
        <w:rPr>
          <w:b/>
        </w:rPr>
        <w:t>Review status:</w:t>
      </w:r>
      <w:r>
        <w:t xml:space="preserve"> unchecked — possible relationship only</w:t>
      </w:r>
    </w:p>
    <w:p>
      <w:pPr>
        <w:pStyle w:val="Heading2"/>
      </w:pPr>
      <w:r>
        <w:t>359.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360. Claim + two later sources: Efficiency of the European Union farm types: Scenarios with and without the 2013 CAP measures</w:t>
      </w:r>
    </w:p>
    <w:p>
      <w:pPr>
        <w:pStyle w:val="SourceNote"/>
      </w:pPr>
      <w:r>
        <w:rPr>
          <w:b/>
        </w:rPr>
        <w:t>Group ID:</w:t>
      </w:r>
      <w:r>
        <w:t xml:space="preserve"> group-48684f5668d8179e2db6</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Contract Design for "Enterprise+Farmer" Sharecropping Family Farms — A Comparison of Institutional Evolution in American and French Family Farms — https://doi.org/10.62177/apemr.v3i1.1034</w:t>
      </w:r>
    </w:p>
    <w:p>
      <w:pPr/>
      <w:r>
        <w:rPr>
          <w:b/>
        </w:rPr>
        <w:t>Later source:</w:t>
      </w:r>
      <w:r>
        <w:t xml:space="preserve"> ANALYSIS OF FARMS IN ROMANIA IN THE CONTEXT OF THE EUROPEAN UNION — https://doi.org/10.46793/zbiep25.153ms</w:t>
      </w:r>
    </w:p>
    <w:p>
      <w:pPr>
        <w:pStyle w:val="SourceNote"/>
      </w:pPr>
      <w:r>
        <w:rPr>
          <w:b/>
        </w:rPr>
        <w:t>Review status:</w:t>
      </w:r>
      <w:r>
        <w:t xml:space="preserve"> unchecked — possible relationship only</w:t>
      </w:r>
    </w:p>
    <w:p>
      <w:pPr>
        <w:pStyle w:val="Heading2"/>
      </w:pPr>
      <w:r>
        <w:t>361. Claim + two later sources: Towards a decarbonised building stock by 2050: The meaning and the role of zero emission buildings (ZEBs) in Europe</w:t>
      </w:r>
    </w:p>
    <w:p>
      <w:pPr>
        <w:pStyle w:val="SourceNote"/>
      </w:pPr>
      <w:r>
        <w:rPr>
          <w:b/>
        </w:rPr>
        <w:t>Group ID:</w:t>
      </w:r>
      <w:r>
        <w:t xml:space="preserve"> group-2da713d83f2607caeff2</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A BIM–LCA Framework for Whole-Life Carbon Assessment Under EPBD: Scope Alignment, Functional Unit Robustness, and Cross-Tool Validation — https://doi.org/10.3390/app16062637</w:t>
      </w:r>
    </w:p>
    <w:p>
      <w:pPr>
        <w:pStyle w:val="SourceNote"/>
      </w:pPr>
      <w:r>
        <w:rPr>
          <w:b/>
        </w:rPr>
        <w:t>Review status:</w:t>
      </w:r>
      <w:r>
        <w:t xml:space="preserve"> unchecked — possible relationship only</w:t>
      </w:r>
    </w:p>
    <w:p>
      <w:pPr>
        <w:pStyle w:val="Heading2"/>
      </w:pPr>
      <w:r>
        <w:t>362. Claim + two later sources: New European socio-economic scenarios for climate change research: operationalising concepts to extend the shared socio-economic pathways</w:t>
      </w:r>
    </w:p>
    <w:p>
      <w:pPr>
        <w:pStyle w:val="SourceNote"/>
      </w:pPr>
      <w:r>
        <w:rPr>
          <w:b/>
        </w:rPr>
        <w:t>Group ID:</w:t>
      </w:r>
      <w:r>
        <w:t xml:space="preserve"> group-cb8e05d69feb7dfd4cf3</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Scaling Decision‐Support Tools to Promote Soil Health: Insights From Stakeholders in Europe and Turkey — https://doi.org/10.1111/ejss.70113</w:t>
      </w:r>
    </w:p>
    <w:p>
      <w:pPr/>
      <w:r>
        <w:rPr>
          <w:b/>
        </w:rPr>
        <w:t>Later source:</w:t>
      </w:r>
      <w:r>
        <w:t xml:space="preserve"> Understanding and simulating cropland and non-cropland burning in Europe using the BASE (Burnt Area Simulator for Europe) model — https://doi.org/10.5194/bg-21-5539-2024</w:t>
      </w:r>
    </w:p>
    <w:p>
      <w:pPr>
        <w:pStyle w:val="SourceNote"/>
      </w:pPr>
      <w:r>
        <w:rPr>
          <w:b/>
        </w:rPr>
        <w:t>Review status:</w:t>
      </w:r>
      <w:r>
        <w:t xml:space="preserve"> unchecked — possible relationship only</w:t>
      </w:r>
    </w:p>
    <w:p>
      <w:pPr>
        <w:pStyle w:val="Heading2"/>
      </w:pPr>
      <w:r>
        <w:t>363. Claim + two later sources: On European metropolisation scenarios and the future course of metropolitan development in Poland</w:t>
      </w:r>
    </w:p>
    <w:p>
      <w:pPr>
        <w:pStyle w:val="SourceNote"/>
      </w:pPr>
      <w:r>
        <w:rPr>
          <w:b/>
        </w:rPr>
        <w:t>Group ID:</w:t>
      </w:r>
      <w:r>
        <w:t xml:space="preserve"> group-20f2343f59e97488d66b</w:t>
      </w:r>
    </w:p>
    <w:p>
      <w:pPr>
        <w:pStyle w:val="SourceNote"/>
      </w:pPr>
      <w:r>
        <w:rPr>
          <w:b/>
        </w:rPr>
        <w:t>Original source:</w:t>
      </w:r>
      <w:r>
        <w:t xml:space="preserve"> https://doi.org/10.7163/gpol.0008</w:t>
      </w:r>
    </w:p>
    <w:p>
      <w:pPr/>
      <w:r>
        <w:rPr>
          <w:b/>
        </w:rPr>
        <w:t>Original future claim:</w:t>
      </w:r>
      <w:r>
        <w:t xml:space="preserve">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Later source:</w:t>
      </w:r>
      <w:r>
        <w:t xml:space="preserve"> Was there no alternative? Socialist debates and reform projects in late Cold War Europe and beyond — https://doi.org/10.1080/13507486.2025.2605543</w:t>
      </w:r>
    </w:p>
    <w:p>
      <w:pPr/>
      <w:r>
        <w:rPr>
          <w:b/>
        </w:rPr>
        <w:t>Later source:</w:t>
      </w:r>
      <w:r>
        <w:t xml:space="preserve"> Regulatory barriers and incentives for alternative proteins in the European Union and Australia–New Zealand — https://doi.org/10.1108/bfj-06-2024-0650</w:t>
      </w:r>
    </w:p>
    <w:p>
      <w:pPr>
        <w:pStyle w:val="SourceNote"/>
      </w:pPr>
      <w:r>
        <w:rPr>
          <w:b/>
        </w:rPr>
        <w:t>Review status:</w:t>
      </w:r>
      <w:r>
        <w:t xml:space="preserve"> unchecked — possible relationship only</w:t>
      </w:r>
    </w:p>
    <w:p>
      <w:pPr>
        <w:pStyle w:val="Heading2"/>
      </w:pPr>
      <w:r>
        <w:t>364. Claim + two later sources: Convergence of Population Structures of the European Union Member States—The Past and the Future</w:t>
      </w:r>
    </w:p>
    <w:p>
      <w:pPr>
        <w:pStyle w:val="SourceNote"/>
      </w:pPr>
      <w:r>
        <w:rPr>
          <w:b/>
        </w:rPr>
        <w:t>Group ID:</w:t>
      </w:r>
      <w:r>
        <w:t xml:space="preserve"> group-9f52cd2605f5cdbc3c1b</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Different shades of demographic change : the uneven nature of population loss in Europe — https://openalex.org/W7134715160</w:t>
      </w:r>
    </w:p>
    <w:p>
      <w:pPr/>
      <w:r>
        <w:rPr>
          <w:b/>
        </w:rPr>
        <w:t>Later source:</w:t>
      </w:r>
      <w:r>
        <w:t xml:space="preserve"> Forecasting circular economy indicators: A Machine Learning study of European Union member states — https://doi.org/10.1016/j.jclepro.2026.147982</w:t>
      </w:r>
    </w:p>
    <w:p>
      <w:pPr>
        <w:pStyle w:val="SourceNote"/>
      </w:pPr>
      <w:r>
        <w:rPr>
          <w:b/>
        </w:rPr>
        <w:t>Review status:</w:t>
      </w:r>
      <w:r>
        <w:t xml:space="preserve"> unchecked — possible relationship only</w:t>
      </w:r>
    </w:p>
    <w:p>
      <w:pPr>
        <w:pStyle w:val="Heading2"/>
      </w:pPr>
      <w:r>
        <w:t>365. Claim + two later sources: More green infrastructure is required to maintain ecosystem services under current trends in land-use change in Europe</w:t>
      </w:r>
    </w:p>
    <w:p>
      <w:pPr>
        <w:pStyle w:val="SourceNote"/>
      </w:pPr>
      <w:r>
        <w:rPr>
          <w:b/>
        </w:rPr>
        <w:t>Group ID:</w:t>
      </w:r>
      <w:r>
        <w:t xml:space="preserve"> group-d1e359d72ce0b675772d</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Citizens Panels: Assessing their Legitimacy and Meaning for the European Commission — https://openalex.org/W7222989255</w:t>
      </w:r>
    </w:p>
    <w:p>
      <w:pPr/>
      <w:r>
        <w:rPr>
          <w:b/>
        </w:rPr>
        <w:t>Later source:</w:t>
      </w:r>
      <w:r>
        <w:t xml:space="preserve"> Assessment of New Climate And Energy Targets for the Baltic States — https://doi.org/10.5709/ce.1897-9254.563</w:t>
      </w:r>
    </w:p>
    <w:p>
      <w:pPr>
        <w:pStyle w:val="SourceNote"/>
      </w:pPr>
      <w:r>
        <w:rPr>
          <w:b/>
        </w:rPr>
        <w:t>Review status:</w:t>
      </w:r>
      <w:r>
        <w:t xml:space="preserve"> unchecked — possible relationship only</w:t>
      </w:r>
    </w:p>
    <w:p>
      <w:pPr>
        <w:pStyle w:val="Heading2"/>
      </w:pPr>
      <w:r>
        <w:t>366. Claim + two later sources: Finland-Russia rail transport deregulation: future scenarios of market development</w:t>
      </w:r>
    </w:p>
    <w:p>
      <w:pPr>
        <w:pStyle w:val="SourceNote"/>
      </w:pPr>
      <w:r>
        <w:rPr>
          <w:b/>
        </w:rPr>
        <w:t>Group ID:</w:t>
      </w:r>
      <w:r>
        <w:t xml:space="preserve"> group-03abd0295d71d0f4693e</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Kinds, Essences, and Natures — https://doi.org/10.4324/9781315709604-14</w:t>
      </w:r>
    </w:p>
    <w:p>
      <w:pPr/>
      <w:r>
        <w:rPr>
          <w:b/>
        </w:rPr>
        <w:t>Later source:</w:t>
      </w:r>
      <w:r>
        <w:t xml:space="preserve"> Spatial Patterns in Actual Evapotranspiration Climatologies for Europe — https://doi.org/10.3390/rs13122410</w:t>
      </w:r>
    </w:p>
    <w:p>
      <w:pPr>
        <w:pStyle w:val="SourceNote"/>
      </w:pPr>
      <w:r>
        <w:rPr>
          <w:b/>
        </w:rPr>
        <w:t>Review status:</w:t>
      </w:r>
      <w:r>
        <w:t xml:space="preserve"> unchecked — possible relationship only</w:t>
      </w:r>
    </w:p>
    <w:p>
      <w:pPr>
        <w:pStyle w:val="Heading2"/>
      </w:pPr>
      <w:r>
        <w:t>367. Claim + two later sources: Futuribles of learning 2030 - Delphi supports the reform of the core curricula in Finland</w:t>
      </w:r>
    </w:p>
    <w:p>
      <w:pPr>
        <w:pStyle w:val="SourceNote"/>
      </w:pPr>
      <w:r>
        <w:rPr>
          <w:b/>
        </w:rPr>
        <w:t>Group ID:</w:t>
      </w:r>
      <w:r>
        <w:t xml:space="preserve"> group-fe03aae0b34e8ad1b632</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A Review of the AGE Barometer 2023: EU Good Practices and Barriers in the Empowerment of Elderly in the Labour Market - The Case of Hungary — https://doi.org/10.47225/mg/15/42/14315</w:t>
      </w:r>
    </w:p>
    <w:p>
      <w:pPr/>
      <w:r>
        <w:rPr>
          <w:b/>
        </w:rPr>
        <w:t>Later source:</w:t>
      </w:r>
      <w:r>
        <w:t xml:space="preserve"> COVID-19 and schooling: evaluation, assessment and accountability in times of crises—reacting quickly to explore key issues for policy, practice and research with the school barometer — https://doi.org/10.1007/s11092-020-09322-y</w:t>
      </w:r>
    </w:p>
    <w:p>
      <w:pPr>
        <w:pStyle w:val="SourceNote"/>
      </w:pPr>
      <w:r>
        <w:rPr>
          <w:b/>
        </w:rPr>
        <w:t>Review status:</w:t>
      </w:r>
      <w:r>
        <w:t xml:space="preserve"> unchecked — possible relationship only</w:t>
      </w:r>
    </w:p>
    <w:p>
      <w:pPr>
        <w:pStyle w:val="Heading2"/>
      </w:pPr>
      <w:r>
        <w:t>368. Claim + two later sources: Making or breaking climate targets: The AMPERE study on staged accession scenarios for climate policy</w:t>
      </w:r>
    </w:p>
    <w:p>
      <w:pPr>
        <w:pStyle w:val="SourceNote"/>
      </w:pPr>
      <w:r>
        <w:rPr>
          <w:b/>
        </w:rPr>
        <w:t>Group ID:</w:t>
      </w:r>
      <w:r>
        <w:t xml:space="preserve"> group-a657f4522af15e274d25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China Image Construction during the Covid-19 Epidemic: Multimodal Discourse Analysis based on the China-Related Front Cover of The Economist — https://doi.org/10.61935/asder.1.1.2023.p194</w:t>
      </w:r>
    </w:p>
    <w:p>
      <w:pPr>
        <w:pStyle w:val="SourceNote"/>
      </w:pPr>
      <w:r>
        <w:rPr>
          <w:b/>
        </w:rPr>
        <w:t>Review status:</w:t>
      </w:r>
      <w:r>
        <w:t xml:space="preserve"> unchecked — possible relationship only</w:t>
      </w:r>
    </w:p>
    <w:p>
      <w:pPr>
        <w:pStyle w:val="Heading2"/>
      </w:pPr>
      <w:r>
        <w:t>369.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370. Claim + two later sources: Potential for hydrogen and Power-to-Liquid in a low-carbon EU energy system using cost optimization</w:t>
      </w:r>
    </w:p>
    <w:p>
      <w:pPr>
        <w:pStyle w:val="SourceNote"/>
      </w:pPr>
      <w:r>
        <w:rPr>
          <w:b/>
        </w:rPr>
        <w:t>Group ID:</w:t>
      </w:r>
      <w:r>
        <w:t xml:space="preserve"> group-ab6d8c5114719b4177ae</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Can a wealth tax reduce CO2 emissions in Europe? — https://doi.org/10.1016/j.ecolecon.2026.109231</w:t>
      </w:r>
    </w:p>
    <w:p>
      <w:pPr/>
      <w:r>
        <w:rPr>
          <w:b/>
        </w:rPr>
        <w:t>Later source:</w:t>
      </w:r>
      <w:r>
        <w:t xml:space="preserve"> Regional Pathways to Internationalization: The Role of Erasmus+ in European HEIs — https://doi.org/10.3390/urbansci9050144</w:t>
      </w:r>
    </w:p>
    <w:p>
      <w:pPr>
        <w:pStyle w:val="SourceNote"/>
      </w:pPr>
      <w:r>
        <w:rPr>
          <w:b/>
        </w:rPr>
        <w:t>Review status:</w:t>
      </w:r>
      <w:r>
        <w:t xml:space="preserve"> unchecked — possible relationship only</w:t>
      </w:r>
    </w:p>
    <w:p>
      <w:pPr>
        <w:pStyle w:val="Heading2"/>
      </w:pPr>
      <w:r>
        <w:t>371. Claim + two later sources: Multi-model ensemble simulations of olive pollen distribution in Europe in 2014: current status and outlook</w:t>
      </w:r>
    </w:p>
    <w:p>
      <w:pPr>
        <w:pStyle w:val="SourceNote"/>
      </w:pPr>
      <w:r>
        <w:rPr>
          <w:b/>
        </w:rPr>
        <w:t>Group ID:</w:t>
      </w:r>
      <w:r>
        <w:t xml:space="preserve"> group-347ecc1d03feea40c7b1</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Factors explaining adolescents’ digital skills in Europe — https://doi.org/10.1057/s41599-025-05241-9</w:t>
      </w:r>
    </w:p>
    <w:p>
      <w:pPr/>
      <w:r>
        <w:rPr>
          <w:b/>
        </w:rPr>
        <w:t>Later source:</w:t>
      </w:r>
      <w:r>
        <w:t xml:space="preserve"> Triple Collocation-Based Uncertainty Analysis and Data Fusion of Multi-Source Evapotranspiration Data Across China — https://doi.org/10.3390/atmos15121410</w:t>
      </w:r>
    </w:p>
    <w:p>
      <w:pPr>
        <w:pStyle w:val="SourceNote"/>
      </w:pPr>
      <w:r>
        <w:rPr>
          <w:b/>
        </w:rPr>
        <w:t>Review status:</w:t>
      </w:r>
      <w:r>
        <w:t xml:space="preserve"> unchecked — possible relationship only</w:t>
      </w:r>
    </w:p>
    <w:p>
      <w:pPr>
        <w:pStyle w:val="Heading2"/>
      </w:pPr>
      <w:r>
        <w:t>372. Claim + two later sources: Policy insights and modelling challenges: The case of passenger car powertrain technology transition in the European Union</w:t>
      </w:r>
    </w:p>
    <w:p>
      <w:pPr>
        <w:pStyle w:val="SourceNote"/>
      </w:pPr>
      <w:r>
        <w:rPr>
          <w:b/>
        </w:rPr>
        <w:t>Group ID:</w:t>
      </w:r>
      <w:r>
        <w:t xml:space="preserve"> group-12409823a863944cd7de</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The Europeanization of constitutions: experience of European Union Member States in the context of Ukraine’s candidate status — https://doi.org/10.33663/0869-2491-2026-37-660-676</w:t>
      </w:r>
    </w:p>
    <w:p>
      <w:pPr/>
      <w:r>
        <w:rPr>
          <w:b/>
        </w:rPr>
        <w:t>Later source:</w:t>
      </w:r>
      <w:r>
        <w:t xml:space="preserve"> Media Policy Transfer in Europe — https://doi.org/10.1017/9781009568159.013</w:t>
      </w:r>
    </w:p>
    <w:p>
      <w:pPr>
        <w:pStyle w:val="SourceNote"/>
      </w:pPr>
      <w:r>
        <w:rPr>
          <w:b/>
        </w:rPr>
        <w:t>Review status:</w:t>
      </w:r>
      <w:r>
        <w:t xml:space="preserve"> unchecked — possible relationship only</w:t>
      </w:r>
    </w:p>
    <w:p>
      <w:pPr>
        <w:pStyle w:val="Heading2"/>
      </w:pPr>
      <w:r>
        <w:t>373. Claim + two later sources: Soil Governance in current European Union Law and in the European Green Deal</w:t>
      </w:r>
    </w:p>
    <w:p>
      <w:pPr>
        <w:pStyle w:val="SourceNote"/>
      </w:pPr>
      <w:r>
        <w:rPr>
          <w:b/>
        </w:rPr>
        <w:t>Group ID:</w:t>
      </w:r>
      <w:r>
        <w:t xml:space="preserve"> group-1d2fa38f64774551efa2</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Critical materials and manufacturing: Comparing China, the European Union, Japan, and the United States — https://doi.org/10.1016/j.rcradv.2025.200250</w:t>
      </w:r>
    </w:p>
    <w:p>
      <w:pPr/>
      <w:r>
        <w:rPr>
          <w:b/>
        </w:rPr>
        <w:t>Later source:</w:t>
      </w:r>
      <w:r>
        <w:t xml:space="preserve"> A systematic review of regulatory strategies and transparency mandates in AI regulation in Europe, the United States, and Canada — https://doi.org/10.1017/dap.2024.54</w:t>
      </w:r>
    </w:p>
    <w:p>
      <w:pPr>
        <w:pStyle w:val="SourceNote"/>
      </w:pPr>
      <w:r>
        <w:rPr>
          <w:b/>
        </w:rPr>
        <w:t>Review status:</w:t>
      </w:r>
      <w:r>
        <w:t xml:space="preserve"> unchecked — possible relationship only</w:t>
      </w:r>
    </w:p>
    <w:p>
      <w:pPr>
        <w:pStyle w:val="Heading2"/>
      </w:pPr>
      <w:r>
        <w:t>374.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group-42492d149d40a047be18</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Housing affordability and poverty in Europe: on the deteriorating position of market renters — https://doi.org/10.1017/s0047279423000703</w:t>
      </w:r>
    </w:p>
    <w:p>
      <w:pPr/>
      <w:r>
        <w:rPr>
          <w:b/>
        </w:rPr>
        <w:t>Later source:</w:t>
      </w:r>
      <w:r>
        <w:t xml:space="preserve"> Storm and fire disturbances in Europe: Distribution and trends — https://doi.org/10.1111/gcb.15679</w:t>
      </w:r>
    </w:p>
    <w:p>
      <w:pPr>
        <w:pStyle w:val="SourceNote"/>
      </w:pPr>
      <w:r>
        <w:rPr>
          <w:b/>
        </w:rPr>
        <w:t>Review status:</w:t>
      </w:r>
      <w:r>
        <w:t xml:space="preserve"> unchecked — possible relationship only</w:t>
      </w:r>
    </w:p>
    <w:p>
      <w:pPr>
        <w:pStyle w:val="Heading2"/>
      </w:pPr>
      <w:r>
        <w:t>375.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group-493a87c30fc5e2dc427c</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Varieties of Psychologization in Communist Europe — https://doi.org/10.1093/9780197773529.001.0001</w:t>
      </w:r>
    </w:p>
    <w:p>
      <w:pPr/>
      <w:r>
        <w:rPr>
          <w:b/>
        </w:rPr>
        <w:t>Later source:</w:t>
      </w:r>
      <w:r>
        <w:t xml:space="preserve"> Convergence of accounting systems through the lens of accounting theory and harmonization paradigms — https://doi.org/10.17072/1994-9960-2024-3-300-325</w:t>
      </w:r>
    </w:p>
    <w:p>
      <w:pPr>
        <w:pStyle w:val="SourceNote"/>
      </w:pPr>
      <w:r>
        <w:rPr>
          <w:b/>
        </w:rPr>
        <w:t>Review status:</w:t>
      </w:r>
      <w:r>
        <w:t xml:space="preserve"> unchecked — possible relationship only</w:t>
      </w:r>
    </w:p>
    <w:p>
      <w:pPr>
        <w:pStyle w:val="Heading2"/>
      </w:pPr>
      <w:r>
        <w:t>376. Claim + two later sources: Achieving agricultural greenhouse gas emission reductions in the EU post‐2030: What options do we have?</w:t>
      </w:r>
    </w:p>
    <w:p>
      <w:pPr>
        <w:pStyle w:val="SourceNote"/>
      </w:pPr>
      <w:r>
        <w:rPr>
          <w:b/>
        </w:rPr>
        <w:t>Group ID:</w:t>
      </w:r>
      <w:r>
        <w:t xml:space="preserve"> group-2d37cb6ad813465ff2ec</w:t>
      </w:r>
    </w:p>
    <w:p>
      <w:pPr>
        <w:pStyle w:val="SourceNote"/>
      </w:pPr>
      <w:r>
        <w:rPr>
          <w:b/>
        </w:rPr>
        <w:t>Original source:</w:t>
      </w:r>
      <w:r>
        <w:t xml:space="preserve"> https://doi.org/10.1111/reel.12448</w:t>
      </w:r>
    </w:p>
    <w:p>
      <w:pPr/>
      <w:r>
        <w:rPr>
          <w:b/>
        </w:rPr>
        <w:t>Original future claim:</w:t>
      </w:r>
      <w:r>
        <w:t xml:space="preserve">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The Regulatory Framework for Crypto-Assets in the European Union — https://doi.org/10.18616/rdhs.v9i2.10712</w:t>
      </w:r>
    </w:p>
    <w:p>
      <w:pPr/>
      <w:r>
        <w:rPr>
          <w:b/>
        </w:rPr>
        <w:t>Later source:</w:t>
      </w:r>
      <w:r>
        <w:t xml:space="preserve"> Sustainable pharmaceutical packaging under the European Union regulatory framework — https://doi.org/10.1007/s43621-026-04534-6</w:t>
      </w:r>
    </w:p>
    <w:p>
      <w:pPr>
        <w:pStyle w:val="SourceNote"/>
      </w:pPr>
      <w:r>
        <w:rPr>
          <w:b/>
        </w:rPr>
        <w:t>Review status:</w:t>
      </w:r>
      <w:r>
        <w:t xml:space="preserve"> unchecked — possible relationship only</w:t>
      </w:r>
    </w:p>
    <w:p>
      <w:pPr>
        <w:pStyle w:val="Heading2"/>
      </w:pPr>
      <w:r>
        <w:t>377. Claim + two later sources: Carrying out a multi-model integrated assessment of European energy transition pathways: Challenges and benefits</w:t>
      </w:r>
    </w:p>
    <w:p>
      <w:pPr>
        <w:pStyle w:val="SourceNote"/>
      </w:pPr>
      <w:r>
        <w:rPr>
          <w:b/>
        </w:rPr>
        <w:t>Group ID:</w:t>
      </w:r>
      <w:r>
        <w:t xml:space="preserve"> group-d928a82647782f53055d</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Frailty assessment in kidney transplantation: insights from a European survey — https://doi.org/10.1093/ckj/sfag065</w:t>
      </w:r>
    </w:p>
    <w:p>
      <w:pPr/>
      <w:r>
        <w:rPr>
          <w:b/>
        </w:rPr>
        <w:t>Later source:</w:t>
      </w:r>
      <w:r>
        <w:t xml:space="preserve"> A European framework for the assessment of digital health technologies: conceptual advances, challenges, and future directions — https://doi.org/10.3389/fdgth.2026.1809237</w:t>
      </w:r>
    </w:p>
    <w:p>
      <w:pPr>
        <w:pStyle w:val="SourceNote"/>
      </w:pPr>
      <w:r>
        <w:rPr>
          <w:b/>
        </w:rPr>
        <w:t>Review status:</w:t>
      </w:r>
      <w:r>
        <w:t xml:space="preserve"> unchecked — possible relationship only</w:t>
      </w:r>
    </w:p>
    <w:p>
      <w:pPr>
        <w:pStyle w:val="Heading2"/>
      </w:pPr>
      <w:r>
        <w:t>378.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group-7298c935e7cded879ace</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European manual on strategic culture — https://openalex.org/W7163482322</w:t>
      </w:r>
    </w:p>
    <w:p>
      <w:pPr/>
      <w:r>
        <w:rPr>
          <w:b/>
        </w:rPr>
        <w:t>Later source:</w:t>
      </w:r>
      <w:r>
        <w:t xml:space="preserve"> European strategic antinomy — https://doi.org/10.1016/j.polgeo.2026.103616</w:t>
      </w:r>
    </w:p>
    <w:p>
      <w:pPr>
        <w:pStyle w:val="SourceNote"/>
      </w:pPr>
      <w:r>
        <w:rPr>
          <w:b/>
        </w:rPr>
        <w:t>Review status:</w:t>
      </w:r>
      <w:r>
        <w:t xml:space="preserve"> unchecked — possible relationship only</w:t>
      </w:r>
    </w:p>
    <w:p>
      <w:pPr>
        <w:pStyle w:val="Heading2"/>
      </w:pPr>
      <w:r>
        <w:t>379. Claim + two later sources: Systemic Design for Policy-Making: Towards the Next Circular Regions</w:t>
      </w:r>
    </w:p>
    <w:p>
      <w:pPr>
        <w:pStyle w:val="SourceNote"/>
      </w:pPr>
      <w:r>
        <w:rPr>
          <w:b/>
        </w:rPr>
        <w:t>Group ID:</w:t>
      </w:r>
      <w:r>
        <w:t xml:space="preserve"> group-9b075c41fc6f521c488c</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Business Model Innovation for Circular Transformation in the Built Environment — https://doi.org/10.1007/978-3-032-35104-3_109</w:t>
      </w:r>
    </w:p>
    <w:p>
      <w:pPr/>
      <w:r>
        <w:rPr>
          <w:b/>
        </w:rPr>
        <w:t>Later source:</w:t>
      </w:r>
      <w:r>
        <w:t xml:space="preserve"> ECONOMIC MONITORING OF THE CIRCULAR TRANSFORMATION AS A CHALLENGE FOR MECHANICAL ENGINEERING — https://openalex.org/W7215135237</w:t>
      </w:r>
    </w:p>
    <w:p>
      <w:pPr>
        <w:pStyle w:val="SourceNote"/>
      </w:pPr>
      <w:r>
        <w:rPr>
          <w:b/>
        </w:rPr>
        <w:t>Review status:</w:t>
      </w:r>
      <w:r>
        <w:t xml:space="preserve"> unchecked — possible relationship only</w:t>
      </w:r>
    </w:p>
    <w:p>
      <w:pPr>
        <w:pStyle w:val="Heading2"/>
      </w:pPr>
      <w:r>
        <w:t>380. Claim + two later sources: O4-2.1 Foresight tackling obesities: future choices</w:t>
      </w:r>
    </w:p>
    <w:p>
      <w:pPr>
        <w:pStyle w:val="SourceNote"/>
      </w:pPr>
      <w:r>
        <w:rPr>
          <w:b/>
        </w:rPr>
        <w:t>Group ID:</w:t>
      </w:r>
      <w:r>
        <w:t xml:space="preserve"> group-8e6bc20df9e5af601c89</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Accuracy of subject-specific prediction of end-systolic time in MRI across a range of RR intervals — https://doi.org/10.1371/journal.pone.0179011</w:t>
      </w:r>
    </w:p>
    <w:p>
      <w:pPr/>
      <w:r>
        <w:rPr>
          <w:b/>
        </w:rPr>
        <w:t>Later source:</w:t>
      </w:r>
      <w:r>
        <w:t xml:space="preserve"> Muscle Synergies Facilitate Computational Prediction of Subject-Specific Walking Motions — https://doi.org/10.3389/fbioe.2016.00077</w:t>
      </w:r>
    </w:p>
    <w:p>
      <w:pPr>
        <w:pStyle w:val="SourceNote"/>
      </w:pPr>
      <w:r>
        <w:rPr>
          <w:b/>
        </w:rPr>
        <w:t>Review status:</w:t>
      </w:r>
      <w:r>
        <w:t xml:space="preserve"> unchecked — possible relationship only</w:t>
      </w:r>
    </w:p>
    <w:p>
      <w:pPr>
        <w:pStyle w:val="Heading2"/>
      </w:pPr>
      <w:r>
        <w:t>381. Claim + two later sources: A 2050 perspective on the role for carbon capture and storage in the European power system and industry sector</w:t>
      </w:r>
    </w:p>
    <w:p>
      <w:pPr>
        <w:pStyle w:val="SourceNote"/>
      </w:pPr>
      <w:r>
        <w:rPr>
          <w:b/>
        </w:rPr>
        <w:t>Group ID:</w:t>
      </w:r>
      <w:r>
        <w:t xml:space="preserve"> group-ccdc7715595be4e67ee4</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Feasible Carbon Sequestration Potential in European Agricultural Mineral Soils Through Improved Management — https://doi.org/10.1111/ejss.70357</w:t>
      </w:r>
    </w:p>
    <w:p>
      <w:pPr/>
      <w:r>
        <w:rPr>
          <w:b/>
        </w:rPr>
        <w:t>Later source:</w:t>
      </w:r>
      <w:r>
        <w:t xml:space="preserve"> Modelling of Soil Multifunctionality Across Europe — https://doi.org/10.1111/sum.70147</w:t>
      </w:r>
    </w:p>
    <w:p>
      <w:pPr>
        <w:pStyle w:val="SourceNote"/>
      </w:pPr>
      <w:r>
        <w:rPr>
          <w:b/>
        </w:rPr>
        <w:t>Review status:</w:t>
      </w:r>
      <w:r>
        <w:t xml:space="preserve"> unchecked — possible relationship only</w:t>
      </w:r>
    </w:p>
    <w:p>
      <w:pPr>
        <w:pStyle w:val="Heading2"/>
      </w:pPr>
      <w:r>
        <w:t>382. Claim + two later sources: Impact of climate change on ozone-related mortality and morbidity in Europe</w:t>
      </w:r>
    </w:p>
    <w:p>
      <w:pPr>
        <w:pStyle w:val="SourceNote"/>
      </w:pPr>
      <w:r>
        <w:rPr>
          <w:b/>
        </w:rPr>
        <w:t>Group ID:</w:t>
      </w:r>
      <w:r>
        <w:t xml:space="preserve"> group-f03a621d7d211f3c88e9</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Contact allergy to corticosteroids: Is the European baseline series sufficient? — https://doi.org/10.1111/cod.14358</w:t>
      </w:r>
    </w:p>
    <w:p>
      <w:pPr/>
      <w:r>
        <w:rPr>
          <w:b/>
        </w:rPr>
        <w:t>Later source:</w:t>
      </w:r>
      <w:r>
        <w:t xml:space="preserve"> Emerging new climate extremes over Europe — https://doi.org/10.1007/s00382-021-05917-3</w:t>
      </w:r>
    </w:p>
    <w:p>
      <w:pPr>
        <w:pStyle w:val="SourceNote"/>
      </w:pPr>
      <w:r>
        <w:rPr>
          <w:b/>
        </w:rPr>
        <w:t>Review status:</w:t>
      </w:r>
      <w:r>
        <w:t xml:space="preserve"> unchecked — possible relationship only</w:t>
      </w:r>
    </w:p>
    <w:p>
      <w:pPr>
        <w:pStyle w:val="Heading2"/>
      </w:pPr>
      <w:r>
        <w:t>383. Claim + two later sources: Perspectives from 2037—Can Environmental Impact Assessment be the Solution for an Early Consideration of Climate Change-related Impacts?</w:t>
      </w:r>
    </w:p>
    <w:p>
      <w:pPr>
        <w:pStyle w:val="SourceNote"/>
      </w:pPr>
      <w:r>
        <w:rPr>
          <w:b/>
        </w:rPr>
        <w:t>Group ID:</w:t>
      </w:r>
      <w:r>
        <w:t xml:space="preserve"> group-5864fc5c7fa04d206188</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Exploring the Narrative and Aesthetic Aspects of Huanglong Opera in Nong'an County Jilin Province China — https://doi.org/10.60027/ijsasr.2024.3930</w:t>
      </w:r>
    </w:p>
    <w:p>
      <w:pPr/>
      <w:r>
        <w:rPr>
          <w:b/>
        </w:rPr>
        <w:t>Later source:</w:t>
      </w:r>
      <w:r>
        <w:t xml:space="preserve"> Elaborating, sharing, narrating: a narrative analysis of three approaches to health communication — https://doi.org/10.1590/interface.230172</w:t>
      </w:r>
    </w:p>
    <w:p>
      <w:pPr>
        <w:pStyle w:val="SourceNote"/>
      </w:pPr>
      <w:r>
        <w:rPr>
          <w:b/>
        </w:rPr>
        <w:t>Review status:</w:t>
      </w:r>
      <w:r>
        <w:t xml:space="preserve"> unchecked — possible relationship only</w:t>
      </w:r>
    </w:p>
    <w:p>
      <w:pPr>
        <w:pStyle w:val="Heading2"/>
      </w:pPr>
      <w:r>
        <w:t>384.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385. Claim + two later sources: Forecasting turbulence in the Asian and European stock market using regime-switching models</w:t>
      </w:r>
    </w:p>
    <w:p>
      <w:pPr>
        <w:pStyle w:val="SourceNote"/>
      </w:pPr>
      <w:r>
        <w:rPr>
          <w:b/>
        </w:rPr>
        <w:t>Group ID:</w:t>
      </w:r>
      <w:r>
        <w:t xml:space="preserve"> group-9d33ff3811533c332ccf</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Early warning early action systems for invasive alien species affecting forests in Europe and Central Asia — https://openalex.org/W7164620270</w:t>
      </w:r>
    </w:p>
    <w:p>
      <w:pPr/>
      <w:r>
        <w:rPr>
          <w:b/>
        </w:rPr>
        <w:t>Later source:</w:t>
      </w:r>
      <w:r>
        <w:t xml:space="preserve"> An eXplainable early warning system to predict systemic financial crises — https://doi.org/10.1016/j.ribaf.2026.103591</w:t>
      </w:r>
    </w:p>
    <w:p>
      <w:pPr>
        <w:pStyle w:val="SourceNote"/>
      </w:pPr>
      <w:r>
        <w:rPr>
          <w:b/>
        </w:rPr>
        <w:t>Review status:</w:t>
      </w:r>
      <w:r>
        <w:t xml:space="preserve"> unchecked — possible relationship only</w:t>
      </w:r>
    </w:p>
    <w:p>
      <w:pPr>
        <w:pStyle w:val="Heading2"/>
      </w:pPr>
      <w:r>
        <w:t>386. Claim + two later sources: Modelling sustainable energy futures for the UK</w:t>
      </w:r>
    </w:p>
    <w:p>
      <w:pPr>
        <w:pStyle w:val="SourceNote"/>
      </w:pPr>
      <w:r>
        <w:rPr>
          <w:b/>
        </w:rPr>
        <w:t>Group ID:</w:t>
      </w:r>
      <w:r>
        <w:t xml:space="preserve"> group-2bd99c719c880fcaac1b</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Reducing the sign problem with line integrals — https://doi.org/10.1007/jhep02(2025)041</w:t>
      </w:r>
    </w:p>
    <w:p>
      <w:pPr/>
      <w:r>
        <w:rPr>
          <w:b/>
        </w:rPr>
        <w:t>Later source:</w:t>
      </w:r>
      <w:r>
        <w:t xml:space="preserve"> A Call to Action to Reduce the Need for a Medical Evaluation Prior to Exercise — https://doi.org/10.1249/jsr.0000000000001245</w:t>
      </w:r>
    </w:p>
    <w:p>
      <w:pPr>
        <w:pStyle w:val="SourceNote"/>
      </w:pPr>
      <w:r>
        <w:rPr>
          <w:b/>
        </w:rPr>
        <w:t>Review status:</w:t>
      </w:r>
      <w:r>
        <w:t xml:space="preserve"> unchecked — possible relationship only</w:t>
      </w:r>
    </w:p>
    <w:p>
      <w:pPr>
        <w:pStyle w:val="Heading2"/>
      </w:pPr>
      <w:r>
        <w:t>387. Claim + two later sources: Futures and foresight of Croatian cultural heritage</w:t>
      </w:r>
    </w:p>
    <w:p>
      <w:pPr>
        <w:pStyle w:val="SourceNote"/>
      </w:pPr>
      <w:r>
        <w:rPr>
          <w:b/>
        </w:rPr>
        <w:t>Group ID:</w:t>
      </w:r>
      <w:r>
        <w:t xml:space="preserve"> group-a86f1f1c66e4214918ee</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Two papal Europes: Benedict XVI, Francis and competing Christian imaginaries of Europe — https://doi.org/10.1080/14782804.2026.2718750</w:t>
      </w:r>
    </w:p>
    <w:p>
      <w:pPr/>
      <w:r>
        <w:rPr>
          <w:b/>
        </w:rPr>
        <w:t>Later source:</w:t>
      </w:r>
      <w:r>
        <w:t xml:space="preserve"> Investigating stone materials from some European cultural heritage sites for predicting future decay — https://doi.org/10.1007/s12210-024-01298-x</w:t>
      </w:r>
    </w:p>
    <w:p>
      <w:pPr>
        <w:pStyle w:val="SourceNote"/>
      </w:pPr>
      <w:r>
        <w:rPr>
          <w:b/>
        </w:rPr>
        <w:t>Review status:</w:t>
      </w:r>
      <w:r>
        <w:t xml:space="preserve"> unchecked — possible relationship only</w:t>
      </w:r>
    </w:p>
    <w:p>
      <w:pPr>
        <w:pStyle w:val="Heading2"/>
      </w:pPr>
      <w:r>
        <w:t>388. Claim + two later sources: Soft-linking of a behavioral model for transport with energy system cost optimization applied to hydrogen in EU</w:t>
      </w:r>
    </w:p>
    <w:p>
      <w:pPr>
        <w:pStyle w:val="SourceNote"/>
      </w:pPr>
      <w:r>
        <w:rPr>
          <w:b/>
        </w:rPr>
        <w:t>Group ID:</w:t>
      </w:r>
      <w:r>
        <w:t xml:space="preserve"> group-3d7048a92a72e29e04d9</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EU Energy Securitisation: Ukraine's Place in the European Energy System — https://doi.org/10.53317/2786-4774-2024-1-8</w:t>
      </w:r>
    </w:p>
    <w:p>
      <w:pPr/>
      <w:r>
        <w:rPr>
          <w:b/>
        </w:rPr>
        <w:t>Later source:</w:t>
      </w:r>
      <w:r>
        <w:t xml:space="preserve"> Investigation of European modular façade system utilizing renewable energy — https://doi.org/10.1093/ijlct/ctab101</w:t>
      </w:r>
    </w:p>
    <w:p>
      <w:pPr>
        <w:pStyle w:val="SourceNote"/>
      </w:pPr>
      <w:r>
        <w:rPr>
          <w:b/>
        </w:rPr>
        <w:t>Review status:</w:t>
      </w:r>
      <w:r>
        <w:t xml:space="preserve"> unchecked — possible relationship only</w:t>
      </w:r>
    </w:p>
    <w:p>
      <w:pPr>
        <w:pStyle w:val="Heading2"/>
      </w:pPr>
      <w:r>
        <w:t>389. Claim + two later sources: Facilitating transformative science education through futures thinking</w:t>
      </w:r>
    </w:p>
    <w:p>
      <w:pPr>
        <w:pStyle w:val="SourceNote"/>
      </w:pPr>
      <w:r>
        <w:rPr>
          <w:b/>
        </w:rPr>
        <w:t>Group ID:</w:t>
      </w:r>
      <w:r>
        <w:t xml:space="preserve"> group-c2efadae291ec355a6c2</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Using Learning Progressions to Guide AI Feedback for Science Learning — https://openalex.org/W7133571101</w:t>
      </w:r>
    </w:p>
    <w:p>
      <w:pPr/>
      <w:r>
        <w:rPr>
          <w:b/>
        </w:rPr>
        <w:t>Later source:</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pStyle w:val="SourceNote"/>
      </w:pPr>
      <w:r>
        <w:rPr>
          <w:b/>
        </w:rPr>
        <w:t>Review status:</w:t>
      </w:r>
      <w:r>
        <w:t xml:space="preserve"> unchecked — possible relationship only</w:t>
      </w:r>
    </w:p>
    <w:p>
      <w:pPr>
        <w:pStyle w:val="Heading2"/>
      </w:pPr>
      <w:r>
        <w:t>390. Claim + two later sources: TRANSPORT PROJECT EVALUATION: FEASIBILITY RISK ASSESSMENT AND SCENARIO FORECASTING</w:t>
      </w:r>
    </w:p>
    <w:p>
      <w:pPr>
        <w:pStyle w:val="SourceNote"/>
      </w:pPr>
      <w:r>
        <w:rPr>
          <w:b/>
        </w:rPr>
        <w:t>Group ID:</w:t>
      </w:r>
      <w:r>
        <w:t xml:space="preserve"> group-d2f54daaf57e64b60f3c</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India and the World Press Freedom Index: A Critical Examination of Media Freedom in the World's Largest Democracy — https://doi.org/10.5281/zenodo.21851588</w:t>
      </w:r>
    </w:p>
    <w:p>
      <w:pPr/>
      <w:r>
        <w:rPr>
          <w:b/>
        </w:rPr>
        <w:t>Later source:</w:t>
      </w:r>
      <w:r>
        <w:t xml:space="preserve"> Exploring the Potential of Innovation on Rice Straw Fluff (RSF) in Roofing System — https://doi.org/10.32722/arcee.v4i02.5235</w:t>
      </w:r>
    </w:p>
    <w:p>
      <w:pPr>
        <w:pStyle w:val="SourceNote"/>
      </w:pPr>
      <w:r>
        <w:rPr>
          <w:b/>
        </w:rPr>
        <w:t>Review status:</w:t>
      </w:r>
      <w:r>
        <w:t xml:space="preserve"> unchecked — possible relationship only</w:t>
      </w:r>
    </w:p>
    <w:p>
      <w:pPr>
        <w:pStyle w:val="Heading2"/>
      </w:pPr>
      <w:r>
        <w:t>391. Claim + two later sources: Investigating European Union Decarbonization Strategies: Evaluating the Pathway to Carbon Neutrality by 2050</w:t>
      </w:r>
    </w:p>
    <w:p>
      <w:pPr>
        <w:pStyle w:val="SourceNote"/>
      </w:pPr>
      <w:r>
        <w:rPr>
          <w:b/>
        </w:rPr>
        <w:t>Group ID:</w:t>
      </w:r>
      <w:r>
        <w:t xml:space="preserve"> group-767c9e52b7a6f5dc2da7</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Functionally rich crop rotations increase calorie and macronutrient outputs across Europe — https://doi.org/10.1038/s43016-026-01293-5</w:t>
      </w:r>
    </w:p>
    <w:p>
      <w:pPr>
        <w:pStyle w:val="SourceNote"/>
      </w:pPr>
      <w:r>
        <w:rPr>
          <w:b/>
        </w:rPr>
        <w:t>Review status:</w:t>
      </w:r>
      <w:r>
        <w:t xml:space="preserve"> unchecked — possible relationship only</w:t>
      </w:r>
    </w:p>
    <w:p>
      <w:pPr>
        <w:pStyle w:val="Heading2"/>
      </w:pPr>
      <w:r>
        <w:t>392. Claim + two later sources: The European Unions Strategic Gas Supply Options and the Prevalence of the Southern Corridor</w:t>
      </w:r>
    </w:p>
    <w:p>
      <w:pPr>
        <w:pStyle w:val="SourceNote"/>
      </w:pPr>
      <w:r>
        <w:rPr>
          <w:b/>
        </w:rPr>
        <w:t>Group ID:</w:t>
      </w:r>
      <w:r>
        <w:t xml:space="preserve"> group-10823e7f2aad67d47bad</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European Gas Market Restructuring: Interests of Importing Countries and Gas Exporting Companies — https://doi.org/10.20542/0131-2227-2023-67-8-48-59</w:t>
      </w:r>
    </w:p>
    <w:p>
      <w:pPr/>
      <w:r>
        <w:rPr>
          <w:b/>
        </w:rPr>
        <w:t>Later source:</w:t>
      </w:r>
      <w:r>
        <w:t xml:space="preserve"> European Economic impacts of cutting energy imports from Russia: A computable general equilibrium analysis — https://doi.org/10.1016/j.esr.2022.101006</w:t>
      </w:r>
    </w:p>
    <w:p>
      <w:pPr>
        <w:pStyle w:val="SourceNote"/>
      </w:pPr>
      <w:r>
        <w:rPr>
          <w:b/>
        </w:rPr>
        <w:t>Review status:</w:t>
      </w:r>
      <w:r>
        <w:t xml:space="preserve"> unchecked — possible relationship only</w:t>
      </w:r>
    </w:p>
    <w:p>
      <w:pPr>
        <w:pStyle w:val="Heading2"/>
      </w:pPr>
      <w:r>
        <w:t>393. Claim + two later sources: Comments: The Long-Term Outlook</w:t>
      </w:r>
    </w:p>
    <w:p>
      <w:pPr>
        <w:pStyle w:val="SourceNote"/>
      </w:pPr>
      <w:r>
        <w:rPr>
          <w:b/>
        </w:rPr>
        <w:t>Group ID:</w:t>
      </w:r>
      <w:r>
        <w:t xml:space="preserve"> group-903da0099fd3bd5e3f9f</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Synonymous but Significant: New Findings of Pathological Variants in Hermansky–Pudlak Syndrome — https://doi.org/10.1111/pcmr.13221</w:t>
      </w:r>
    </w:p>
    <w:p>
      <w:pPr/>
      <w:r>
        <w:rPr>
          <w:b/>
        </w:rPr>
        <w:t>Later source:</w:t>
      </w:r>
      <w:r>
        <w:t xml:space="preserve"> Still Here — https://doi.org/10.7146/ageculturehumanities.v8i.141931</w:t>
      </w:r>
    </w:p>
    <w:p>
      <w:pPr>
        <w:pStyle w:val="SourceNote"/>
      </w:pPr>
      <w:r>
        <w:rPr>
          <w:b/>
        </w:rPr>
        <w:t>Review status:</w:t>
      </w:r>
      <w:r>
        <w:t xml:space="preserve"> unchecked — possible relationship only</w:t>
      </w:r>
    </w:p>
    <w:p>
      <w:pPr>
        <w:pStyle w:val="Heading2"/>
      </w:pPr>
      <w:r>
        <w:t>394. Claim + two later sources: Climate change, extreme weather events, air pollution and respiratory health in Europe</w:t>
      </w:r>
    </w:p>
    <w:p>
      <w:pPr>
        <w:pStyle w:val="SourceNote"/>
      </w:pPr>
      <w:r>
        <w:rPr>
          <w:b/>
        </w:rPr>
        <w:t>Group ID:</w:t>
      </w:r>
      <w:r>
        <w:t xml:space="preserve"> group-d39860cc0cc2fac0b941</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The obstacles and changes in Sino-European trade routes in the twenty-first century due to climate change and geopolitical risks — https://doi.org/10.1057/s41599-026-08607-9</w:t>
      </w:r>
    </w:p>
    <w:p>
      <w:pPr>
        <w:pStyle w:val="SourceNote"/>
      </w:pPr>
      <w:r>
        <w:rPr>
          <w:b/>
        </w:rPr>
        <w:t>Review status:</w:t>
      </w:r>
      <w:r>
        <w:t xml:space="preserve"> unchecked — possible relationship only</w:t>
      </w:r>
    </w:p>
    <w:p>
      <w:pPr>
        <w:pStyle w:val="Heading2"/>
      </w:pPr>
      <w:r>
        <w:t>395. Claim + two later sources: Implementation of the 2030 sustainable development goals - affordable and clean energy in the European Union</w:t>
      </w:r>
    </w:p>
    <w:p>
      <w:pPr>
        <w:pStyle w:val="SourceNote"/>
      </w:pPr>
      <w:r>
        <w:rPr>
          <w:b/>
        </w:rPr>
        <w:t>Group ID:</w:t>
      </w:r>
      <w:r>
        <w:t xml:space="preserve"> group-fa28d16c2eb17d09d8b4</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The European protection order: the question of a predictive toolkit for the protection of victims of criminal offences — https://doi.org/10.24144/2788-6018.2024.02.109</w:t>
      </w:r>
    </w:p>
    <w:p>
      <w:pPr/>
      <w:r>
        <w:rPr>
          <w:b/>
        </w:rPr>
        <w:t>Later source:</w:t>
      </w:r>
      <w:r>
        <w:t xml:space="preserve"> Projecting traffic flows for road-based passenger transport in Europe for the analysis of climate impact — https://doi.org/10.1186/s12544-024-00652-2</w:t>
      </w:r>
    </w:p>
    <w:p>
      <w:pPr>
        <w:pStyle w:val="SourceNote"/>
      </w:pPr>
      <w:r>
        <w:rPr>
          <w:b/>
        </w:rPr>
        <w:t>Review status:</w:t>
      </w:r>
      <w:r>
        <w:t xml:space="preserve"> unchecked — possible relationship only</w:t>
      </w:r>
    </w:p>
    <w:p>
      <w:pPr>
        <w:pStyle w:val="Heading2"/>
      </w:pPr>
      <w:r>
        <w:t>396. Claim + two later sources: Focused Futures from Finland</w:t>
      </w:r>
    </w:p>
    <w:p>
      <w:pPr>
        <w:pStyle w:val="SourceNote"/>
      </w:pPr>
      <w:r>
        <w:rPr>
          <w:b/>
        </w:rPr>
        <w:t>Group ID:</w:t>
      </w:r>
      <w:r>
        <w:t xml:space="preserve"> group-d41f7bcfb10f7f3b5487</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The end of China’s romance with Central and Eastern Europe — https://doi.org/10.1177/2059436421994442</w:t>
      </w:r>
    </w:p>
    <w:p>
      <w:pPr/>
      <w:r>
        <w:rPr>
          <w:b/>
        </w:rPr>
        <w:t>Later source:</w:t>
      </w:r>
      <w:r>
        <w:t xml:space="preserve"> European Union Litigation — https://doi.org/10.1515/ercl-2021-2028</w:t>
      </w:r>
    </w:p>
    <w:p>
      <w:pPr>
        <w:pStyle w:val="SourceNote"/>
      </w:pPr>
      <w:r>
        <w:rPr>
          <w:b/>
        </w:rPr>
        <w:t>Review status:</w:t>
      </w:r>
      <w:r>
        <w:t xml:space="preserve"> unchecked — possible relationship only</w:t>
      </w:r>
    </w:p>
    <w:p>
      <w:pPr>
        <w:pStyle w:val="Heading2"/>
      </w:pPr>
      <w:r>
        <w:t>397. Claim + two later sources: On the Future(s) of Energy Communities in the German Energy Transition: A Derivation of Transformation Pathways</w:t>
      </w:r>
    </w:p>
    <w:p>
      <w:pPr>
        <w:pStyle w:val="SourceNote"/>
      </w:pPr>
      <w:r>
        <w:rPr>
          <w:b/>
        </w:rPr>
        <w:t>Group ID:</w:t>
      </w:r>
      <w:r>
        <w:t xml:space="preserve"> group-2822a38dd1dc2bdaa1ab</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The Changing Liberal World Order : Transatlantic Relations, Europe and Central Europe — https://openalex.org/W7213382557</w:t>
      </w:r>
    </w:p>
    <w:p>
      <w:pPr/>
      <w:r>
        <w:rPr>
          <w:b/>
        </w:rPr>
        <w:t>Later source:</w:t>
      </w:r>
      <w:r>
        <w:t xml:space="preserve"> The European Union: A Sui Generis Legal Order: Prospects for Development — https://doi.org/10.54237/profnet.2025.azsvlbffde_6</w:t>
      </w:r>
    </w:p>
    <w:p>
      <w:pPr>
        <w:pStyle w:val="SourceNote"/>
      </w:pPr>
      <w:r>
        <w:rPr>
          <w:b/>
        </w:rPr>
        <w:t>Review status:</w:t>
      </w:r>
      <w:r>
        <w:t xml:space="preserve"> unchecked — possible relationship only</w:t>
      </w:r>
    </w:p>
    <w:p>
      <w:pPr>
        <w:pStyle w:val="Heading2"/>
      </w:pPr>
      <w:r>
        <w:t>398. Claim + two later sources: Strategic European Integration Scenarios of Ukrainian and Polish Research, Education and Innovation Spaces</w:t>
      </w:r>
    </w:p>
    <w:p>
      <w:pPr>
        <w:pStyle w:val="SourceNote"/>
      </w:pPr>
      <w:r>
        <w:rPr>
          <w:b/>
        </w:rPr>
        <w:t>Group ID:</w:t>
      </w:r>
      <w:r>
        <w:t xml:space="preserve"> group-fdd4fcc5cc849bd4666b</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From Reaction to Foresight: EUPHA’s vision for health security in Europe — https://doi.org/10.1093/eurpub/ckaf071</w:t>
      </w:r>
    </w:p>
    <w:p>
      <w:pPr/>
      <w:r>
        <w:rPr>
          <w:b/>
        </w:rPr>
        <w:t>Later source:</w:t>
      </w:r>
      <w:r>
        <w:t xml:space="preserve"> Foresight on Demand (FoD) Impact of the COVID-19 Pandemic on European Consumer Behaviour - Foresight Study — https://openalex.org/W7137724443</w:t>
      </w:r>
    </w:p>
    <w:p>
      <w:pPr>
        <w:pStyle w:val="SourceNote"/>
      </w:pPr>
      <w:r>
        <w:rPr>
          <w:b/>
        </w:rPr>
        <w:t>Review status:</w:t>
      </w:r>
      <w:r>
        <w:t xml:space="preserve"> unchecked — possible relationship only</w:t>
      </w:r>
    </w:p>
    <w:p>
      <w:pPr>
        <w:pStyle w:val="Heading2"/>
      </w:pPr>
      <w:r>
        <w:t>399. Claim + two later sources: A new approach on renewable energy as a support for regional economic development among the European Union</w:t>
      </w:r>
    </w:p>
    <w:p>
      <w:pPr>
        <w:pStyle w:val="SourceNote"/>
      </w:pPr>
      <w:r>
        <w:rPr>
          <w:b/>
        </w:rPr>
        <w:t>Group ID:</w:t>
      </w:r>
      <w:r>
        <w:t xml:space="preserve"> group-032779807a1a03249143</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Measuring Governance-Enabled Sustainability in Central and Eastern Europe: Development of a Corporate Governance–Sustainability Index (CGSI–CEE) — https://doi.org/10.3390/su18073350</w:t>
      </w:r>
    </w:p>
    <w:p>
      <w:pPr>
        <w:pStyle w:val="SourceNote"/>
      </w:pPr>
      <w:r>
        <w:rPr>
          <w:b/>
        </w:rPr>
        <w:t>Review status:</w:t>
      </w:r>
      <w:r>
        <w:t xml:space="preserve"> unchecked — possible relationship only</w:t>
      </w:r>
    </w:p>
    <w:p>
      <w:pPr>
        <w:pStyle w:val="Heading2"/>
      </w:pPr>
      <w:r>
        <w:t>400. Claim + two later sources: Foresighting addiction and lifestyles in Europe 2030+</w:t>
      </w:r>
    </w:p>
    <w:p>
      <w:pPr>
        <w:pStyle w:val="SourceNote"/>
      </w:pPr>
      <w:r>
        <w:rPr>
          <w:b/>
        </w:rPr>
        <w:t>Group ID:</w:t>
      </w:r>
      <w:r>
        <w:t xml:space="preserve"> group-0a3aeebdc97192058cdf</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Drug use and access to drug dependency services for vulnerable migrants who use drugs in the European Union: Consensus statements and recommendations from civil society experts in Europe — https://doi.org/10.1016/j.drugpo.2023.104087</w:t>
      </w:r>
    </w:p>
    <w:p>
      <w:pPr/>
      <w:r>
        <w:rPr>
          <w:b/>
        </w:rPr>
        <w:t>Later source:</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pStyle w:val="SourceNote"/>
      </w:pPr>
      <w:r>
        <w:rPr>
          <w:b/>
        </w:rPr>
        <w:t>Review status:</w:t>
      </w:r>
      <w:r>
        <w:t xml:space="preserve"> unchecked — possible relationship only</w:t>
      </w:r>
    </w:p>
    <w:p>
      <w:pPr>
        <w:pStyle w:val="Heading2"/>
      </w:pPr>
      <w:r>
        <w:t>401. Claim + two later sources: The Future of Internationalization of Higher Education in Europe</w:t>
      </w:r>
    </w:p>
    <w:p>
      <w:pPr>
        <w:pStyle w:val="SourceNote"/>
      </w:pPr>
      <w:r>
        <w:rPr>
          <w:b/>
        </w:rPr>
        <w:t>Group ID:</w:t>
      </w:r>
      <w:r>
        <w:t xml:space="preserve"> group-a729b5540d78bf7eca7a</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Conceptualizing ‘quality of education’: an analysis of European political documents on education — https://doi.org/10.3389/feduc.2025.1463412</w:t>
      </w:r>
    </w:p>
    <w:p>
      <w:pPr/>
      <w:r>
        <w:rPr>
          <w:b/>
        </w:rPr>
        <w:t>Later source:</w:t>
      </w:r>
      <w:r>
        <w:t xml:space="preserve"> Regional Pathways to Internationalization: The Role of Erasmus+ in European HEIs — https://doi.org/10.3390/urbansci9050144</w:t>
      </w:r>
    </w:p>
    <w:p>
      <w:pPr>
        <w:pStyle w:val="SourceNote"/>
      </w:pPr>
      <w:r>
        <w:rPr>
          <w:b/>
        </w:rPr>
        <w:t>Review status:</w:t>
      </w:r>
      <w:r>
        <w:t xml:space="preserve"> unchecked — possible relationship only</w:t>
      </w:r>
    </w:p>
    <w:p>
      <w:pPr>
        <w:pStyle w:val="Heading2"/>
      </w:pPr>
      <w:r>
        <w:t>402. Claim + two later sources: Situational analysis of EU renewable energy legislation</w:t>
      </w:r>
    </w:p>
    <w:p>
      <w:pPr>
        <w:pStyle w:val="SourceNote"/>
      </w:pPr>
      <w:r>
        <w:rPr>
          <w:b/>
        </w:rPr>
        <w:t>Group ID:</w:t>
      </w:r>
      <w:r>
        <w:t xml:space="preserve"> group-0f49292921e6580ace80</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Scenario-Building Papers for Europe 2030 - INTERNAL AND EXTERNAL DYNAMICS OF EUROPEAN INTEGRATION (DEBUE). — https://doi.org/10.5281/zenodo.17566447</w:t>
      </w:r>
    </w:p>
    <w:p>
      <w:pPr/>
      <w:r>
        <w:rPr>
          <w:b/>
        </w:rPr>
        <w:t>Later source:</w:t>
      </w:r>
      <w:r>
        <w:t xml:space="preserve"> The EU Internal Market in the Next Decade – Quo Vadis? — https://doi.org/10.1163/9789004712119</w:t>
      </w:r>
    </w:p>
    <w:p>
      <w:pPr>
        <w:pStyle w:val="SourceNote"/>
      </w:pPr>
      <w:r>
        <w:rPr>
          <w:b/>
        </w:rPr>
        <w:t>Review status:</w:t>
      </w:r>
      <w:r>
        <w:t xml:space="preserve"> unchecked — possible relationship only</w:t>
      </w:r>
    </w:p>
    <w:p>
      <w:pPr>
        <w:pStyle w:val="Heading2"/>
      </w:pPr>
      <w:r>
        <w:t>403.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group-41a0cad215b6a914579d</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Was there a notion of ‘enough’ in the European Green Deal? Sufficiency in the European Union’s sustainability discourse — https://doi.org/10.1108/sampj-10-2024-1103</w:t>
      </w:r>
    </w:p>
    <w:p>
      <w:pPr/>
      <w:r>
        <w:rPr>
          <w:b/>
        </w:rPr>
        <w:t>Later source:</w:t>
      </w:r>
      <w:r>
        <w:t xml:space="preserve"> Feasible solutions for sustainable diets with adequate protein intake : modelling diets for the Netherlands and Europe — https://doi.org/10.18174/681865</w:t>
      </w:r>
    </w:p>
    <w:p>
      <w:pPr>
        <w:pStyle w:val="SourceNote"/>
      </w:pPr>
      <w:r>
        <w:rPr>
          <w:b/>
        </w:rPr>
        <w:t>Review status:</w:t>
      </w:r>
      <w:r>
        <w:t xml:space="preserve"> unchecked — possible relationship only</w:t>
      </w:r>
    </w:p>
    <w:p>
      <w:pPr>
        <w:pStyle w:val="Heading2"/>
      </w:pPr>
      <w:r>
        <w:t>404. Claim + two later sources: Grassland futures in Great Britain – Productivity assessment and scenarios for land use change opportunities</w:t>
      </w:r>
    </w:p>
    <w:p>
      <w:pPr>
        <w:pStyle w:val="SourceNote"/>
      </w:pPr>
      <w:r>
        <w:rPr>
          <w:b/>
        </w:rPr>
        <w:t>Group ID:</w:t>
      </w:r>
      <w:r>
        <w:t xml:space="preserve"> group-6c3a7e893d5b49cbbe62</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Atmospheric methane removal as a third climate intervention: termination risks and air pollutant effects — https://doi.org/10.1038/s44168-026-00398-8</w:t>
      </w:r>
    </w:p>
    <w:p>
      <w:pPr/>
      <w:r>
        <w:rPr>
          <w:b/>
        </w:rPr>
        <w:t>Later source:</w:t>
      </w:r>
      <w:r>
        <w:t xml:space="preserve"> Climate Change Effects and Mechanisms on Nutritional Quality and Technological Performance of Major Agri-Food Products: A Critical Review — https://doi.org/10.1080/87559129.2026.2713621</w:t>
      </w:r>
    </w:p>
    <w:p>
      <w:pPr>
        <w:pStyle w:val="SourceNote"/>
      </w:pPr>
      <w:r>
        <w:rPr>
          <w:b/>
        </w:rPr>
        <w:t>Review status:</w:t>
      </w:r>
      <w:r>
        <w:t xml:space="preserve"> unchecked — possible relationship only</w:t>
      </w:r>
    </w:p>
    <w:p>
      <w:pPr>
        <w:pStyle w:val="Heading2"/>
      </w:pPr>
      <w:r>
        <w:t>405. Claim + two later sources: Demographic change and the European income distribution</w:t>
      </w:r>
    </w:p>
    <w:p>
      <w:pPr>
        <w:pStyle w:val="SourceNote"/>
      </w:pPr>
      <w:r>
        <w:rPr>
          <w:b/>
        </w:rPr>
        <w:t>Group ID:</w:t>
      </w:r>
      <w:r>
        <w:t xml:space="preserve"> group-fb6c095bd3599c0839e1</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key pillars of psychosocial disability: a European perspective on challenges and solutions — https://doi.org/10.3389/fpsyt.2025.1574301</w:t>
      </w:r>
    </w:p>
    <w:p>
      <w:pPr/>
      <w:r>
        <w:rPr>
          <w:b/>
        </w:rPr>
        <w:t>Later source:</w:t>
      </w:r>
      <w:r>
        <w:t xml:space="preserve"> Modelling the effect of context-specific greenhouse gas and nitrogen emission mitigation options in key European dairy farming systems — https://doi.org/10.1007/s13593-023-00940-6</w:t>
      </w:r>
    </w:p>
    <w:p>
      <w:pPr>
        <w:pStyle w:val="SourceNote"/>
      </w:pPr>
      <w:r>
        <w:rPr>
          <w:b/>
        </w:rPr>
        <w:t>Review status:</w:t>
      </w:r>
      <w:r>
        <w:t xml:space="preserve"> unchecked — possible relationship only</w:t>
      </w:r>
    </w:p>
    <w:p>
      <w:pPr>
        <w:pStyle w:val="Heading2"/>
      </w:pPr>
      <w:r>
        <w:t>406. Claim + two later sources: A decision support system to find the best water allocation strategies in a Mediterranean river basin in future scenarios of global change</w:t>
      </w:r>
    </w:p>
    <w:p>
      <w:pPr>
        <w:pStyle w:val="SourceNote"/>
      </w:pPr>
      <w:r>
        <w:rPr>
          <w:b/>
        </w:rPr>
        <w:t>Group ID:</w:t>
      </w:r>
      <w:r>
        <w:t xml:space="preserve"> group-7be4f631ad6d1a4cfc99</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Make Any Collection Navigable: Methods for Constructing and Evaluating Hypergraph of Text — https://doi.org/10.48550/arxiv.2604.25906</w:t>
      </w:r>
    </w:p>
    <w:p>
      <w:pPr/>
      <w:r>
        <w:rPr>
          <w:b/>
        </w:rPr>
        <w:t>Later source:</w:t>
      </w:r>
      <w:r>
        <w:t xml:space="preserve"> Understanding and addressing the water footprint in the textile sector: A review — https://doi.org/10.1515/aut-2024-0004</w:t>
      </w:r>
    </w:p>
    <w:p>
      <w:pPr>
        <w:pStyle w:val="SourceNote"/>
      </w:pPr>
      <w:r>
        <w:rPr>
          <w:b/>
        </w:rPr>
        <w:t>Review status:</w:t>
      </w:r>
      <w:r>
        <w:t xml:space="preserve"> unchecked — possible relationship only</w:t>
      </w:r>
    </w:p>
    <w:p>
      <w:pPr>
        <w:pStyle w:val="Heading2"/>
      </w:pPr>
      <w:r>
        <w:t>407. Claim + two later sources: GLOBAL FORECAST OF US NATIONAL INTELLIGENCE COUNCIL</w:t>
      </w:r>
    </w:p>
    <w:p>
      <w:pPr>
        <w:pStyle w:val="SourceNote"/>
      </w:pPr>
      <w:r>
        <w:rPr>
          <w:b/>
        </w:rPr>
        <w:t>Group ID:</w:t>
      </w:r>
      <w:r>
        <w:t xml:space="preserve"> group-015127fb86d395a31d95</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Factors Affecting Long-Term Outcomes for Patients with Inflammatory Bowel Disease—A Cross-Sectional Design — https://doi.org/10.3390/nursrep15070231</w:t>
      </w:r>
    </w:p>
    <w:p>
      <w:pPr>
        <w:pStyle w:val="SourceNote"/>
      </w:pPr>
      <w:r>
        <w:rPr>
          <w:b/>
        </w:rPr>
        <w:t>Review status:</w:t>
      </w:r>
      <w:r>
        <w:t xml:space="preserve"> unchecked — possible relationship only</w:t>
      </w:r>
    </w:p>
    <w:p>
      <w:pPr>
        <w:pStyle w:val="Heading2"/>
      </w:pPr>
      <w:r>
        <w:t>408. Claim + two later sources: Prediction of population with Alzheimer's disease in the European Union using a system dynamics model</w:t>
      </w:r>
    </w:p>
    <w:p>
      <w:pPr>
        <w:pStyle w:val="SourceNote"/>
      </w:pPr>
      <w:r>
        <w:rPr>
          <w:b/>
        </w:rPr>
        <w:t>Group ID:</w:t>
      </w:r>
      <w:r>
        <w:t xml:space="preserve"> group-930216d38f6c934a0b1d</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Projected number of osteoarthritis patients in Austria for the next decades – quantifying the necessity of treatment and prevention strategies in Europe — https://doi.org/10.1186/s12891-022-05091-5</w:t>
      </w:r>
    </w:p>
    <w:p>
      <w:pPr/>
      <w:r>
        <w:rPr>
          <w:b/>
        </w:rPr>
        <w:t>Later source:</w:t>
      </w:r>
      <w:r>
        <w:t xml:space="preserve"> Effects of Immigrants, Health, and Ageing on Economic Growth in the European Union — https://doi.org/10.3390/ijerph20010224</w:t>
      </w:r>
    </w:p>
    <w:p>
      <w:pPr>
        <w:pStyle w:val="SourceNote"/>
      </w:pPr>
      <w:r>
        <w:rPr>
          <w:b/>
        </w:rPr>
        <w:t>Review status:</w:t>
      </w:r>
      <w:r>
        <w:t xml:space="preserve"> unchecked — possible relationship only</w:t>
      </w:r>
    </w:p>
    <w:p>
      <w:pPr>
        <w:pStyle w:val="Heading2"/>
      </w:pPr>
      <w:r>
        <w:t>409. Claim + two later sources: European atmosphere in 2050, a regional air quality and climate perspective under CMIP5 scenarios</w:t>
      </w:r>
    </w:p>
    <w:p>
      <w:pPr>
        <w:pStyle w:val="SourceNote"/>
      </w:pPr>
      <w:r>
        <w:rPr>
          <w:b/>
        </w:rPr>
        <w:t>Group ID:</w:t>
      </w:r>
      <w:r>
        <w:t xml:space="preserve"> group-1a9f66512272b271dc18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Climate &amp; Air Quality projections over Europe for 2030 and 2050 — https://openalex.org/W7213705154</w:t>
      </w:r>
    </w:p>
    <w:p>
      <w:pPr/>
      <w:r>
        <w:rPr>
          <w:b/>
        </w:rPr>
        <w:t>Later source:</w:t>
      </w:r>
      <w:r>
        <w:t xml:space="preserve"> Quantifying the Climate Penalty on Air Quality in Europe – Insights from INSPEnCaT Project — https://doi.org/10.5194/egusphere-egu25-17230</w:t>
      </w:r>
    </w:p>
    <w:p>
      <w:pPr>
        <w:pStyle w:val="SourceNote"/>
      </w:pPr>
      <w:r>
        <w:rPr>
          <w:b/>
        </w:rPr>
        <w:t>Review status:</w:t>
      </w:r>
      <w:r>
        <w:t xml:space="preserve"> accepted — possible relationship only</w:t>
      </w:r>
    </w:p>
    <w:p>
      <w:pPr>
        <w:pStyle w:val="Heading2"/>
      </w:pPr>
      <w:r>
        <w:t>410. Claim + two later sources: Improved Consistency of Climate Projections over Europe after Accounting for Atmospheric Circulation Variability</w:t>
      </w:r>
    </w:p>
    <w:p>
      <w:pPr>
        <w:pStyle w:val="SourceNote"/>
      </w:pPr>
      <w:r>
        <w:rPr>
          <w:b/>
        </w:rPr>
        <w:t>Group ID:</w:t>
      </w:r>
      <w:r>
        <w:t xml:space="preserve"> group-819a178a72079fea97b2</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Climatological characteristics and atmospheric circulation associated with 3D heat wave types in European regions — https://doi.org/10.5194/egusphere-egu25-9748</w:t>
      </w:r>
    </w:p>
    <w:p>
      <w:pPr>
        <w:pStyle w:val="SourceNote"/>
      </w:pPr>
      <w:r>
        <w:rPr>
          <w:b/>
        </w:rPr>
        <w:t>Review status:</w:t>
      </w:r>
      <w:r>
        <w:t xml:space="preserve"> unchecked — possible relationship only</w:t>
      </w:r>
    </w:p>
    <w:p>
      <w:pPr>
        <w:pStyle w:val="Heading2"/>
      </w:pPr>
      <w:r>
        <w:t>411. Claim + two later sources: ‘Energy landscapes’: Meeting energy demands and human aspirations</w:t>
      </w:r>
    </w:p>
    <w:p>
      <w:pPr>
        <w:pStyle w:val="SourceNote"/>
      </w:pPr>
      <w:r>
        <w:rPr>
          <w:b/>
        </w:rPr>
        <w:t>Group ID:</w:t>
      </w:r>
      <w:r>
        <w:t xml:space="preserve"> group-1973f1ca1f715d4527dc</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The effects of critical questions on undergraduate students' argumentative writing — https://doi.org/10.58088/bfrb-jk48</w:t>
      </w:r>
    </w:p>
    <w:p>
      <w:pPr/>
      <w:r>
        <w:rPr>
          <w:b/>
        </w:rPr>
        <w:t>Later source:</w:t>
      </w:r>
      <w:r>
        <w:t xml:space="preserve"> Moduli space of logarithmic states in critical massive gravities — https://doi.org/10.1140/epjc/s10052-024-12614-y</w:t>
      </w:r>
    </w:p>
    <w:p>
      <w:pPr>
        <w:pStyle w:val="SourceNote"/>
      </w:pPr>
      <w:r>
        <w:rPr>
          <w:b/>
        </w:rPr>
        <w:t>Review status:</w:t>
      </w:r>
      <w:r>
        <w:t xml:space="preserve"> unchecked — possible relationship only</w:t>
      </w:r>
    </w:p>
    <w:p>
      <w:pPr>
        <w:pStyle w:val="Heading2"/>
      </w:pPr>
      <w:r>
        <w:t>412. Claim + two later sources: Energy futures as societal futures: Co-evolutionary scenarios linking futures of society and decarbonized energy systems in Switzerland 2050</w:t>
      </w:r>
    </w:p>
    <w:p>
      <w:pPr>
        <w:pStyle w:val="SourceNote"/>
      </w:pPr>
      <w:r>
        <w:rPr>
          <w:b/>
        </w:rPr>
        <w:t>Group ID:</w:t>
      </w:r>
      <w:r>
        <w:t xml:space="preserve"> group-14a81d187a4a2da649e4</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Polyendocrine metabolic ovarian syndrome, the new name for polycystic ovary syndrome: a multistep global consensus process — https://doi.org/10.1016/s0140-6736(26)00717-8</w:t>
      </w:r>
    </w:p>
    <w:p>
      <w:pPr/>
      <w:r>
        <w:rPr>
          <w:b/>
        </w:rPr>
        <w:t>Later source:</w:t>
      </w:r>
      <w:r>
        <w:t xml:space="preserve"> Consensus-Based Resilience Assurance for System of Systems — https://doi.org/10.1109/access.2025.3535519</w:t>
      </w:r>
    </w:p>
    <w:p>
      <w:pPr>
        <w:pStyle w:val="SourceNote"/>
      </w:pPr>
      <w:r>
        <w:rPr>
          <w:b/>
        </w:rPr>
        <w:t>Review status:</w:t>
      </w:r>
      <w:r>
        <w:t xml:space="preserve"> unchecked — possible relationship only</w:t>
      </w:r>
    </w:p>
    <w:p>
      <w:pPr>
        <w:pStyle w:val="Heading2"/>
      </w:pPr>
      <w:r>
        <w:t>413. Claim + two later sources: Imaginary scenarios: Literature and Democracy in Europe</w:t>
      </w:r>
    </w:p>
    <w:p>
      <w:pPr>
        <w:pStyle w:val="SourceNote"/>
      </w:pPr>
      <w:r>
        <w:rPr>
          <w:b/>
        </w:rPr>
        <w:t>Group ID:</w:t>
      </w:r>
      <w:r>
        <w:t xml:space="preserve"> group-f6b927ab1a66985d7c1f</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European Constitutional Imaginaries — https://doi.org/10.1093/oso/9780192855480.003.0001</w:t>
      </w:r>
    </w:p>
    <w:p>
      <w:pPr/>
      <w:r>
        <w:rPr>
          <w:b/>
        </w:rPr>
        <w:t>Later source:</w:t>
      </w:r>
      <w:r>
        <w:t xml:space="preserve"> Popular imaginative geographies and Brexit: Evidence from Mass Observation — https://doi.org/10.1111/tran.12444</w:t>
      </w:r>
    </w:p>
    <w:p>
      <w:pPr>
        <w:pStyle w:val="SourceNote"/>
      </w:pPr>
      <w:r>
        <w:rPr>
          <w:b/>
        </w:rPr>
        <w:t>Review status:</w:t>
      </w:r>
      <w:r>
        <w:t xml:space="preserve"> unchecked — possible relationship only</w:t>
      </w:r>
    </w:p>
    <w:p>
      <w:pPr>
        <w:pStyle w:val="Heading2"/>
      </w:pPr>
      <w:r>
        <w:t>414. Claim + two later sources: Possible Futures towards a Wood-Based Bioeconomy: A Scenario Analysis for Germany</w:t>
      </w:r>
    </w:p>
    <w:p>
      <w:pPr>
        <w:pStyle w:val="SourceNote"/>
      </w:pPr>
      <w:r>
        <w:rPr>
          <w:b/>
        </w:rPr>
        <w:t>Group ID:</w:t>
      </w:r>
      <w:r>
        <w:t xml:space="preserve"> group-2619dca9c337a527bd65</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Economic Analysis of Fossil CO2 Emissions: A European Perspective on Sustainable Development — https://doi.org/10.3390/en18082106</w:t>
      </w:r>
    </w:p>
    <w:p>
      <w:pPr/>
      <w:r>
        <w:rPr>
          <w:b/>
        </w:rPr>
        <w:t>Later source:</w:t>
      </w:r>
      <w:r>
        <w:t xml:space="preserve"> What Factors Drive a Sustainable Energy Transition in Europe? A Data-Driven Exploration of Economic and Policy Influences — https://doi.org/10.22541/au.175883292.27456920/v1</w:t>
      </w:r>
    </w:p>
    <w:p>
      <w:pPr>
        <w:pStyle w:val="SourceNote"/>
      </w:pPr>
      <w:r>
        <w:rPr>
          <w:b/>
        </w:rPr>
        <w:t>Review status:</w:t>
      </w:r>
      <w:r>
        <w:t xml:space="preserve"> unchecked — possible relationship only</w:t>
      </w:r>
    </w:p>
    <w:p>
      <w:pPr>
        <w:pStyle w:val="Heading2"/>
      </w:pPr>
      <w:r>
        <w:t>415. Claim + two later sources: The Boundaries of Scientific Innovation in the EU Green Deal Context</w:t>
      </w:r>
    </w:p>
    <w:p>
      <w:pPr>
        <w:pStyle w:val="SourceNote"/>
      </w:pPr>
      <w:r>
        <w:rPr>
          <w:b/>
        </w:rPr>
        <w:t>Group ID:</w:t>
      </w:r>
      <w:r>
        <w:t xml:space="preserve"> group-8d3ca834278adf88eec8</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The Role of the European Parliament in Strengthening Democratic Representation in the European Union — https://doi.org/10.70670/sra.v4i1.2448</w:t>
      </w:r>
    </w:p>
    <w:p>
      <w:pPr/>
      <w:r>
        <w:rPr>
          <w:b/>
        </w:rPr>
        <w:t>Later source:</w:t>
      </w:r>
      <w:r>
        <w:t xml:space="preserve"> The New Role of the European Union and Its Global Projects — https://doi.org/10.46340/eppd.2026.13.3.2</w:t>
      </w:r>
    </w:p>
    <w:p>
      <w:pPr>
        <w:pStyle w:val="SourceNote"/>
      </w:pPr>
      <w:r>
        <w:rPr>
          <w:b/>
        </w:rPr>
        <w:t>Review status:</w:t>
      </w:r>
      <w:r>
        <w:t xml:space="preserve"> unchecked — possible relationship only</w:t>
      </w:r>
    </w:p>
    <w:p>
      <w:pPr>
        <w:pStyle w:val="Heading2"/>
      </w:pPr>
      <w:r>
        <w:t>416. Claim + two later sources: Neglected futures. Considering overlooked poverty in Europe</w:t>
      </w:r>
    </w:p>
    <w:p>
      <w:pPr>
        <w:pStyle w:val="SourceNote"/>
      </w:pPr>
      <w:r>
        <w:rPr>
          <w:b/>
        </w:rPr>
        <w:t>Group ID:</w:t>
      </w:r>
      <w:r>
        <w:t xml:space="preserve"> group-c2ffcfa342e7f8713050</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Dedicated versus mainstreaming approaches in local climate plans in Europe — https://doi.org/10.1016/j.rser.2019.05.014</w:t>
      </w:r>
    </w:p>
    <w:p>
      <w:pPr/>
      <w:r>
        <w:rPr>
          <w:b/>
        </w:rPr>
        <w:t>Later source:</w:t>
      </w:r>
      <w:r>
        <w:t xml:space="preserve"> Handbook of European Social Policy — https://doi.org/10.4337/9781783476466</w:t>
      </w:r>
    </w:p>
    <w:p>
      <w:pPr>
        <w:pStyle w:val="SourceNote"/>
      </w:pPr>
      <w:r>
        <w:rPr>
          <w:b/>
        </w:rPr>
        <w:t>Review status:</w:t>
      </w:r>
      <w:r>
        <w:t xml:space="preserve"> unchecked — possible relationship only</w:t>
      </w:r>
    </w:p>
    <w:p>
      <w:pPr>
        <w:pStyle w:val="Heading2"/>
      </w:pPr>
      <w:r>
        <w:t>417. Claim + two later sources: EUHFORIA: European heliospheric forecasting information asset</w:t>
      </w:r>
    </w:p>
    <w:p>
      <w:pPr>
        <w:pStyle w:val="SourceNote"/>
      </w:pPr>
      <w:r>
        <w:rPr>
          <w:b/>
        </w:rPr>
        <w:t>Group ID:</w:t>
      </w:r>
      <w:r>
        <w:t xml:space="preserve"> group-62ae67a767a631275fb4</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7.L. Workshop: New roles and innovative skill-mix in nursing across Europe: trends and lessons for implementation — https://doi.org/10.1093/eurpub/ckac129.446</w:t>
      </w:r>
    </w:p>
    <w:p>
      <w:pPr/>
      <w:r>
        <w:rPr>
          <w:b/>
        </w:rPr>
        <w:t>Later source:</w:t>
      </w:r>
      <w:r>
        <w:t xml:space="preserve"> The impact of Aeolus wind retrievals on ECMWF global weather forecasts — https://doi.org/10.1002/qj.4142</w:t>
      </w:r>
    </w:p>
    <w:p>
      <w:pPr>
        <w:pStyle w:val="SourceNote"/>
      </w:pPr>
      <w:r>
        <w:rPr>
          <w:b/>
        </w:rPr>
        <w:t>Review status:</w:t>
      </w:r>
      <w:r>
        <w:t xml:space="preserve"> unchecked — possible relationship only</w:t>
      </w:r>
    </w:p>
    <w:p>
      <w:pPr>
        <w:pStyle w:val="Heading2"/>
      </w:pPr>
      <w:r>
        <w:t>418. Claim + two later sources: Sociotechnical imaginaries of a secure future</w:t>
      </w:r>
    </w:p>
    <w:p>
      <w:pPr>
        <w:pStyle w:val="SourceNote"/>
      </w:pPr>
      <w:r>
        <w:rPr>
          <w:b/>
        </w:rPr>
        <w:t>Group ID:</w:t>
      </w:r>
      <w:r>
        <w:t xml:space="preserve"> group-4a67dce52fb88f7ebe56</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Electronic commerce patterns in Europe: Cluster analysis of online shopping intensity — https://doi.org/10.5937/mkng2501005b</w:t>
      </w:r>
    </w:p>
    <w:p>
      <w:pPr/>
      <w:r>
        <w:rPr>
          <w:b/>
        </w:rPr>
        <w:t>Later source:</w:t>
      </w:r>
      <w:r>
        <w:t xml:space="preserve"> Unraveling the European Agricultural Policy Sustainable Development Trajectory — https://doi.org/10.3390/land12091749</w:t>
      </w:r>
    </w:p>
    <w:p>
      <w:pPr>
        <w:pStyle w:val="SourceNote"/>
      </w:pPr>
      <w:r>
        <w:rPr>
          <w:b/>
        </w:rPr>
        <w:t>Review status:</w:t>
      </w:r>
      <w:r>
        <w:t xml:space="preserve"> unchecked — possible relationship only</w:t>
      </w:r>
    </w:p>
    <w:p>
      <w:pPr>
        <w:pStyle w:val="Heading2"/>
      </w:pPr>
      <w:r>
        <w:t>419. Claim + two later sources: Potential implications of future climate and land‐cover changes for the fate and distribution of persistent organic pollutants in Europe</w:t>
      </w:r>
    </w:p>
    <w:p>
      <w:pPr>
        <w:pStyle w:val="SourceNote"/>
      </w:pPr>
      <w:r>
        <w:rPr>
          <w:b/>
        </w:rPr>
        <w:t>Group ID:</w:t>
      </w:r>
      <w:r>
        <w:t xml:space="preserve"> group-a052efbf76726da53b52</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European land use and land cover futures: a global computable general equilibrium assessment with sub-national detail and a climate application — https://doi.org/10.48565/bonndoc-923</w:t>
      </w:r>
    </w:p>
    <w:p>
      <w:pPr/>
      <w:r>
        <w:rPr>
          <w:b/>
        </w:rPr>
        <w:t>Later source:</w:t>
      </w:r>
      <w:r>
        <w:t xml:space="preserve"> Twenty Years of Land Accounts in Europe — https://doi.org/10.3390/land13091350</w:t>
      </w:r>
    </w:p>
    <w:p>
      <w:pPr>
        <w:pStyle w:val="SourceNote"/>
      </w:pPr>
      <w:r>
        <w:rPr>
          <w:b/>
        </w:rPr>
        <w:t>Review status:</w:t>
      </w:r>
      <w:r>
        <w:t xml:space="preserve"> unchecked — possible relationship only</w:t>
      </w:r>
    </w:p>
    <w:p>
      <w:pPr>
        <w:pStyle w:val="Heading2"/>
      </w:pPr>
      <w:r>
        <w:t>420.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421. Claim + two later sources: EUropean Heliospheric FORecasting Information Asset 2.0</w:t>
      </w:r>
    </w:p>
    <w:p>
      <w:pPr>
        <w:pStyle w:val="SourceNote"/>
      </w:pPr>
      <w:r>
        <w:rPr>
          <w:b/>
        </w:rPr>
        <w:t>Group ID:</w:t>
      </w:r>
      <w:r>
        <w:t xml:space="preserve"> group-1f93d7a4c591564c9a8e</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Exploring Hybrid Forecasting Frameworks for Subseasonal Low Flow Predictions in the European Alps — https://doi.org/10.5194/egusphere-2025-3411</w:t>
      </w:r>
    </w:p>
    <w:p>
      <w:pPr/>
      <w:r>
        <w:rPr>
          <w:b/>
        </w:rPr>
        <w:t>Later source:</w:t>
      </w:r>
      <w:r>
        <w:t xml:space="preserve"> Explainable artificial intelligence for reliable water demand forecasting to increase trust in predictions — https://doi.org/10.1016/j.watres.2024.122779</w:t>
      </w:r>
    </w:p>
    <w:p>
      <w:pPr>
        <w:pStyle w:val="SourceNote"/>
      </w:pPr>
      <w:r>
        <w:rPr>
          <w:b/>
        </w:rPr>
        <w:t>Review status:</w:t>
      </w:r>
      <w:r>
        <w:t xml:space="preserve"> unchecked — possible relationship only</w:t>
      </w:r>
    </w:p>
    <w:p>
      <w:pPr>
        <w:pStyle w:val="Heading2"/>
      </w:pPr>
      <w:r>
        <w:t>422. Claim + two later sources: Application of the UK Foresight Obesity Model in Ireland: The Health and Economic Consequences of Projected Obesity Trends in Ireland</w:t>
      </w:r>
    </w:p>
    <w:p>
      <w:pPr>
        <w:pStyle w:val="SourceNote"/>
      </w:pPr>
      <w:r>
        <w:rPr>
          <w:b/>
        </w:rPr>
        <w:t>Group ID:</w:t>
      </w:r>
      <w:r>
        <w:t xml:space="preserve"> group-e9688d7200232d17476a</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Artificial Intelligence in European Healthcare — https://doi.org/10.1553/easac-feam_report_ai-in-healthcare_2026</w:t>
      </w:r>
    </w:p>
    <w:p>
      <w:pPr>
        <w:pStyle w:val="SourceNote"/>
      </w:pPr>
      <w:r>
        <w:rPr>
          <w:b/>
        </w:rPr>
        <w:t>Review status:</w:t>
      </w:r>
      <w:r>
        <w:t xml:space="preserve"> unchecked — possible relationship only</w:t>
      </w:r>
    </w:p>
    <w:p>
      <w:pPr>
        <w:pStyle w:val="Heading2"/>
      </w:pPr>
      <w:r>
        <w:t>423. Claim + two later sources: Solar Photovoltaic Electricity Generation: A Lifeline for the European Coal Regions in Transition</w:t>
      </w:r>
    </w:p>
    <w:p>
      <w:pPr>
        <w:pStyle w:val="SourceNote"/>
      </w:pPr>
      <w:r>
        <w:rPr>
          <w:b/>
        </w:rPr>
        <w:t>Group ID:</w:t>
      </w:r>
      <w:r>
        <w:t xml:space="preserve"> group-4ca6cccf55553885299a</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Empowering whose future? A European policy analysis of children in energy poverty — https://doi.org/10.1016/j.erss.2023.103328</w:t>
      </w:r>
    </w:p>
    <w:p>
      <w:pPr/>
      <w:r>
        <w:rPr>
          <w:b/>
        </w:rPr>
        <w:t>Later source:</w:t>
      </w:r>
      <w:r>
        <w:t xml:space="preserve"> UKRAINE IN THE INTERNATIONAL ENERGY COORDINATE SYSTEM — https://doi.org/10.20998/2313-8890.2023.01.04</w:t>
      </w:r>
    </w:p>
    <w:p>
      <w:pPr>
        <w:pStyle w:val="SourceNote"/>
      </w:pPr>
      <w:r>
        <w:rPr>
          <w:b/>
        </w:rPr>
        <w:t>Review status:</w:t>
      </w:r>
      <w:r>
        <w:t xml:space="preserve"> unchecked — possible relationship only</w:t>
      </w:r>
    </w:p>
    <w:p>
      <w:pPr>
        <w:pStyle w:val="Heading2"/>
      </w:pPr>
      <w:r>
        <w:t>424. Claim + two later sources: When will European Muslim population be majority and in which country?</w:t>
      </w:r>
    </w:p>
    <w:p>
      <w:pPr>
        <w:pStyle w:val="SourceNote"/>
      </w:pPr>
      <w:r>
        <w:rPr>
          <w:b/>
        </w:rPr>
        <w:t>Group ID:</w:t>
      </w:r>
      <w:r>
        <w:t xml:space="preserve"> group-cf42276fd17d0242824d</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Exploring the genetic diversity of recent Ralstonia pseudosolanacearum phylotype I findings in Europe — https://doi.org/10.1007/s10658-026-03191-9</w:t>
      </w:r>
    </w:p>
    <w:p>
      <w:pPr/>
      <w:r>
        <w:rPr>
          <w:b/>
        </w:rPr>
        <w:t>Later source:</w:t>
      </w:r>
      <w:r>
        <w:t xml:space="preserve"> CSR and cost of debt in three European countries — https://doi.org/10.1007/s43621-026-03822-5</w:t>
      </w:r>
    </w:p>
    <w:p>
      <w:pPr>
        <w:pStyle w:val="SourceNote"/>
      </w:pPr>
      <w:r>
        <w:rPr>
          <w:b/>
        </w:rPr>
        <w:t>Review status:</w:t>
      </w:r>
      <w:r>
        <w:t xml:space="preserve"> unchecked — possible relationship only</w:t>
      </w:r>
    </w:p>
    <w:p>
      <w:pPr>
        <w:pStyle w:val="Heading2"/>
      </w:pPr>
      <w:r>
        <w:t>425. Claim + two later sources: Future life expectancy in 35 industrialised countries: projections with a Bayesian model ensemble</w:t>
      </w:r>
    </w:p>
    <w:p>
      <w:pPr>
        <w:pStyle w:val="SourceNote"/>
      </w:pPr>
      <w:r>
        <w:rPr>
          <w:b/>
        </w:rPr>
        <w:t>Group ID:</w:t>
      </w:r>
      <w:r>
        <w:t xml:space="preserve"> group-21f1989e11c426a2db46</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Influence of social determinants of health in the evolution of the quality of life of older adults in Europe: A comparative analysis between men and women — https://doi.org/10.1057/s41599-024-02899-5</w:t>
      </w:r>
    </w:p>
    <w:p>
      <w:pPr/>
      <w:r>
        <w:rPr>
          <w:b/>
        </w:rPr>
        <w:t>Later source:</w:t>
      </w:r>
      <w:r>
        <w:t xml:space="preserve"> Deciphering the sex gap in global life expectancy: the impact of female-specific cancers 1990-2019 — https://doi.org/10.1093/jnci/djae191</w:t>
      </w:r>
    </w:p>
    <w:p>
      <w:pPr>
        <w:pStyle w:val="SourceNote"/>
      </w:pPr>
      <w:r>
        <w:rPr>
          <w:b/>
        </w:rPr>
        <w:t>Review status:</w:t>
      </w:r>
      <w:r>
        <w:t xml:space="preserve"> unchecked — possible relationship only</w:t>
      </w:r>
    </w:p>
    <w:p>
      <w:pPr>
        <w:pStyle w:val="Heading2"/>
      </w:pPr>
      <w:r>
        <w:t>426. Claim + two later sources: The Role of BECCS in Achieving Climate Neutrality in the European Union</w:t>
      </w:r>
    </w:p>
    <w:p>
      <w:pPr>
        <w:pStyle w:val="SourceNote"/>
      </w:pPr>
      <w:r>
        <w:rPr>
          <w:b/>
        </w:rPr>
        <w:t>Group ID:</w:t>
      </w:r>
      <w:r>
        <w:t xml:space="preserve"> group-e99ff2a608564cd9f63b</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CLIMATE NEUTRALITY IN THE EUROPEAN UNION: LEGAL CHALLENGES AND NATIONAL STRATEGIES — https://doi.org/10.17721/apmv.2025.163.1.78-85</w:t>
      </w:r>
    </w:p>
    <w:p>
      <w:pPr/>
      <w:r>
        <w:rPr>
          <w:b/>
        </w:rPr>
        <w:t>Later source:</w:t>
      </w:r>
      <w:r>
        <w:t xml:space="preserve"> Cluster Analysis of the Transition to Climate Neutrality in the European Union — https://doi.org/10.1002/sd.70064</w:t>
      </w:r>
    </w:p>
    <w:p>
      <w:pPr>
        <w:pStyle w:val="SourceNote"/>
      </w:pPr>
      <w:r>
        <w:rPr>
          <w:b/>
        </w:rPr>
        <w:t>Review status:</w:t>
      </w:r>
      <w:r>
        <w:t xml:space="preserve"> unchecked — possible relationship only</w:t>
      </w:r>
    </w:p>
    <w:p>
      <w:pPr>
        <w:pStyle w:val="Heading2"/>
      </w:pPr>
      <w:r>
        <w:t>427. Claim + two later sources: Ecosystem service provision in a changing Europe: adapting to the impacts of combined climate and socio-economic change</w:t>
      </w:r>
    </w:p>
    <w:p>
      <w:pPr>
        <w:pStyle w:val="SourceNote"/>
      </w:pPr>
      <w:r>
        <w:rPr>
          <w:b/>
        </w:rPr>
        <w:t>Group ID:</w:t>
      </w:r>
      <w:r>
        <w:t xml:space="preserve"> group-98493d400b57fde4d7dd</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Di Fant et al., Opportunity windows accelerate action and expand options for climate adaptation in Europe_Online datasets — https://doi.org/10.6084/m9.figshare.31249858</w:t>
      </w:r>
    </w:p>
    <w:p>
      <w:pPr>
        <w:pStyle w:val="SourceNote"/>
      </w:pPr>
      <w:r>
        <w:rPr>
          <w:b/>
        </w:rPr>
        <w:t>Review status:</w:t>
      </w:r>
      <w:r>
        <w:t xml:space="preserve"> unchecked — possible relationship only</w:t>
      </w:r>
    </w:p>
    <w:p>
      <w:pPr>
        <w:pStyle w:val="Heading2"/>
      </w:pPr>
      <w:r>
        <w:t>428. Claim + two later sources: Future scenarios for a depressed region of England: the role of education in creating alternative futures</w:t>
      </w:r>
    </w:p>
    <w:p>
      <w:pPr>
        <w:pStyle w:val="SourceNote"/>
      </w:pPr>
      <w:r>
        <w:rPr>
          <w:b/>
        </w:rPr>
        <w:t>Group ID:</w:t>
      </w:r>
      <w:r>
        <w:t xml:space="preserve"> group-c35799e78a69048df98a</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Relationship between Seminars and Employee Performance in Level Four Hospitals in South-Rift Region, Kenya — https://doi.org/10.47772/ijriss.2024.8100084</w:t>
      </w:r>
    </w:p>
    <w:p>
      <w:pPr>
        <w:pStyle w:val="SourceNote"/>
      </w:pPr>
      <w:r>
        <w:rPr>
          <w:b/>
        </w:rPr>
        <w:t>Review status:</w:t>
      </w:r>
      <w:r>
        <w:t xml:space="preserve"> unchecked — possible relationship only</w:t>
      </w:r>
    </w:p>
    <w:p>
      <w:pPr>
        <w:pStyle w:val="Heading2"/>
      </w:pPr>
      <w:r>
        <w:t>429. Claim + two later sources: Future mobility in an ageing society – Where are we heading?</w:t>
      </w:r>
    </w:p>
    <w:p>
      <w:pPr>
        <w:pStyle w:val="SourceNote"/>
      </w:pPr>
      <w:r>
        <w:rPr>
          <w:b/>
        </w:rPr>
        <w:t>Group ID:</w:t>
      </w:r>
      <w:r>
        <w:t xml:space="preserve"> group-36bde5ec0d0d6c999c67</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The synergy of exercise and a planned diet in mitigating oxidative stress — https://doi.org/10.22271/journalofsport.2025.v10.i1d.3043</w:t>
      </w:r>
    </w:p>
    <w:p>
      <w:pPr/>
      <w:r>
        <w:rPr>
          <w:b/>
        </w:rPr>
        <w:t>Later source:</w:t>
      </w:r>
      <w:r>
        <w:t xml:space="preserve"> Bodily maps of exercise-induced feelings — https://doi.org/10.1038/s41598-025-07246-5</w:t>
      </w:r>
    </w:p>
    <w:p>
      <w:pPr>
        <w:pStyle w:val="SourceNote"/>
      </w:pPr>
      <w:r>
        <w:rPr>
          <w:b/>
        </w:rPr>
        <w:t>Review status:</w:t>
      </w:r>
      <w:r>
        <w:t xml:space="preserve"> unchecked — possible relationship only</w:t>
      </w:r>
    </w:p>
    <w:p>
      <w:pPr>
        <w:pStyle w:val="Heading2"/>
      </w:pPr>
      <w:r>
        <w:t>430. Claim + two later sources: Long‐term trends of Nordic power market: A review</w:t>
      </w:r>
    </w:p>
    <w:p>
      <w:pPr>
        <w:pStyle w:val="SourceNote"/>
      </w:pPr>
      <w:r>
        <w:rPr>
          <w:b/>
        </w:rPr>
        <w:t>Group ID:</w:t>
      </w:r>
      <w:r>
        <w:t xml:space="preserve"> group-adade4b46d61700789a8</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Oblique Impact Response of a Silicone-Rubber-Supported Steel Plate: Analytical Scaling, Explicit Finite Element Assessment, and Energy Transfer Mechanisms — https://doi.org/10.51584/ijrias.2026.11080192</w:t>
      </w:r>
    </w:p>
    <w:p>
      <w:pPr/>
      <w:r>
        <w:rPr>
          <w:b/>
        </w:rPr>
        <w:t>Later source:</w:t>
      </w:r>
      <w:r>
        <w:t xml:space="preserve"> Robust Assessments of Lithium Mining Impacts Embodied in Global Supply Chain Require Spatially Explicit Analyses — https://doi.org/10.1021/acs.est.4c12749</w:t>
      </w:r>
    </w:p>
    <w:p>
      <w:pPr>
        <w:pStyle w:val="SourceNote"/>
      </w:pPr>
      <w:r>
        <w:rPr>
          <w:b/>
        </w:rPr>
        <w:t>Review status:</w:t>
      </w:r>
      <w:r>
        <w:t xml:space="preserve"> unchecked — possible relationship only</w:t>
      </w:r>
    </w:p>
    <w:p>
      <w:pPr>
        <w:pStyle w:val="Heading2"/>
      </w:pPr>
      <w:r>
        <w:t>431. Claim + two later sources: The Economic Impact of Investment in Renewables in Croatia by 2030</w:t>
      </w:r>
    </w:p>
    <w:p>
      <w:pPr>
        <w:pStyle w:val="SourceNote"/>
      </w:pPr>
      <w:r>
        <w:rPr>
          <w:b/>
        </w:rPr>
        <w:t>Group ID:</w:t>
      </w:r>
      <w:r>
        <w:t xml:space="preserve"> group-781f0723aa5f814e58f5</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THE HUSSITE MOVEMENT IN THE CZECH REPUBLIC — https://doi.org/10.31470/2786-8583-2024-4-105-110</w:t>
      </w:r>
    </w:p>
    <w:p>
      <w:pPr/>
      <w:r>
        <w:rPr>
          <w:b/>
        </w:rPr>
        <w:t>Later source:</w:t>
      </w:r>
      <w:r>
        <w:t xml:space="preserve"> European policy of the Republic of Türkiye: stages, priorities, transformations — https://doi.org/10.17721/2524-048x.2025.32.1</w:t>
      </w:r>
    </w:p>
    <w:p>
      <w:pPr>
        <w:pStyle w:val="SourceNote"/>
      </w:pPr>
      <w:r>
        <w:rPr>
          <w:b/>
        </w:rPr>
        <w:t>Review status:</w:t>
      </w:r>
      <w:r>
        <w:t xml:space="preserve"> unchecked — possible relationship only</w:t>
      </w:r>
    </w:p>
    <w:p>
      <w:pPr>
        <w:pStyle w:val="Heading2"/>
      </w:pPr>
      <w:r>
        <w:t>432. Claim + two later sources: Use of Counterfactual Population Projections for Assessing the Demographic Determinants of Population Ageing</w:t>
      </w:r>
    </w:p>
    <w:p>
      <w:pPr>
        <w:pStyle w:val="SourceNote"/>
      </w:pPr>
      <w:r>
        <w:rPr>
          <w:b/>
        </w:rPr>
        <w:t>Group ID:</w:t>
      </w:r>
      <w:r>
        <w:t xml:space="preserve"> group-c0f205ac91831a73c304</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Regional Disparities in Ageing and Longevity in Nepal: A Comprehensive Analysis by Province and Ecological Zone — https://doi.org/10.3126/oj.v3i4.91080</w:t>
      </w:r>
    </w:p>
    <w:p>
      <w:pPr/>
      <w:r>
        <w:rPr>
          <w:b/>
        </w:rPr>
        <w:t>Later source:</w:t>
      </w:r>
      <w:r>
        <w:t xml:space="preserve"> Inconsistent findings of ageing across different feather-quality indices in a wild passerine — https://doi.org/10.32942/x28953</w:t>
      </w:r>
    </w:p>
    <w:p>
      <w:pPr>
        <w:pStyle w:val="SourceNote"/>
      </w:pPr>
      <w:r>
        <w:rPr>
          <w:b/>
        </w:rPr>
        <w:t>Review status:</w:t>
      </w:r>
      <w:r>
        <w:t xml:space="preserve"> unchecked — possible relationship only</w:t>
      </w:r>
    </w:p>
    <w:p>
      <w:pPr>
        <w:pStyle w:val="Heading2"/>
      </w:pPr>
      <w:r>
        <w:t>433.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group-2615ace3c8f22b57913e</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Corporate foresight among small- and medium-sized enterprises in forest-based bioeconomy: conceptual framework and empirical evidence from Finland — https://doi.org/10.1139/cjfr-2025-0274</w:t>
      </w:r>
    </w:p>
    <w:p>
      <w:pPr/>
      <w:r>
        <w:rPr>
          <w:b/>
        </w:rPr>
        <w:t>Later source:</w:t>
      </w:r>
      <w:r>
        <w:t xml:space="preserve"> Anticipating tomorrow: The role of corporate foresight and prospective sensemaking in managing digital changes by established organizations — https://doi.org/10.1111/emre.70054</w:t>
      </w:r>
    </w:p>
    <w:p>
      <w:pPr>
        <w:pStyle w:val="SourceNote"/>
      </w:pPr>
      <w:r>
        <w:rPr>
          <w:b/>
        </w:rPr>
        <w:t>Review status:</w:t>
      </w:r>
      <w:r>
        <w:t xml:space="preserve"> unchecked — possible relationship only</w:t>
      </w:r>
    </w:p>
    <w:p>
      <w:pPr>
        <w:pStyle w:val="Heading2"/>
      </w:pPr>
      <w:r>
        <w:t>434. Claim + two later sources: FORECASTED TRENDS IN CHANGES OF VEGETATION IN THE EUROPEAN PART OF RUSSIA IN CONNECTION WITH GLOBAL WARMING</w:t>
      </w:r>
    </w:p>
    <w:p>
      <w:pPr>
        <w:pStyle w:val="SourceNote"/>
      </w:pPr>
      <w:r>
        <w:rPr>
          <w:b/>
        </w:rPr>
        <w:t>Group ID:</w:t>
      </w:r>
      <w:r>
        <w:t xml:space="preserve"> group-d43e205f08d0bbf37240</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Climate-Adapted Potential Vegetation—A European Multiclass Model Estimating the Future Potential of Natural Vegetation — https://doi.org/10.3390/f14020239</w:t>
      </w:r>
    </w:p>
    <w:p>
      <w:pPr/>
      <w:r>
        <w:rPr>
          <w:b/>
        </w:rPr>
        <w:t>Later source:</w:t>
      </w:r>
      <w:r>
        <w:t xml:space="preserve"> Testing the Effect of Relative Pollen Productivity on the REVEALS Model: A Validated Reconstruction of Europe-Wide Holocene Vegetation — https://doi.org/10.3390/land12050986</w:t>
      </w:r>
    </w:p>
    <w:p>
      <w:pPr>
        <w:pStyle w:val="SourceNote"/>
      </w:pPr>
      <w:r>
        <w:rPr>
          <w:b/>
        </w:rPr>
        <w:t>Review status:</w:t>
      </w:r>
      <w:r>
        <w:t xml:space="preserve"> unchecked — possible relationship only</w:t>
      </w:r>
    </w:p>
    <w:p>
      <w:pPr>
        <w:pStyle w:val="Heading2"/>
      </w:pPr>
      <w:r>
        <w:t>435. Claim + two later sources: The role of transmission and energy storage in European decarbonization towards 2050</w:t>
      </w:r>
    </w:p>
    <w:p>
      <w:pPr>
        <w:pStyle w:val="SourceNote"/>
      </w:pPr>
      <w:r>
        <w:rPr>
          <w:b/>
        </w:rPr>
        <w:t>Group ID:</w:t>
      </w:r>
      <w:r>
        <w:t xml:space="preserve"> group-2ec80b56783aabfb9346</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The electricity system value of the local acceptance of onshore wind in Europe — https://openalex.org/W7148177161</w:t>
      </w:r>
    </w:p>
    <w:p>
      <w:pPr/>
      <w:r>
        <w:rPr>
          <w:b/>
        </w:rPr>
        <w:t>Later source:</w:t>
      </w:r>
      <w:r>
        <w:t xml:space="preserve"> Analysing drivers and interdependencies in European electricity markets using XAI — https://doi.org/10.48550/arxiv.2606.19118</w:t>
      </w:r>
    </w:p>
    <w:p>
      <w:pPr>
        <w:pStyle w:val="SourceNote"/>
      </w:pPr>
      <w:r>
        <w:rPr>
          <w:b/>
        </w:rPr>
        <w:t>Review status:</w:t>
      </w:r>
      <w:r>
        <w:t xml:space="preserve"> unchecked — possible relationship only</w:t>
      </w:r>
    </w:p>
    <w:p>
      <w:pPr>
        <w:pStyle w:val="Heading2"/>
      </w:pPr>
      <w:r>
        <w:t>436. Claim + two later sources: Strategies for emerging research and innovation futures</w:t>
      </w:r>
    </w:p>
    <w:p>
      <w:pPr>
        <w:pStyle w:val="SourceNote"/>
      </w:pPr>
      <w:r>
        <w:rPr>
          <w:b/>
        </w:rPr>
        <w:t>Group ID:</w:t>
      </w:r>
      <w:r>
        <w:t xml:space="preserve"> group-d734e93232bd53a1fd4b</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Summary report - Multisite-light dosimetry data set — https://doi.org/10.5281/zenodo.21238932</w:t>
      </w:r>
    </w:p>
    <w:p>
      <w:pPr/>
      <w:r>
        <w:rPr>
          <w:b/>
        </w:rPr>
        <w:t>Later source:</w:t>
      </w:r>
      <w:r>
        <w:t xml:space="preserve"> Light is Calling — https://doi.org/10.5117/9789089649966_ch06</w:t>
      </w:r>
    </w:p>
    <w:p>
      <w:pPr>
        <w:pStyle w:val="SourceNote"/>
      </w:pPr>
      <w:r>
        <w:rPr>
          <w:b/>
        </w:rPr>
        <w:t>Review status:</w:t>
      </w:r>
      <w:r>
        <w:t xml:space="preserve"> unchecked — possible relationship only</w:t>
      </w:r>
    </w:p>
    <w:p>
      <w:pPr>
        <w:pStyle w:val="Heading2"/>
      </w:pPr>
      <w:r>
        <w:t>437. Claim + two later sources: Consistent economic cross-sectoral climate change impact scenario analysis: Method and application to Austria</w:t>
      </w:r>
    </w:p>
    <w:p>
      <w:pPr>
        <w:pStyle w:val="SourceNote"/>
      </w:pPr>
      <w:r>
        <w:rPr>
          <w:b/>
        </w:rPr>
        <w:t>Group ID:</w:t>
      </w:r>
      <w:r>
        <w:t xml:space="preserve"> group-b30193ceb1cb4b0fa635</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Climate resilience of European wine regions — https://doi.org/10.1038/s41467-024-50549-w</w:t>
      </w:r>
    </w:p>
    <w:p>
      <w:pPr/>
      <w:r>
        <w:rPr>
          <w:b/>
        </w:rPr>
        <w:t>Later source:</w:t>
      </w:r>
      <w:r>
        <w:t xml:space="preserve"> The first map of crop sequence types in Europe over 2012–2018 — https://doi.org/10.5194/essd-15-5651-2023</w:t>
      </w:r>
    </w:p>
    <w:p>
      <w:pPr>
        <w:pStyle w:val="SourceNote"/>
      </w:pPr>
      <w:r>
        <w:rPr>
          <w:b/>
        </w:rPr>
        <w:t>Review status:</w:t>
      </w:r>
      <w:r>
        <w:t xml:space="preserve"> unchecked — possible relationship only</w:t>
      </w:r>
    </w:p>
    <w:p>
      <w:pPr>
        <w:pStyle w:val="Heading2"/>
      </w:pPr>
      <w:r>
        <w:t>438. Claim + two later sources: POPULATION FORECAST WITH THE DATA PROCESSING GROUP METHOD (GMDH) type NEURAL NETWORK FOR EUROPEAN UNION COUNTRIES</w:t>
      </w:r>
    </w:p>
    <w:p>
      <w:pPr>
        <w:pStyle w:val="SourceNote"/>
      </w:pPr>
      <w:r>
        <w:rPr>
          <w:b/>
        </w:rPr>
        <w:t>Group ID:</w:t>
      </w:r>
      <w:r>
        <w:t xml:space="preserve"> group-43034bb3d15eb9d834fc</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The Future of Money in Europe: Central Bank Digital Currencies? — https://openalex.org/W7215248674</w:t>
      </w:r>
    </w:p>
    <w:p>
      <w:pPr/>
      <w:r>
        <w:rPr>
          <w:b/>
        </w:rPr>
        <w:t>Later source:</w:t>
      </w:r>
      <w:r>
        <w:t xml:space="preserve"> An Analytical Approach to Comparing Actual Vs. Fundamental “Enterprise Value-to-EBITDA” Ratios on the US and European Stock Markets — https://doi.org/10.37075/faba.2025.2.08</w:t>
      </w:r>
    </w:p>
    <w:p>
      <w:pPr>
        <w:pStyle w:val="SourceNote"/>
      </w:pPr>
      <w:r>
        <w:rPr>
          <w:b/>
        </w:rPr>
        <w:t>Review status:</w:t>
      </w:r>
      <w:r>
        <w:t xml:space="preserve"> unchecked — possible relationship only</w:t>
      </w:r>
    </w:p>
    <w:p>
      <w:pPr>
        <w:pStyle w:val="Heading2"/>
      </w:pPr>
      <w:r>
        <w:t>439.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group-1e9e785c924904fbaf49</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Key сhallenges of EU environmental law arising from the European Green Deal — https://doi.org/10.24144/2307-3322.2026.94.2.29</w:t>
      </w:r>
    </w:p>
    <w:p>
      <w:pPr/>
      <w:r>
        <w:rPr>
          <w:b/>
        </w:rPr>
        <w:t>Later source:</w:t>
      </w:r>
      <w:r>
        <w:t xml:space="preserve"> European ATM Key Performance Metrics Evolution — https://doi.org/10.35116/aa.2024.0006</w:t>
      </w:r>
    </w:p>
    <w:p>
      <w:pPr>
        <w:pStyle w:val="SourceNote"/>
      </w:pPr>
      <w:r>
        <w:rPr>
          <w:b/>
        </w:rPr>
        <w:t>Review status:</w:t>
      </w:r>
      <w:r>
        <w:t xml:space="preserve"> unchecked — possible relationship only</w:t>
      </w:r>
    </w:p>
    <w:p>
      <w:pPr>
        <w:pStyle w:val="Heading2"/>
      </w:pPr>
      <w:r>
        <w:t>440. Claim + two later sources: The future of polarisation in Europe: relative cosmopolitanism and democracy</w:t>
      </w:r>
    </w:p>
    <w:p>
      <w:pPr>
        <w:pStyle w:val="SourceNote"/>
      </w:pPr>
      <w:r>
        <w:rPr>
          <w:b/>
        </w:rPr>
        <w:t>Group ID:</w:t>
      </w:r>
      <w:r>
        <w:t xml:space="preserve"> group-952eb4b9d6e10b02862a</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Polarisation beyond the Pandemic? — https://doi.org/10.17570/stj.2024.v10n1.18</w:t>
      </w:r>
    </w:p>
    <w:p>
      <w:pPr/>
      <w:r>
        <w:rPr>
          <w:b/>
        </w:rPr>
        <w:t>Later source:</w:t>
      </w:r>
      <w:r>
        <w:t xml:space="preserve"> Navigating Polarisation Malta’s two-party dynamics in the 2024 EU elections — https://doi.org/10.3917/e.poeu.086.0184</w:t>
      </w:r>
    </w:p>
    <w:p>
      <w:pPr>
        <w:pStyle w:val="SourceNote"/>
      </w:pPr>
      <w:r>
        <w:rPr>
          <w:b/>
        </w:rPr>
        <w:t>Review status:</w:t>
      </w:r>
      <w:r>
        <w:t xml:space="preserve"> unchecked — possible relationship only</w:t>
      </w:r>
    </w:p>
    <w:p>
      <w:pPr>
        <w:pStyle w:val="Heading2"/>
      </w:pPr>
      <w:r>
        <w:t>441. Claim + two later sources: Energy Scenario Analysis for the Nordic Transport Sector: A Critical Review</w:t>
      </w:r>
    </w:p>
    <w:p>
      <w:pPr>
        <w:pStyle w:val="SourceNote"/>
      </w:pPr>
      <w:r>
        <w:rPr>
          <w:b/>
        </w:rPr>
        <w:t>Group ID:</w:t>
      </w:r>
      <w:r>
        <w:t xml:space="preserve"> group-72c402caac072e01490b</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Downstream Diversification of Critical Mineral-Rich Countries — https://doi.org/10.1007/978-3-032-06139-3_1</w:t>
      </w:r>
    </w:p>
    <w:p>
      <w:pPr/>
      <w:r>
        <w:rPr>
          <w:b/>
        </w:rPr>
        <w:t>Later source:</w:t>
      </w:r>
      <w:r>
        <w:t xml:space="preserve"> Rethinking Economic Policies: Diversification and Governance Strategies to Address the Resource Curse in Mineral‐Rich Economies — https://doi.org/10.1111/nrm.70011</w:t>
      </w:r>
    </w:p>
    <w:p>
      <w:pPr>
        <w:pStyle w:val="SourceNote"/>
      </w:pPr>
      <w:r>
        <w:rPr>
          <w:b/>
        </w:rPr>
        <w:t>Review status:</w:t>
      </w:r>
      <w:r>
        <w:t xml:space="preserve"> unchecked — possible relationship only</w:t>
      </w:r>
    </w:p>
    <w:p>
      <w:pPr>
        <w:pStyle w:val="Heading2"/>
      </w:pPr>
      <w:r>
        <w:t>442. Claim + two later sources: Delphi Prospection on Additive Manufacturing in 2030: Implications for Education and Employment in Spain</w:t>
      </w:r>
    </w:p>
    <w:p>
      <w:pPr>
        <w:pStyle w:val="SourceNote"/>
      </w:pPr>
      <w:r>
        <w:rPr>
          <w:b/>
        </w:rPr>
        <w:t>Group ID:</w:t>
      </w:r>
      <w:r>
        <w:t xml:space="preserve"> group-199d430037c3a4011789</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Spain — https://doi.org/10.4324/9780429263736-8</w:t>
      </w:r>
    </w:p>
    <w:p>
      <w:pPr/>
      <w:r>
        <w:rPr>
          <w:b/>
        </w:rPr>
        <w:t>Later source:</w:t>
      </w:r>
      <w:r>
        <w:t xml:space="preserve"> EUROPEAN LONGITUDE PRIZES. I: LONGITUDE DETERMINATION IN THE SPANISH EMPIRE — https://doi.org/10.3724/sp.j.1440-2807.2020.03.03</w:t>
      </w:r>
    </w:p>
    <w:p>
      <w:pPr>
        <w:pStyle w:val="SourceNote"/>
      </w:pPr>
      <w:r>
        <w:rPr>
          <w:b/>
        </w:rPr>
        <w:t>Review status:</w:t>
      </w:r>
      <w:r>
        <w:t xml:space="preserve"> unchecked — possible relationship only</w:t>
      </w:r>
    </w:p>
    <w:p>
      <w:pPr>
        <w:pStyle w:val="Heading2"/>
      </w:pPr>
      <w:r>
        <w:t>443. Claim + two later sources: Suitability of European climate for the Asian tiger mosquito Aedes albopictus : recent trends and future scenarios</w:t>
      </w:r>
    </w:p>
    <w:p>
      <w:pPr>
        <w:pStyle w:val="SourceNote"/>
      </w:pPr>
      <w:r>
        <w:rPr>
          <w:b/>
        </w:rPr>
        <w:t>Group ID:</w:t>
      </w:r>
      <w:r>
        <w:t xml:space="preserve"> group-136f28e8ade7e787bc17</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Trends in Air Pollution in Europe, 2000–2019 — https://doi.org/10.4209/aaqr.230237</w:t>
      </w:r>
    </w:p>
    <w:p>
      <w:pPr/>
      <w:r>
        <w:rPr>
          <w:b/>
        </w:rPr>
        <w:t>Later source:</w:t>
      </w:r>
      <w:r>
        <w:t xml:space="preserve"> Youth Sport Participation Trends Across Europe: Implications for Policy and Practice — https://doi.org/10.1080/02701367.2022.2148623</w:t>
      </w:r>
    </w:p>
    <w:p>
      <w:pPr>
        <w:pStyle w:val="SourceNote"/>
      </w:pPr>
      <w:r>
        <w:rPr>
          <w:b/>
        </w:rPr>
        <w:t>Review status:</w:t>
      </w:r>
      <w:r>
        <w:t xml:space="preserve"> unchecked — possible relationship only</w:t>
      </w:r>
    </w:p>
    <w:p>
      <w:pPr>
        <w:pStyle w:val="Heading2"/>
      </w:pPr>
      <w:r>
        <w:t>444. Claim + two later sources: OPERATIONAL EARTHQUAKE FORECASTING. State of Knowledge and Guidelines for Utilization</w:t>
      </w:r>
    </w:p>
    <w:p>
      <w:pPr>
        <w:pStyle w:val="SourceNote"/>
      </w:pPr>
      <w:r>
        <w:rPr>
          <w:b/>
        </w:rPr>
        <w:t>Group ID:</w:t>
      </w:r>
      <w:r>
        <w:t xml:space="preserve"> group-77d8c9ca1efb52305029</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Modelling of the long-term evolution and performance of engineered barrier system — https://doi.org/10.1051/epjn/2022038</w:t>
      </w:r>
    </w:p>
    <w:p>
      <w:pPr>
        <w:pStyle w:val="SourceNote"/>
      </w:pPr>
      <w:r>
        <w:rPr>
          <w:b/>
        </w:rPr>
        <w:t>Review status:</w:t>
      </w:r>
      <w:r>
        <w:t xml:space="preserve"> unchecked — possible relationship only</w:t>
      </w:r>
    </w:p>
    <w:p>
      <w:pPr>
        <w:pStyle w:val="Heading2"/>
      </w:pPr>
      <w:r>
        <w:t>445. Claim + two later sources: The European Health Union: European Union’s Concern about Health for All. Concepts, Definition, and Scenarios</w:t>
      </w:r>
    </w:p>
    <w:p>
      <w:pPr>
        <w:pStyle w:val="SourceNote"/>
      </w:pPr>
      <w:r>
        <w:rPr>
          <w:b/>
        </w:rPr>
        <w:t>Group ID:</w:t>
      </w:r>
      <w:r>
        <w:t xml:space="preserve"> group-bfff8d1e48898be7923f</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Bridging the gap between research and decision making: A European survey to enhance cooperation in wastewater-based epidemiology (WBE) for illicit drugs — https://doi.org/10.1016/j.puhe.2025.02.009</w:t>
      </w:r>
    </w:p>
    <w:p>
      <w:pPr/>
      <w:r>
        <w:rPr>
          <w:b/>
        </w:rPr>
        <w:t>Later source:</w:t>
      </w:r>
      <w:r>
        <w:t xml:space="preserve"> Comparison of countries in the WHO European Region according to noncommunicable disease indicators by multi-criteria decision making methods — https://doi.org/10.32552/2025.actamedica.1067</w:t>
      </w:r>
    </w:p>
    <w:p>
      <w:pPr>
        <w:pStyle w:val="SourceNote"/>
      </w:pPr>
      <w:r>
        <w:rPr>
          <w:b/>
        </w:rPr>
        <w:t>Review status:</w:t>
      </w:r>
      <w:r>
        <w:t xml:space="preserve"> unchecked — possible relationship only</w:t>
      </w:r>
    </w:p>
    <w:p>
      <w:pPr>
        <w:pStyle w:val="Heading2"/>
      </w:pPr>
      <w:r>
        <w:t>446. Claim + two later sources: Ageing population and labour productivity in Bulgaria</w:t>
      </w:r>
    </w:p>
    <w:p>
      <w:pPr>
        <w:pStyle w:val="SourceNote"/>
      </w:pPr>
      <w:r>
        <w:rPr>
          <w:b/>
        </w:rPr>
        <w:t>Group ID:</w:t>
      </w:r>
      <w:r>
        <w:t xml:space="preserve"> group-5fc5773ec90876c54807</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possible relationship only</w:t>
      </w:r>
    </w:p>
    <w:p>
      <w:pPr>
        <w:pStyle w:val="Heading2"/>
      </w:pPr>
      <w:r>
        <w:t>447. Claim + two later sources: Analysing the potential of integrating wind and solar power in Europe using spatial optimisation under various scenarios</w:t>
      </w:r>
    </w:p>
    <w:p>
      <w:pPr>
        <w:pStyle w:val="SourceNote"/>
      </w:pPr>
      <w:r>
        <w:rPr>
          <w:b/>
        </w:rPr>
        <w:t>Group ID:</w:t>
      </w:r>
      <w:r>
        <w:t xml:space="preserve"> group-37f053c96a832184b4f6</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The opportunities and potential of camelina in marginal land in Europe — https://doi.org/10.1016/j.indcrop.2024.118224</w:t>
      </w:r>
    </w:p>
    <w:p>
      <w:pPr/>
      <w:r>
        <w:rPr>
          <w:b/>
        </w:rPr>
        <w:t>Later source:</w:t>
      </w:r>
      <w:r>
        <w:t xml:space="preserve"> Disparities of Central and Eastern European Countries of European Union in innovation potential: A multi-criteria assessment — https://doi.org/10.1016/j.joitmc.2024.100282</w:t>
      </w:r>
    </w:p>
    <w:p>
      <w:pPr>
        <w:pStyle w:val="SourceNote"/>
      </w:pPr>
      <w:r>
        <w:rPr>
          <w:b/>
        </w:rPr>
        <w:t>Review status:</w:t>
      </w:r>
      <w:r>
        <w:t xml:space="preserve"> unchecked — possible relationship only</w:t>
      </w:r>
    </w:p>
    <w:p>
      <w:pPr>
        <w:pStyle w:val="Heading2"/>
      </w:pPr>
      <w:r>
        <w:t>448. Claim + two later sources: How Sustainable Development Goals interlinkages influence European Union countries’ progress towards the 2030 Agenda</w:t>
      </w:r>
    </w:p>
    <w:p>
      <w:pPr>
        <w:pStyle w:val="SourceNote"/>
      </w:pPr>
      <w:r>
        <w:rPr>
          <w:b/>
        </w:rPr>
        <w:t>Group ID:</w:t>
      </w:r>
      <w:r>
        <w:t xml:space="preserve"> group-c7f5bf8da4d3704eac9b</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Curbing the European Union’s global deforestation footprint through trade — https://doi.org/10.1080/1523908x.2025.2480696</w:t>
      </w:r>
    </w:p>
    <w:p>
      <w:pPr/>
      <w:r>
        <w:rPr>
          <w:b/>
        </w:rPr>
        <w:t>Later source:</w:t>
      </w:r>
      <w:r>
        <w:t xml:space="preserve"> Export Controls and the Green Agenda in the European Union — https://doi.org/10.1017/s0020589325000119</w:t>
      </w:r>
    </w:p>
    <w:p>
      <w:pPr>
        <w:pStyle w:val="SourceNote"/>
      </w:pPr>
      <w:r>
        <w:rPr>
          <w:b/>
        </w:rPr>
        <w:t>Review status:</w:t>
      </w:r>
      <w:r>
        <w:t xml:space="preserve"> unchecked — possible relationship only</w:t>
      </w:r>
    </w:p>
    <w:p>
      <w:pPr>
        <w:pStyle w:val="Heading2"/>
      </w:pPr>
      <w:r>
        <w:t>449. Claim + two later sources: Decoupling transport-related greenhouse gas emissions and economic growth in the European Union countries</w:t>
      </w:r>
    </w:p>
    <w:p>
      <w:pPr>
        <w:pStyle w:val="SourceNote"/>
      </w:pPr>
      <w:r>
        <w:rPr>
          <w:b/>
        </w:rPr>
        <w:t>Group ID:</w:t>
      </w:r>
      <w:r>
        <w:t xml:space="preserve"> group-41bfdb19426101bcdfb8</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A multi-model analysis of hydrogen uptake in a climate-neutral Europe — https://doi.org/10.1038/s41467-026-78681-9</w:t>
      </w:r>
    </w:p>
    <w:p>
      <w:pPr/>
      <w:r>
        <w:rPr>
          <w:b/>
        </w:rPr>
        <w:t>Later source:</w:t>
      </w:r>
      <w:r>
        <w:t xml:space="preserve"> The European Union — https://doi.org/10.1017/9781009293723.009</w:t>
      </w:r>
    </w:p>
    <w:p>
      <w:pPr>
        <w:pStyle w:val="SourceNote"/>
      </w:pPr>
      <w:r>
        <w:rPr>
          <w:b/>
        </w:rPr>
        <w:t>Review status:</w:t>
      </w:r>
      <w:r>
        <w:t xml:space="preserve"> unchecked — possible relationship only</w:t>
      </w:r>
    </w:p>
    <w:p>
      <w:pPr>
        <w:pStyle w:val="Heading2"/>
      </w:pPr>
      <w:r>
        <w:t>450. Claim + two later sources: CROATIAN RURAL FUTURES IN 2030: FOUR ALTERNATIVE SCENARIOS FOR POSTSOCIALIST COUNTRYSIDE IN THE NEWEST E.U. MEMBER STATE</w:t>
      </w:r>
    </w:p>
    <w:p>
      <w:pPr>
        <w:pStyle w:val="SourceNote"/>
      </w:pPr>
      <w:r>
        <w:rPr>
          <w:b/>
        </w:rPr>
        <w:t>Group ID:</w:t>
      </w:r>
      <w:r>
        <w:t xml:space="preserve"> group-0c39643dcf96959a74da</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Alternative Investment Funds: Regulation in European Union Law and Prospects for Implementation in Ukraine — https://doi.org/10.31359/1993-0909.2026.33.3.386</w:t>
      </w:r>
    </w:p>
    <w:p>
      <w:pPr/>
      <w:r>
        <w:rPr>
          <w:b/>
        </w:rPr>
        <w:t>Later source:</w:t>
      </w:r>
      <w:r>
        <w:t xml:space="preserve"> Right-wing and left-wing populists in the 2024 European Parliament elections in Germany: an analysis of the success of Alternative for Germany and Sahra Wagenknecht's Alliance — https://doi.org/10.31338/1641-2478pe.3.25.11</w:t>
      </w:r>
    </w:p>
    <w:p>
      <w:pPr>
        <w:pStyle w:val="SourceNote"/>
      </w:pPr>
      <w:r>
        <w:rPr>
          <w:b/>
        </w:rPr>
        <w:t>Review status:</w:t>
      </w:r>
      <w:r>
        <w:t xml:space="preserve"> unchecked — possible relationship only</w:t>
      </w:r>
    </w:p>
    <w:p>
      <w:pPr>
        <w:pStyle w:val="Heading2"/>
      </w:pPr>
      <w:r>
        <w:t>451. Claim + two later sources: Modelling street level PM 10 concentrations across Europe: source apportionment and possible futures</w:t>
      </w:r>
    </w:p>
    <w:p>
      <w:pPr>
        <w:pStyle w:val="SourceNote"/>
      </w:pPr>
      <w:r>
        <w:rPr>
          <w:b/>
        </w:rPr>
        <w:t>Group ID:</w:t>
      </w:r>
      <w:r>
        <w:t xml:space="preserve"> group-1b8b5953d2181f4f99bc</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Understanding and predicting the geographic distributions of phlebotomine sand flies in and around Europe — https://doi.org/10.1007/s10584-025-04009-z</w:t>
      </w:r>
    </w:p>
    <w:p>
      <w:pPr>
        <w:pStyle w:val="SourceNote"/>
      </w:pPr>
      <w:r>
        <w:rPr>
          <w:b/>
        </w:rPr>
        <w:t>Review status:</w:t>
      </w:r>
      <w:r>
        <w:t xml:space="preserve"> unchecked — possible relationship only</w:t>
      </w:r>
    </w:p>
    <w:p>
      <w:pPr>
        <w:pStyle w:val="Heading2"/>
      </w:pPr>
      <w:r>
        <w:t>452. Claim + two later sources: Futures of robotics. Human work in digital transformation</w:t>
      </w:r>
    </w:p>
    <w:p>
      <w:pPr>
        <w:pStyle w:val="SourceNote"/>
      </w:pPr>
      <w:r>
        <w:rPr>
          <w:b/>
        </w:rPr>
        <w:t>Group ID:</w:t>
      </w:r>
      <w:r>
        <w:t xml:space="preserve"> group-e63dccce30cf0f0b3acb</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453. Claim + two later sources: Ensemble projections of future streamflow droughts in Europe</w:t>
      </w:r>
    </w:p>
    <w:p>
      <w:pPr>
        <w:pStyle w:val="SourceNote"/>
      </w:pPr>
      <w:r>
        <w:rPr>
          <w:b/>
        </w:rPr>
        <w:t>Group ID:</w:t>
      </w:r>
      <w:r>
        <w:t xml:space="preserve"> group-433bcdebfbd571ee0a7f</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Coupling a power system model with a hydrological model improves the representation of sub-monthly hydropower flexibility — https://doi.org/10.1016/j.apenergy.2025.126694</w:t>
      </w:r>
    </w:p>
    <w:p>
      <w:pPr/>
      <w:r>
        <w:rPr>
          <w:b/>
        </w:rPr>
        <w:t>Later source:</w:t>
      </w:r>
      <w:r>
        <w:t xml:space="preserve"> Coupling hydrological and sanitation datasets to simulate wastewater-derived contamination in European rivers: Model development and calibration — https://doi.org/10.1016/j.envsoft.2024.106049</w:t>
      </w:r>
    </w:p>
    <w:p>
      <w:pPr>
        <w:pStyle w:val="SourceNote"/>
      </w:pPr>
      <w:r>
        <w:rPr>
          <w:b/>
        </w:rPr>
        <w:t>Review status:</w:t>
      </w:r>
      <w:r>
        <w:t xml:space="preserve"> unchecked — possible relationship only</w:t>
      </w:r>
    </w:p>
    <w:p>
      <w:pPr>
        <w:pStyle w:val="Heading2"/>
      </w:pPr>
      <w:r>
        <w:t>454. Claim + two later sources: Brexit deal and demographics drag on long‐term outlook</w:t>
      </w:r>
    </w:p>
    <w:p>
      <w:pPr>
        <w:pStyle w:val="SourceNote"/>
      </w:pPr>
      <w:r>
        <w:rPr>
          <w:b/>
        </w:rPr>
        <w:t>Group ID:</w:t>
      </w:r>
      <w:r>
        <w:t xml:space="preserve"> group-632bb6a8a21a3c566b0a</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Damage — https://doi.org/10.1093/he/9780198949695.003.0035</w:t>
      </w:r>
    </w:p>
    <w:p>
      <w:pPr/>
      <w:r>
        <w:rPr>
          <w:b/>
        </w:rPr>
        <w:t>Later source:</w:t>
      </w:r>
      <w:r>
        <w:t xml:space="preserve"> A Study on Trade Damage and Trade Adjustment Assistance(TAA) — https://doi.org/10.18104/kalc.2023.38.1.31</w:t>
      </w:r>
    </w:p>
    <w:p>
      <w:pPr>
        <w:pStyle w:val="SourceNote"/>
      </w:pPr>
      <w:r>
        <w:rPr>
          <w:b/>
        </w:rPr>
        <w:t>Review status:</w:t>
      </w:r>
      <w:r>
        <w:t xml:space="preserve"> unchecked — possible relationship only</w:t>
      </w:r>
    </w:p>
    <w:p>
      <w:pPr>
        <w:pStyle w:val="Heading2"/>
      </w:pPr>
      <w:r>
        <w:t>455. Claim + two later sources: Analyst earnings forecast revision activity around profit warnings across four European countries</w:t>
      </w:r>
    </w:p>
    <w:p>
      <w:pPr>
        <w:pStyle w:val="SourceNote"/>
      </w:pPr>
      <w:r>
        <w:rPr>
          <w:b/>
        </w:rPr>
        <w:t>Group ID:</w:t>
      </w:r>
      <w:r>
        <w:t xml:space="preserve"> group-cf43ae99c513a0dcf1ca</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The effect of ESG disclosure on firm value in the European context — https://doi.org/10.1108/md-10-2024-2480</w:t>
      </w:r>
    </w:p>
    <w:p>
      <w:pPr/>
      <w:r>
        <w:rPr>
          <w:b/>
        </w:rPr>
        <w:t>Later source:</w:t>
      </w:r>
      <w:r>
        <w:t xml:space="preserve"> Artificial Intelligence (AI): Educational Implications, Limitations and Future of Learning in Higher Education in Oyo State — https://doi.org/10.52589/bjeldp-vjwdllek</w:t>
      </w:r>
    </w:p>
    <w:p>
      <w:pPr>
        <w:pStyle w:val="SourceNote"/>
      </w:pPr>
      <w:r>
        <w:rPr>
          <w:b/>
        </w:rPr>
        <w:t>Review status:</w:t>
      </w:r>
      <w:r>
        <w:t xml:space="preserve"> unchecked — possible relationship only</w:t>
      </w:r>
    </w:p>
    <w:p>
      <w:pPr>
        <w:pStyle w:val="Heading2"/>
      </w:pPr>
      <w:r>
        <w:t>456. Claim + two later sources: A multi-model, multi-scenario, and multi-domain analysis of regional climate projections for the Mediterranean</w:t>
      </w:r>
    </w:p>
    <w:p>
      <w:pPr>
        <w:pStyle w:val="SourceNote"/>
      </w:pPr>
      <w:r>
        <w:rPr>
          <w:b/>
        </w:rPr>
        <w:t>Group ID:</w:t>
      </w:r>
      <w:r>
        <w:t xml:space="preserve"> group-2eafb43bfa5f2f46961d</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Designing integrated and resilient multi-energy systems via multi-objective optimization and scenario analysis — https://doi.org/10.1016/j.apenergy.2025.125281</w:t>
      </w:r>
    </w:p>
    <w:p>
      <w:pPr/>
      <w:r>
        <w:rPr>
          <w:b/>
        </w:rPr>
        <w:t>Later source:</w:t>
      </w:r>
      <w:r>
        <w:t xml:space="preserve"> Designing integrated and resilient multi-energy systems via multi-objective optimization and scenario analysis — https://doi.org/10.5194/egusphere-egu24-3162</w:t>
      </w:r>
    </w:p>
    <w:p>
      <w:pPr>
        <w:pStyle w:val="SourceNote"/>
      </w:pPr>
      <w:r>
        <w:rPr>
          <w:b/>
        </w:rPr>
        <w:t>Review status:</w:t>
      </w:r>
      <w:r>
        <w:t xml:space="preserve"> unchecked — possible relationship only</w:t>
      </w:r>
    </w:p>
    <w:p>
      <w:pPr>
        <w:pStyle w:val="Heading2"/>
      </w:pPr>
      <w:r>
        <w:t>457. Claim + two later sources: A comparison of low carbon investment needs between China and Europe in stringent climate policy scenarios</w:t>
      </w:r>
    </w:p>
    <w:p>
      <w:pPr>
        <w:pStyle w:val="SourceNote"/>
      </w:pPr>
      <w:r>
        <w:rPr>
          <w:b/>
        </w:rPr>
        <w:t>Group ID:</w:t>
      </w:r>
      <w:r>
        <w:t xml:space="preserve"> group-ac8432ba447e2ee18be0</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The micro-macro interplay of economic factors in late-life loneliness: Evidence from Europe and China — https://doi.org/10.3389/fpubh.2022.968411</w:t>
      </w:r>
    </w:p>
    <w:p>
      <w:pPr>
        <w:pStyle w:val="SourceNote"/>
      </w:pPr>
      <w:r>
        <w:rPr>
          <w:b/>
        </w:rPr>
        <w:t>Review status:</w:t>
      </w:r>
      <w:r>
        <w:t xml:space="preserve"> unchecked — possible relationship only</w:t>
      </w:r>
    </w:p>
    <w:p>
      <w:pPr>
        <w:pStyle w:val="Heading2"/>
      </w:pPr>
      <w:r>
        <w:t>458. Claim + two later sources: Will we reach the Sustainable Development Goals target for tuberculosis in the European Union/European Economic Area by 2030?</w:t>
      </w:r>
    </w:p>
    <w:p>
      <w:pPr>
        <w:pStyle w:val="SourceNote"/>
      </w:pPr>
      <w:r>
        <w:rPr>
          <w:b/>
        </w:rPr>
        <w:t>Group ID:</w:t>
      </w:r>
      <w:r>
        <w:t xml:space="preserve"> group-6e573a75b5c7d2718ea5</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Predicted decline in common bird and butterfly species even under conservation policy scenarios in Europe — https://doi.org/10.1038/s41559-026-03139-6</w:t>
      </w:r>
    </w:p>
    <w:p>
      <w:pPr/>
      <w:r>
        <w:rPr>
          <w:b/>
        </w:rPr>
        <w:t>Later source:</w:t>
      </w:r>
      <w:r>
        <w:t xml:space="preserve"> Growth decline in European beech associated with temperature-driven increase in reproductive allocation — https://doi.org/10.1073/pnas.2423181122</w:t>
      </w:r>
    </w:p>
    <w:p>
      <w:pPr>
        <w:pStyle w:val="SourceNote"/>
      </w:pPr>
      <w:r>
        <w:rPr>
          <w:b/>
        </w:rPr>
        <w:t>Review status:</w:t>
      </w:r>
      <w:r>
        <w:t xml:space="preserve"> unchecked — possible relationship only</w:t>
      </w:r>
    </w:p>
    <w:p>
      <w:pPr>
        <w:pStyle w:val="Heading2"/>
      </w:pPr>
      <w:r>
        <w:t>459. Claim + two later sources: Wood utilization scenarios and their sustainability impacts in Finland</w:t>
      </w:r>
    </w:p>
    <w:p>
      <w:pPr>
        <w:pStyle w:val="SourceNote"/>
      </w:pPr>
      <w:r>
        <w:rPr>
          <w:b/>
        </w:rPr>
        <w:t>Group ID:</w:t>
      </w:r>
      <w:r>
        <w:t xml:space="preserve"> group-e825d7d0c80972d38b16</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European green bonds, carbon tax and crowding-out: The economic, social and environmental impacts of the EU's green investments under different financing scenarios — https://doi.org/10.1016/j.rser.2025.115330</w:t>
      </w:r>
    </w:p>
    <w:p>
      <w:pPr/>
      <w:r>
        <w:rPr>
          <w:b/>
        </w:rPr>
        <w:t>Later source:</w:t>
      </w:r>
      <w:r>
        <w:t xml:space="preserve"> Promoting the European Sustainable Firm: How Economic, Social, and Green Innovation and the AI‐Based Technologies Create Pathways of Social and Environmental Sustainability — https://doi.org/10.1002/bse.70068</w:t>
      </w:r>
    </w:p>
    <w:p>
      <w:pPr>
        <w:pStyle w:val="SourceNote"/>
      </w:pPr>
      <w:r>
        <w:rPr>
          <w:b/>
        </w:rPr>
        <w:t>Review status:</w:t>
      </w:r>
      <w:r>
        <w:t xml:space="preserve"> unchecked — possible relationship only</w:t>
      </w:r>
    </w:p>
    <w:p>
      <w:pPr>
        <w:pStyle w:val="Heading2"/>
      </w:pPr>
      <w:r>
        <w:t>460. Claim + two later sources: South East Europe electricity roadmap – modelling energy transition in the electricity sectors</w:t>
      </w:r>
    </w:p>
    <w:p>
      <w:pPr>
        <w:pStyle w:val="SourceNote"/>
      </w:pPr>
      <w:r>
        <w:rPr>
          <w:b/>
        </w:rPr>
        <w:t>Group ID:</w:t>
      </w:r>
      <w:r>
        <w:t xml:space="preserve"> group-80cd25d55c96c43fb569</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Unveiling the environmental impact of earthquakes in Europe — https://doi.org/10.1038/s41467-025-68120-6</w:t>
      </w:r>
    </w:p>
    <w:p>
      <w:pPr/>
      <w:r>
        <w:rPr>
          <w:b/>
        </w:rPr>
        <w:t>Later source:</w:t>
      </w:r>
      <w:r>
        <w:t xml:space="preserve"> Challenges in the micropropagation of economically important fruit species in Europe — https://doi.org/10.1007/s11240-025-03165-5</w:t>
      </w:r>
    </w:p>
    <w:p>
      <w:pPr>
        <w:pStyle w:val="SourceNote"/>
      </w:pPr>
      <w:r>
        <w:rPr>
          <w:b/>
        </w:rPr>
        <w:t>Review status:</w:t>
      </w:r>
      <w:r>
        <w:t xml:space="preserve"> unchecked — possible relationship only</w:t>
      </w:r>
    </w:p>
    <w:p>
      <w:pPr>
        <w:pStyle w:val="Heading2"/>
      </w:pPr>
      <w:r>
        <w:t>461. Claim + two later sources: European Scenario Studies on Future In-Stream Nutrient Concentrations</w:t>
      </w:r>
    </w:p>
    <w:p>
      <w:pPr>
        <w:pStyle w:val="SourceNote"/>
      </w:pPr>
      <w:r>
        <w:rPr>
          <w:b/>
        </w:rPr>
        <w:t>Group ID:</w:t>
      </w:r>
      <w:r>
        <w:t xml:space="preserve"> group-551c1a8ad862c974dccc</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Industrial pollutant releases to water in Europe (2010-2024) — https://doi.org/10.2909/898d92dd-b70d-42c1-956f-8e90f78c7952</w:t>
      </w:r>
    </w:p>
    <w:p>
      <w:pPr/>
      <w:r>
        <w:rPr>
          <w:b/>
        </w:rPr>
        <w:t>Later source:</w:t>
      </w:r>
      <w:r>
        <w:t xml:space="preserve"> Industrial pollutant releases to water in Europe (2010-2024) — https://doi.org/10.2909/9f8d7f6c-5c6b-42ee-a684-2d208c088f4a</w:t>
      </w:r>
    </w:p>
    <w:p>
      <w:pPr>
        <w:pStyle w:val="SourceNote"/>
      </w:pPr>
      <w:r>
        <w:rPr>
          <w:b/>
        </w:rPr>
        <w:t>Review status:</w:t>
      </w:r>
      <w:r>
        <w:t xml:space="preserve"> unchecked — possible relationship only</w:t>
      </w:r>
    </w:p>
    <w:p>
      <w:pPr>
        <w:pStyle w:val="Heading2"/>
      </w:pPr>
      <w:r>
        <w:t>462. Claim + two later sources: Imagining the future with citizens: participatory foresight and democratic policy design in Marcoussis, France</w:t>
      </w:r>
    </w:p>
    <w:p>
      <w:pPr>
        <w:pStyle w:val="SourceNote"/>
      </w:pPr>
      <w:r>
        <w:rPr>
          <w:b/>
        </w:rPr>
        <w:t>Group ID:</w:t>
      </w:r>
      <w:r>
        <w:t xml:space="preserve"> group-be882107ec92e006a06f</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Droughts in South East Europe (SEE): current picture, tendencies and impact — https://doi.org/10.5194/nhess-26-1305-2026</w:t>
      </w:r>
    </w:p>
    <w:p>
      <w:pPr/>
      <w:r>
        <w:rPr>
          <w:b/>
        </w:rPr>
        <w:t>Later source:</w:t>
      </w:r>
      <w:r>
        <w:t xml:space="preserve"> Continuing recovery of wolves in Europe — https://doi.org/10.1371/journal.pstr.0000158</w:t>
      </w:r>
    </w:p>
    <w:p>
      <w:pPr>
        <w:pStyle w:val="SourceNote"/>
      </w:pPr>
      <w:r>
        <w:rPr>
          <w:b/>
        </w:rPr>
        <w:t>Review status:</w:t>
      </w:r>
      <w:r>
        <w:t xml:space="preserve"> unchecked — possible relationship only</w:t>
      </w:r>
    </w:p>
    <w:p>
      <w:pPr>
        <w:pStyle w:val="Heading2"/>
      </w:pPr>
      <w:r>
        <w:t>463. Claim + two later sources: Brexit adds to gloom over long‐term growth prospects</w:t>
      </w:r>
    </w:p>
    <w:p>
      <w:pPr>
        <w:pStyle w:val="SourceNote"/>
      </w:pPr>
      <w:r>
        <w:rPr>
          <w:b/>
        </w:rPr>
        <w:t>Group ID:</w:t>
      </w:r>
      <w:r>
        <w:t xml:space="preserve"> group-d3b14fb5b58171eb007d</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Accurate medium-range global weather forecasting with 3D neural networks — https://doi.org/10.1038/s41586-023-06185-3</w:t>
      </w:r>
    </w:p>
    <w:p>
      <w:pPr/>
      <w:r>
        <w:rPr>
          <w:b/>
        </w:rPr>
        <w:t>Later source:</w:t>
      </w:r>
      <w:r>
        <w:t xml:space="preserve"> Global seasonal forecasts of marine heatwaves — https://doi.org/10.1038/s41586-022-04573-9</w:t>
      </w:r>
    </w:p>
    <w:p>
      <w:pPr>
        <w:pStyle w:val="SourceNote"/>
      </w:pPr>
      <w:r>
        <w:rPr>
          <w:b/>
        </w:rPr>
        <w:t>Review status:</w:t>
      </w:r>
      <w:r>
        <w:t xml:space="preserve"> unchecked — possible relationship only</w:t>
      </w:r>
    </w:p>
    <w:p>
      <w:pPr>
        <w:pStyle w:val="Heading2"/>
      </w:pPr>
      <w:r>
        <w:t>464. Claim + two later sources: The European forest sector: past and future carbon budget and fluxes under different management scenarios</w:t>
      </w:r>
    </w:p>
    <w:p>
      <w:pPr>
        <w:pStyle w:val="SourceNote"/>
      </w:pPr>
      <w:r>
        <w:rPr>
          <w:b/>
        </w:rPr>
        <w:t>Group ID:</w:t>
      </w:r>
      <w:r>
        <w:t xml:space="preserve"> group-73cadad0e76a3a1cd835</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Short Term Impacts of Harvesting 0perations on Soil Chemical Properties in a Mediterranean Oak Ecosystem — https://doi.org/10.5552/crojfe.2021.1100</w:t>
      </w:r>
    </w:p>
    <w:p>
      <w:pPr/>
      <w:r>
        <w:rPr>
          <w:b/>
        </w:rPr>
        <w:t>Later source:</w:t>
      </w:r>
      <w:r>
        <w:t xml:space="preserve"> Does harvest of the European grayling, Thymallus thymallus (Actinopterygii: Salmoniformes: Salmonidae), change over time with different intensity of fish stocking and fishing effort? — https://doi.org/10.3750/aiep/02643</w:t>
      </w:r>
    </w:p>
    <w:p>
      <w:pPr>
        <w:pStyle w:val="SourceNote"/>
      </w:pPr>
      <w:r>
        <w:rPr>
          <w:b/>
        </w:rPr>
        <w:t>Review status:</w:t>
      </w:r>
      <w:r>
        <w:t xml:space="preserve"> unchecked — possible relationship only</w:t>
      </w:r>
    </w:p>
    <w:p>
      <w:pPr>
        <w:pStyle w:val="Heading2"/>
      </w:pPr>
      <w:r>
        <w:t>465. Claim + two later sources: Foresight in Higher Education Institutions: Evidence from Poland</w:t>
      </w:r>
    </w:p>
    <w:p>
      <w:pPr>
        <w:pStyle w:val="SourceNote"/>
      </w:pPr>
      <w:r>
        <w:rPr>
          <w:b/>
        </w:rPr>
        <w:t>Group ID:</w:t>
      </w:r>
      <w:r>
        <w:t xml:space="preserve"> group-2c426b266a69793a1593</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3 Europe as the Crisis of Play — https://doi.org/10.1515/9781438499819-004</w:t>
      </w:r>
    </w:p>
    <w:p>
      <w:pPr/>
      <w:r>
        <w:rPr>
          <w:b/>
        </w:rPr>
        <w:t>Later source:</w:t>
      </w:r>
      <w:r>
        <w:t xml:space="preserve"> Animal Welfare Protocols and Labelling Schemes for Broilers in Europe — https://doi.org/10.3390/poultry4030029</w:t>
      </w:r>
    </w:p>
    <w:p>
      <w:pPr>
        <w:pStyle w:val="SourceNote"/>
      </w:pPr>
      <w:r>
        <w:rPr>
          <w:b/>
        </w:rPr>
        <w:t>Review status:</w:t>
      </w:r>
      <w:r>
        <w:t xml:space="preserve"> unchecked — possible relationship only</w:t>
      </w:r>
    </w:p>
    <w:p>
      <w:pPr>
        <w:pStyle w:val="Heading2"/>
      </w:pPr>
      <w:r>
        <w:t>466. Claim + two later sources: The Future of Rural Poland: the Main Trends and Possible Scenarios.</w:t>
      </w:r>
    </w:p>
    <w:p>
      <w:pPr>
        <w:pStyle w:val="SourceNote"/>
      </w:pPr>
      <w:r>
        <w:rPr>
          <w:b/>
        </w:rPr>
        <w:t>Group ID:</w:t>
      </w:r>
      <w:r>
        <w:t xml:space="preserve"> group-6c90a98777dc06b4f56d</w:t>
      </w:r>
    </w:p>
    <w:p>
      <w:pPr>
        <w:pStyle w:val="SourceNote"/>
      </w:pPr>
      <w:r>
        <w:rPr>
          <w:b/>
        </w:rPr>
        <w:t>Original source:</w:t>
      </w:r>
      <w:r>
        <w:t xml:space="preserve"> https://doi.org/10.1515/eec-2017-0004</w:t>
      </w:r>
    </w:p>
    <w:p>
      <w:pPr/>
      <w:r>
        <w:rPr>
          <w:b/>
        </w:rPr>
        <w:t>Original future claim:</w:t>
      </w:r>
      <w:r>
        <w:t xml:space="preserve">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Abstracts of the 19th European Congress of Psychology — https://doi.org/10.1024/2673-8627/a000085</w:t>
      </w:r>
    </w:p>
    <w:p>
      <w:pPr/>
      <w:r>
        <w:rPr>
          <w:b/>
        </w:rPr>
        <w:t>Later source:</w:t>
      </w:r>
      <w:r>
        <w:t xml:space="preserve"> A DIGITAL MATURITY OF INSTITUTIONS IN POLAND – AN ATTEMPT AT IDENTIFICATION — https://doi.org/10.29119/1641-3466.2025.228.13</w:t>
      </w:r>
    </w:p>
    <w:p>
      <w:pPr>
        <w:pStyle w:val="SourceNote"/>
      </w:pPr>
      <w:r>
        <w:rPr>
          <w:b/>
        </w:rPr>
        <w:t>Review status:</w:t>
      </w:r>
      <w:r>
        <w:t xml:space="preserve"> unchecked — possible relationship only</w:t>
      </w:r>
    </w:p>
    <w:p>
      <w:pPr>
        <w:pStyle w:val="Heading2"/>
      </w:pPr>
      <w:r>
        <w:t>467. Claim + two later sources: Future Projections of Heat Mortality Risk for Major European Cities</w:t>
      </w:r>
    </w:p>
    <w:p>
      <w:pPr>
        <w:pStyle w:val="SourceNote"/>
      </w:pPr>
      <w:r>
        <w:rPr>
          <w:b/>
        </w:rPr>
        <w:t>Group ID:</w:t>
      </w:r>
      <w:r>
        <w:t xml:space="preserve"> group-d5bd395f2a2aafd3f270</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The impact of heat and cold on mortality and life expectancy in Europe, 2015–2024 — https://doi.org/10.1016/j.ehb.2026.101607</w:t>
      </w:r>
    </w:p>
    <w:p>
      <w:pPr/>
      <w:r>
        <w:rPr>
          <w:b/>
        </w:rPr>
        <w:t>Later source:</w:t>
      </w:r>
      <w:r>
        <w:t xml:space="preserve"> Trends in mortality and disability from ischaemic stroke in Europe, 1990-2023 — https://doi.org/10.1093/esj/aakag082</w:t>
      </w:r>
    </w:p>
    <w:p>
      <w:pPr>
        <w:pStyle w:val="SourceNote"/>
      </w:pPr>
      <w:r>
        <w:rPr>
          <w:b/>
        </w:rPr>
        <w:t>Review status:</w:t>
      </w:r>
      <w:r>
        <w:t xml:space="preserve"> unchecked — possible relationship only</w:t>
      </w:r>
    </w:p>
    <w:p>
      <w:pPr>
        <w:pStyle w:val="Heading2"/>
      </w:pPr>
      <w:r>
        <w:t>468. Claim + two later sources: Pathways to Deep Decarbonization in Italy</w:t>
      </w:r>
    </w:p>
    <w:p>
      <w:pPr>
        <w:pStyle w:val="SourceNote"/>
      </w:pPr>
      <w:r>
        <w:rPr>
          <w:b/>
        </w:rPr>
        <w:t>Group ID:</w:t>
      </w:r>
      <w:r>
        <w:t xml:space="preserve"> group-c36ace9d22f2d948625e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BOOK REVIEW: OPEN AND DISTANCE EDUCATION IN AUSTRALIA, EUROPE AND THE AMERICAS: NATIONAL PERSPECTIVES IN A DIGITAL AGE — https://openalex.org/W7167292450</w:t>
      </w:r>
    </w:p>
    <w:p>
      <w:pPr/>
      <w:r>
        <w:rPr>
          <w:b/>
        </w:rPr>
        <w:t>Later source:</w:t>
      </w:r>
      <w:r>
        <w:t xml:space="preserve"> Engagement of European Countries in the Implementation of the US Indo-Pacific Strategy (Part 2) — https://doi.org/10.22394/1726-1139-2023-12-9-33</w:t>
      </w:r>
    </w:p>
    <w:p>
      <w:pPr>
        <w:pStyle w:val="SourceNote"/>
      </w:pPr>
      <w:r>
        <w:rPr>
          <w:b/>
        </w:rPr>
        <w:t>Review status:</w:t>
      </w:r>
      <w:r>
        <w:t xml:space="preserve"> unchecked — possible relationship only</w:t>
      </w:r>
    </w:p>
    <w:p>
      <w:pPr>
        <w:pStyle w:val="Heading2"/>
      </w:pPr>
      <w:r>
        <w:t>469. Claim + two later sources: COVID-19 and European maritime futures: different pathways to deal with the pandemic</w:t>
      </w:r>
    </w:p>
    <w:p>
      <w:pPr>
        <w:pStyle w:val="SourceNote"/>
      </w:pPr>
      <w:r>
        <w:rPr>
          <w:b/>
        </w:rPr>
        <w:t>Group ID:</w:t>
      </w:r>
      <w:r>
        <w:t xml:space="preserve"> group-ad854bdb3b5690c7a3b2</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The role of Latvia's maritime spatial planning in promoting the European Green Deal — https://doi.org/10.7163/eu21.2022.42.4</w:t>
      </w:r>
    </w:p>
    <w:p>
      <w:pPr/>
      <w:r>
        <w:rPr>
          <w:b/>
        </w:rPr>
        <w:t>Later source:</w:t>
      </w:r>
      <w:r>
        <w:t xml:space="preserve"> Inventive Activity for Climate Change Mitigation: An Insight into the Maritime Industry — https://doi.org/10.3390/en16217403</w:t>
      </w:r>
    </w:p>
    <w:p>
      <w:pPr>
        <w:pStyle w:val="SourceNote"/>
      </w:pPr>
      <w:r>
        <w:rPr>
          <w:b/>
        </w:rPr>
        <w:t>Review status:</w:t>
      </w:r>
      <w:r>
        <w:t xml:space="preserve"> unchecked — possible relationship only</w:t>
      </w:r>
    </w:p>
    <w:p>
      <w:pPr>
        <w:pStyle w:val="Heading2"/>
      </w:pPr>
      <w:r>
        <w:t>470. Claim + two later sources: The Impact of Decarbonization Scenarios on Air Quality and Human Health in Poland—Analysis of Scenarios up to 2050</w:t>
      </w:r>
    </w:p>
    <w:p>
      <w:pPr>
        <w:pStyle w:val="SourceNote"/>
      </w:pPr>
      <w:r>
        <w:rPr>
          <w:b/>
        </w:rPr>
        <w:t>Group ID:</w:t>
      </w:r>
      <w:r>
        <w:t xml:space="preserve"> group-420808e1dfed02494e6b</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Pro-environmental behaviour in Europe — https://openalex.org/W7213476392</w:t>
      </w:r>
    </w:p>
    <w:p>
      <w:pPr/>
      <w:r>
        <w:rPr>
          <w:b/>
        </w:rPr>
        <w:t>Later source:</w:t>
      </w:r>
      <w:r>
        <w:t xml:space="preserve"> A Europe-wide characterization of the external exposome: A spatio-temporal analysis — https://doi.org/10.1016/j.envint.2025.109542</w:t>
      </w:r>
    </w:p>
    <w:p>
      <w:pPr>
        <w:pStyle w:val="SourceNote"/>
      </w:pPr>
      <w:r>
        <w:rPr>
          <w:b/>
        </w:rPr>
        <w:t>Review status:</w:t>
      </w:r>
      <w:r>
        <w:t xml:space="preserve"> unchecked — possible relationship only</w:t>
      </w:r>
    </w:p>
    <w:p>
      <w:pPr>
        <w:pStyle w:val="Heading2"/>
      </w:pPr>
      <w:r>
        <w:t>471. Claim + two later sources: Regional growth and disparities in a post‐COVID Europe: A new normality scenario</w:t>
      </w:r>
    </w:p>
    <w:p>
      <w:pPr>
        <w:pStyle w:val="SourceNote"/>
      </w:pPr>
      <w:r>
        <w:rPr>
          <w:b/>
        </w:rPr>
        <w:t>Group ID:</w:t>
      </w:r>
      <w:r>
        <w:t xml:space="preserve"> group-3e7350d5d12e9469cb6f</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Futureproofing the healthcare workforce in Europe: understanding and addressing psychological distress and occupational outcomes — https://doi.org/10.1016/j.lanepe.2025.101463</w:t>
      </w:r>
    </w:p>
    <w:p>
      <w:pPr/>
      <w:r>
        <w:rPr>
          <w:b/>
        </w:rPr>
        <w:t>Later source:</w:t>
      </w:r>
      <w:r>
        <w:t xml:space="preserve"> Understanding and addressing shortfalls in European wild bee data — https://doi.org/10.1016/j.biocon.2024.110455</w:t>
      </w:r>
    </w:p>
    <w:p>
      <w:pPr>
        <w:pStyle w:val="SourceNote"/>
      </w:pPr>
      <w:r>
        <w:rPr>
          <w:b/>
        </w:rPr>
        <w:t>Review status:</w:t>
      </w:r>
      <w:r>
        <w:t xml:space="preserve"> unchecked — possible relationship only</w:t>
      </w:r>
    </w:p>
    <w:p>
      <w:pPr>
        <w:pStyle w:val="Heading2"/>
      </w:pPr>
      <w:r>
        <w:t>472. Claim + two later sources: Developing scenarios for the Norwegian travel industry 2025</w:t>
      </w:r>
    </w:p>
    <w:p>
      <w:pPr>
        <w:pStyle w:val="SourceNote"/>
      </w:pPr>
      <w:r>
        <w:rPr>
          <w:b/>
        </w:rPr>
        <w:t>Group ID:</w:t>
      </w:r>
      <w:r>
        <w:t xml:space="preserve"> group-771ec15b0d1fa227ce7e</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The Traditional Understanding of Lawmaking by Appellate Courts — https://doi.org/10.1017/9781009589307.003</w:t>
      </w:r>
    </w:p>
    <w:p>
      <w:pPr/>
      <w:r>
        <w:rPr>
          <w:b/>
        </w:rPr>
        <w:t>Later source:</w:t>
      </w:r>
      <w:r>
        <w:t xml:space="preserve"> Education–work transition: skill gaps in the construction industry — https://doi.org/10.3389/fbuil.2025.1623609</w:t>
      </w:r>
    </w:p>
    <w:p>
      <w:pPr>
        <w:pStyle w:val="SourceNote"/>
      </w:pPr>
      <w:r>
        <w:rPr>
          <w:b/>
        </w:rPr>
        <w:t>Review status:</w:t>
      </w:r>
      <w:r>
        <w:t xml:space="preserve"> unchecked — possible relationship only</w:t>
      </w:r>
    </w:p>
    <w:p>
      <w:pPr>
        <w:pStyle w:val="Heading2"/>
      </w:pPr>
      <w:r>
        <w:t>473. Claim + two later sources: Investigating scenario planning – a European tourism perspective</w:t>
      </w:r>
    </w:p>
    <w:p>
      <w:pPr>
        <w:pStyle w:val="SourceNote"/>
      </w:pPr>
      <w:r>
        <w:rPr>
          <w:b/>
        </w:rPr>
        <w:t>Group ID:</w:t>
      </w:r>
      <w:r>
        <w:t xml:space="preserve"> group-1f8cf886a83bfbf4f8c0</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An assessment of the state of conservation planning in Europe — https://doi.org/10.1098/rstb.2023.0015</w:t>
      </w:r>
    </w:p>
    <w:p>
      <w:pPr/>
      <w:r>
        <w:rPr>
          <w:b/>
        </w:rPr>
        <w:t>Later source:</w:t>
      </w:r>
      <w:r>
        <w:t xml:space="preserve"> Launching a European Employee Stock Ownership Plan (European ESOP) — https://doi.org/10.1108/jpeo-06-2024-0010</w:t>
      </w:r>
    </w:p>
    <w:p>
      <w:pPr>
        <w:pStyle w:val="SourceNote"/>
      </w:pPr>
      <w:r>
        <w:rPr>
          <w:b/>
        </w:rPr>
        <w:t>Review status:</w:t>
      </w:r>
      <w:r>
        <w:t xml:space="preserve"> unchecked — possible relationship only</w:t>
      </w:r>
    </w:p>
    <w:p>
      <w:pPr>
        <w:pStyle w:val="Heading2"/>
      </w:pPr>
      <w:r>
        <w:t>474. Claim + two later sources: Integrating field data into individual-based models of the migration of European eel larvae</w:t>
      </w:r>
    </w:p>
    <w:p>
      <w:pPr>
        <w:pStyle w:val="SourceNote"/>
      </w:pPr>
      <w:r>
        <w:rPr>
          <w:b/>
        </w:rPr>
        <w:t>Group ID:</w:t>
      </w:r>
      <w:r>
        <w:t xml:space="preserve"> group-0b49f70b5fff782a8ff2</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Impact of the model representation of PBL and convection on the PM concentrations over Europe — https://doi.org/10.5194/egusphere-egu21-2417</w:t>
      </w:r>
    </w:p>
    <w:p>
      <w:pPr/>
      <w:r>
        <w:rPr>
          <w:b/>
        </w:rPr>
        <w:t>Later source:</w:t>
      </w:r>
      <w:r>
        <w:t xml:space="preserve"> Comparison of four inverse modelling systems applied to the estimation of HFC-125, HFC-134a, and SF 6 emissions over Europe — https://doi.org/10.5194/acp-17-10651-2017</w:t>
      </w:r>
    </w:p>
    <w:p>
      <w:pPr>
        <w:pStyle w:val="SourceNote"/>
      </w:pPr>
      <w:r>
        <w:rPr>
          <w:b/>
        </w:rPr>
        <w:t>Review status:</w:t>
      </w:r>
      <w:r>
        <w:t xml:space="preserve"> unchecked — possible relationship only</w:t>
      </w:r>
    </w:p>
    <w:p>
      <w:pPr>
        <w:pStyle w:val="Heading2"/>
      </w:pPr>
      <w:r>
        <w:t>475. Claim + two later sources: Wild cards in transport</w:t>
      </w:r>
    </w:p>
    <w:p>
      <w:pPr>
        <w:pStyle w:val="SourceNote"/>
      </w:pPr>
      <w:r>
        <w:rPr>
          <w:b/>
        </w:rPr>
        <w:t>Group ID:</w:t>
      </w:r>
      <w:r>
        <w:t xml:space="preserve"> group-e52c676f62e802afe755</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Virome landscape of wild rodents and shrews in Central China — https://doi.org/10.1186/s40168-025-02059-0</w:t>
      </w:r>
    </w:p>
    <w:p>
      <w:pPr>
        <w:pStyle w:val="SourceNote"/>
      </w:pPr>
      <w:r>
        <w:rPr>
          <w:b/>
        </w:rPr>
        <w:t>Review status:</w:t>
      </w:r>
      <w:r>
        <w:t xml:space="preserve"> unchecked — possible relationship only</w:t>
      </w:r>
    </w:p>
    <w:p>
      <w:pPr>
        <w:pStyle w:val="Heading2"/>
      </w:pPr>
      <w:r>
        <w:t>476. Claim + two later sources: Perspective of comprehensive and comprehensible multi-model energy and climate science in Europe</w:t>
      </w:r>
    </w:p>
    <w:p>
      <w:pPr>
        <w:pStyle w:val="SourceNote"/>
      </w:pPr>
      <w:r>
        <w:rPr>
          <w:b/>
        </w:rPr>
        <w:t>Group ID:</w:t>
      </w:r>
      <w:r>
        <w:t xml:space="preserve"> group-c9cdc1bbb48a8d41cbfe</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Colombia, COVID-19, and the Colonial Trap: Reflections on the Politics of Knowledge Production — https://doi.org/10.1177/0094582x241311803</w:t>
      </w:r>
    </w:p>
    <w:p>
      <w:pPr/>
      <w:r>
        <w:rPr>
          <w:b/>
        </w:rPr>
        <w:t>Later source:</w:t>
      </w:r>
      <w:r>
        <w:t xml:space="preserve"> Muslims in Europe and Covid-19 — https://doi.org/10.5617/jais.10871</w:t>
      </w:r>
    </w:p>
    <w:p>
      <w:pPr>
        <w:pStyle w:val="SourceNote"/>
      </w:pPr>
      <w:r>
        <w:rPr>
          <w:b/>
        </w:rPr>
        <w:t>Review status:</w:t>
      </w:r>
      <w:r>
        <w:t xml:space="preserve"> unchecked — possible relationship only</w:t>
      </w:r>
    </w:p>
    <w:p>
      <w:pPr>
        <w:pStyle w:val="Heading2"/>
      </w:pPr>
      <w:r>
        <w:t>477. Claim + two later sources: Realising transition pathways for a more electric, low-carbon energy system in the United Kingdom: Challenges, insights and opportunities</w:t>
      </w:r>
    </w:p>
    <w:p>
      <w:pPr>
        <w:pStyle w:val="SourceNote"/>
      </w:pPr>
      <w:r>
        <w:rPr>
          <w:b/>
        </w:rPr>
        <w:t>Group ID:</w:t>
      </w:r>
      <w:r>
        <w:t xml:space="preserve"> group-46559baccc5d4346d710</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Open-Source AI and Market Competition: Why the United Kingdom Is Well Placed to Promote Openness as Competition Policy — https://doi.org/10.2139/ssrn.7431620</w:t>
      </w:r>
    </w:p>
    <w:p>
      <w:pPr/>
      <w:r>
        <w:rPr>
          <w:b/>
        </w:rPr>
        <w:t>Later source:</w:t>
      </w:r>
      <w:r>
        <w:t xml:space="preserve"> United Kingdom — https://doi.org/10.1093/9780197758847.003.0031</w:t>
      </w:r>
    </w:p>
    <w:p>
      <w:pPr>
        <w:pStyle w:val="SourceNote"/>
      </w:pPr>
      <w:r>
        <w:rPr>
          <w:b/>
        </w:rPr>
        <w:t>Review status:</w:t>
      </w:r>
      <w:r>
        <w:t xml:space="preserve"> unchecked — possible relationship only</w:t>
      </w:r>
    </w:p>
    <w:p>
      <w:pPr>
        <w:pStyle w:val="Heading2"/>
      </w:pPr>
      <w:r>
        <w:t>478. Claim + two later sources: By 2050 the Mitigation Effects of EU Forests Could Nearly Double through Climate Smart Forestry</w:t>
      </w:r>
    </w:p>
    <w:p>
      <w:pPr>
        <w:pStyle w:val="SourceNote"/>
      </w:pPr>
      <w:r>
        <w:rPr>
          <w:b/>
        </w:rPr>
        <w:t>Group ID:</w:t>
      </w:r>
      <w:r>
        <w:t xml:space="preserve"> group-1485a39ff89749745b4a</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The Right to Abortion – Between the Need for Protection at the European Level and Respect for the Constitutional Traditions of the Member States — https://doi.org/10.54148/eltelj.2025.2.9</w:t>
      </w:r>
    </w:p>
    <w:p>
      <w:pPr/>
      <w:r>
        <w:rPr>
          <w:b/>
        </w:rPr>
        <w:t>Later source:</w:t>
      </w:r>
      <w:r>
        <w:t xml:space="preserve"> Harmonisation of Corporate Income Tax Incentives in SADC: Addressing the Challenges Posed by the Sovereign Right of SADC Member States to Set Their Own Economic and Tax Policies — https://doi.org/10.25159/2522-3062/15912</w:t>
      </w:r>
    </w:p>
    <w:p>
      <w:pPr>
        <w:pStyle w:val="SourceNote"/>
      </w:pPr>
      <w:r>
        <w:rPr>
          <w:b/>
        </w:rPr>
        <w:t>Review status:</w:t>
      </w:r>
      <w:r>
        <w:t xml:space="preserve"> unchecked — possible relationship only</w:t>
      </w:r>
    </w:p>
    <w:p>
      <w:pPr>
        <w:pStyle w:val="Heading2"/>
      </w:pPr>
      <w:r>
        <w:t>479.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480. Claim + two later sources: Towards the 2030 Agenda: Measuring the Progress of the European Union Countries through the SDGs Achievement Index</w:t>
      </w:r>
    </w:p>
    <w:p>
      <w:pPr>
        <w:pStyle w:val="SourceNote"/>
      </w:pPr>
      <w:r>
        <w:rPr>
          <w:b/>
        </w:rPr>
        <w:t>Group ID:</w:t>
      </w:r>
      <w:r>
        <w:t xml:space="preserve"> group-9ca9b453797b0473647d</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The Effect of Crop Diversification and Season on Microbial Carbon Use Efficiency Across a European Pedoclimatic Gradient — https://doi.org/10.1111/ejss.70078</w:t>
      </w:r>
    </w:p>
    <w:p>
      <w:pPr/>
      <w:r>
        <w:rPr>
          <w:b/>
        </w:rPr>
        <w:t>Later source:</w:t>
      </w:r>
      <w:r>
        <w:t xml:space="preserve"> Novel integrated risk index reveals uneven impact of climate change on fascioliasis risk across Africa and Europe — https://doi.org/10.64898/2025.12.04.692276</w:t>
      </w:r>
    </w:p>
    <w:p>
      <w:pPr>
        <w:pStyle w:val="SourceNote"/>
      </w:pPr>
      <w:r>
        <w:rPr>
          <w:b/>
        </w:rPr>
        <w:t>Review status:</w:t>
      </w:r>
      <w:r>
        <w:t xml:space="preserve"> unchecked — possible relationship only</w:t>
      </w:r>
    </w:p>
    <w:p>
      <w:pPr>
        <w:pStyle w:val="Heading2"/>
      </w:pPr>
      <w:r>
        <w:t>481. Claim + two later sources: Enabling forecasts of environmental exposure to chemicals in European agriculture under global change</w:t>
      </w:r>
    </w:p>
    <w:p>
      <w:pPr>
        <w:pStyle w:val="SourceNote"/>
      </w:pPr>
      <w:r>
        <w:rPr>
          <w:b/>
        </w:rPr>
        <w:t>Group ID:</w:t>
      </w:r>
      <w:r>
        <w:t xml:space="preserve"> group-c6039adccbce4177eed6</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Evolution of Equality as a Constitutional Principle in Romania: European Union Membership Impacts and Current Challenges — https://doi.org/10.62733/2026.1.9-31</w:t>
      </w:r>
    </w:p>
    <w:p>
      <w:pPr/>
      <w:r>
        <w:rPr>
          <w:b/>
        </w:rPr>
        <w:t>Later source:</w:t>
      </w:r>
      <w:r>
        <w:t xml:space="preserve"> Marine Protected Areas for Europe (MPA Europe) — https://doi.org/10.3897/rio.12.e218514</w:t>
      </w:r>
    </w:p>
    <w:p>
      <w:pPr>
        <w:pStyle w:val="SourceNote"/>
      </w:pPr>
      <w:r>
        <w:rPr>
          <w:b/>
        </w:rPr>
        <w:t>Review status:</w:t>
      </w:r>
      <w:r>
        <w:t xml:space="preserve"> unchecked — possible relationship only</w:t>
      </w:r>
    </w:p>
    <w:p>
      <w:pPr>
        <w:pStyle w:val="Heading2"/>
      </w:pPr>
      <w:r>
        <w:t>482. Claim + two later sources: Climate change mitigation: evidences from the European scenario</w:t>
      </w:r>
    </w:p>
    <w:p>
      <w:pPr>
        <w:pStyle w:val="SourceNote"/>
      </w:pPr>
      <w:r>
        <w:rPr>
          <w:b/>
        </w:rPr>
        <w:t>Group ID:</w:t>
      </w:r>
      <w:r>
        <w:t xml:space="preserve"> group-3165f690b109a8af32cd</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Changes in greenhouse gas emissions from agriculture in selected European Union countries — https://doi.org/10.14254/2071-8330.2026/19-1/10</w:t>
      </w:r>
    </w:p>
    <w:p>
      <w:pPr/>
      <w:r>
        <w:rPr>
          <w:b/>
        </w:rPr>
        <w:t>Later source:</w:t>
      </w:r>
      <w:r>
        <w:t xml:space="preserve"> Mapping urban CO2 emission spatiotemporal dynamics in Europe via a nighttime light composite index — https://doi.org/10.1038/s42949-026-00437-7</w:t>
      </w:r>
    </w:p>
    <w:p>
      <w:pPr>
        <w:pStyle w:val="SourceNote"/>
      </w:pPr>
      <w:r>
        <w:rPr>
          <w:b/>
        </w:rPr>
        <w:t>Review status:</w:t>
      </w:r>
      <w:r>
        <w:t xml:space="preserve"> unchecked — possible relationship only</w:t>
      </w:r>
    </w:p>
    <w:p>
      <w:pPr>
        <w:pStyle w:val="Heading2"/>
      </w:pPr>
      <w:r>
        <w:t>483. Claim + two later sources: Seeds of good anthropocenes: developing sustainability scenarios for Northern Europe</w:t>
      </w:r>
    </w:p>
    <w:p>
      <w:pPr>
        <w:pStyle w:val="SourceNote"/>
      </w:pPr>
      <w:r>
        <w:rPr>
          <w:b/>
        </w:rPr>
        <w:t>Group ID:</w:t>
      </w:r>
      <w:r>
        <w:t xml:space="preserve"> group-b518b19aedeb2cc9b992</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Measuring disparities in air transport access across Europe: An inequality, vulnerability and dependence approach — https://doi.org/10.1016/j.tra.2022.11.016</w:t>
      </w:r>
    </w:p>
    <w:p>
      <w:pPr>
        <w:pStyle w:val="SourceNote"/>
      </w:pPr>
      <w:r>
        <w:rPr>
          <w:b/>
        </w:rPr>
        <w:t>Review status:</w:t>
      </w:r>
      <w:r>
        <w:t xml:space="preserve"> unchecked — possible relationship only</w:t>
      </w:r>
    </w:p>
    <w:p>
      <w:pPr>
        <w:pStyle w:val="Heading2"/>
      </w:pPr>
      <w:r>
        <w:t>484. Claim + two later sources: PROJEKCJA ZMIAN WIELKOŚCI PLONÓW PSZENICY W POLSCE I UNII EUROPEJSKIEJ W LATACH 2030 I 2050 NA PODSTAWIE MODELU CAPRI</w:t>
      </w:r>
    </w:p>
    <w:p>
      <w:pPr>
        <w:pStyle w:val="SourceNote"/>
      </w:pPr>
      <w:r>
        <w:rPr>
          <w:b/>
        </w:rPr>
        <w:t>Group ID:</w:t>
      </w:r>
      <w:r>
        <w:t xml:space="preserve"> group-80240569d711e6b81a08</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Effect of different treatments on the dissipation and persistence of iodosulfuron-methyl applied in soils with wheat crop under greenhouse conditions — https://doi.org/10.1016/j.ecoenv.2025.118454</w:t>
      </w:r>
    </w:p>
    <w:p>
      <w:pPr/>
      <w:r>
        <w:rPr>
          <w:b/>
        </w:rPr>
        <w:t>Later source:</w:t>
      </w:r>
      <w:r>
        <w:t xml:space="preserve"> Improved modelling framework for assessing the interactions between the energy, agriculture, forestry and land use change sectors: Integrating the CAPRI, LUISA-BEES, CBM and POTEnCIA models — https://doi.org/10.2760/900305</w:t>
      </w:r>
    </w:p>
    <w:p>
      <w:pPr>
        <w:pStyle w:val="SourceNote"/>
      </w:pPr>
      <w:r>
        <w:rPr>
          <w:b/>
        </w:rPr>
        <w:t>Review status:</w:t>
      </w:r>
      <w:r>
        <w:t xml:space="preserve"> unchecked — possible relationship only</w:t>
      </w:r>
    </w:p>
    <w:p>
      <w:pPr>
        <w:pStyle w:val="Heading2"/>
      </w:pPr>
      <w:r>
        <w:t>485. Claim + two later sources: Recycling of European plastic is a pathway for plastic debris in the ocean</w:t>
      </w:r>
    </w:p>
    <w:p>
      <w:pPr>
        <w:pStyle w:val="SourceNote"/>
      </w:pPr>
      <w:r>
        <w:rPr>
          <w:b/>
        </w:rPr>
        <w:t>Group ID:</w:t>
      </w:r>
      <w:r>
        <w:t xml:space="preserve"> group-75f7da2c1cd56769afd7</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Assessing data uncertainty in large-scale energy model — https://doi.org/10.26868/25222708.2025.1706</w:t>
      </w:r>
    </w:p>
    <w:p>
      <w:pPr/>
      <w:r>
        <w:rPr>
          <w:b/>
        </w:rPr>
        <w:t>Later source:</w:t>
      </w:r>
      <w:r>
        <w:t xml:space="preserve"> High resolution soil property maps and their uncertainty for Europe — https://openalex.org/W7110658065</w:t>
      </w:r>
    </w:p>
    <w:p>
      <w:pPr>
        <w:pStyle w:val="SourceNote"/>
      </w:pPr>
      <w:r>
        <w:rPr>
          <w:b/>
        </w:rPr>
        <w:t>Review status:</w:t>
      </w:r>
      <w:r>
        <w:t xml:space="preserve"> unchecked — possible relationship only</w:t>
      </w:r>
    </w:p>
    <w:p>
      <w:pPr>
        <w:pStyle w:val="Heading2"/>
      </w:pPr>
      <w:r>
        <w:t>486.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487. Claim + two later sources: Land use implications of future energy system trajectories—The case of the UK 2050 Carbon Plan</w:t>
      </w:r>
    </w:p>
    <w:p>
      <w:pPr>
        <w:pStyle w:val="SourceNote"/>
      </w:pPr>
      <w:r>
        <w:rPr>
          <w:b/>
        </w:rPr>
        <w:t>Group ID:</w:t>
      </w:r>
      <w:r>
        <w:t xml:space="preserve"> group-59cf80eb154eb903e0e7</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Developing multi-risk DRM pathways — Lessons from four European case studies — https://doi.org/10.1016/j.crm.2025.100753</w:t>
      </w:r>
    </w:p>
    <w:p>
      <w:pPr/>
      <w:r>
        <w:rPr>
          <w:b/>
        </w:rPr>
        <w:t>Later source:</w:t>
      </w:r>
      <w:r>
        <w:t xml:space="preserve"> Diversified Pathways to Achieve Tax Fairness and Justice in the Digital Age — https://doi.org/10.62517/jel.202514523</w:t>
      </w:r>
    </w:p>
    <w:p>
      <w:pPr>
        <w:pStyle w:val="SourceNote"/>
      </w:pPr>
      <w:r>
        <w:rPr>
          <w:b/>
        </w:rPr>
        <w:t>Review status:</w:t>
      </w:r>
      <w:r>
        <w:t xml:space="preserve"> unchecked — possible relationship only</w:t>
      </w:r>
    </w:p>
    <w:p>
      <w:pPr>
        <w:pStyle w:val="Heading2"/>
      </w:pPr>
      <w:r>
        <w:t>488. Claim + two later sources: Future projections of temperature and mixing regime of  European temperate lakes</w:t>
      </w:r>
    </w:p>
    <w:p>
      <w:pPr>
        <w:pStyle w:val="SourceNote"/>
      </w:pPr>
      <w:r>
        <w:rPr>
          <w:b/>
        </w:rPr>
        <w:t>Group ID:</w:t>
      </w:r>
      <w:r>
        <w:t xml:space="preserve"> group-b45ca6c7399658a02fad</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Tricentennial trends in spring ice break-ups on three rivers in northern Europe — https://doi.org/10.5194/tc-16-2881-2022</w:t>
      </w:r>
    </w:p>
    <w:p>
      <w:pPr/>
      <w:r>
        <w:rPr>
          <w:b/>
        </w:rPr>
        <w:t>Later source:</w:t>
      </w:r>
      <w:r>
        <w:t xml:space="preserve"> Split westerlies over Europe in the early Little Ice Age — https://doi.org/10.1038/s41467-022-32654-w</w:t>
      </w:r>
    </w:p>
    <w:p>
      <w:pPr>
        <w:pStyle w:val="SourceNote"/>
      </w:pPr>
      <w:r>
        <w:rPr>
          <w:b/>
        </w:rPr>
        <w:t>Review status:</w:t>
      </w:r>
      <w:r>
        <w:t xml:space="preserve"> unchecked — possible relationship only</w:t>
      </w:r>
    </w:p>
    <w:p>
      <w:pPr>
        <w:pStyle w:val="Heading2"/>
      </w:pPr>
      <w:r>
        <w:t>489. Claim + two later sources: Lyme Disease Risks in Europe under Multiple Uncertain Drivers of Change</w:t>
      </w:r>
    </w:p>
    <w:p>
      <w:pPr>
        <w:pStyle w:val="SourceNote"/>
      </w:pPr>
      <w:r>
        <w:rPr>
          <w:b/>
        </w:rPr>
        <w:t>Group ID:</w:t>
      </w:r>
      <w:r>
        <w:t xml:space="preserve"> group-6af7255f5b872f8b1f26</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Model Code and Data for "Future projections of burned area in Europe highlight the importance of human action" — https://doi.org/10.5281/zenodo.18740007</w:t>
      </w:r>
    </w:p>
    <w:p>
      <w:pPr/>
      <w:r>
        <w:rPr>
          <w:b/>
        </w:rPr>
        <w:t>Later source:</w:t>
      </w:r>
      <w:r>
        <w:t xml:space="preserve"> Projections and uncertainties of winter windstorm damage in Europe in a changing climate — https://doi.org/10.5194/nhess-24-1555-2024</w:t>
      </w:r>
    </w:p>
    <w:p>
      <w:pPr>
        <w:pStyle w:val="SourceNote"/>
      </w:pPr>
      <w:r>
        <w:rPr>
          <w:b/>
        </w:rPr>
        <w:t>Review status:</w:t>
      </w:r>
      <w:r>
        <w:t xml:space="preserve"> unchecked — possible relationship only</w:t>
      </w:r>
    </w:p>
    <w:p>
      <w:pPr>
        <w:pStyle w:val="Heading2"/>
      </w:pPr>
      <w:r>
        <w:t>490. Claim + two later sources: Imagining energy futures: Sociotechnical imaginaries of the future Smart Grid in Norway</w:t>
      </w:r>
    </w:p>
    <w:p>
      <w:pPr>
        <w:pStyle w:val="SourceNote"/>
      </w:pPr>
      <w:r>
        <w:rPr>
          <w:b/>
        </w:rPr>
        <w:t>Group ID:</w:t>
      </w:r>
      <w:r>
        <w:t xml:space="preserve"> group-ee5aabf1bfff3c97bdca</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Smart Grids and Sustainability: The Impact of Digital Technologies on the Energy Transition — https://doi.org/10.3390/en18092149</w:t>
      </w:r>
    </w:p>
    <w:p>
      <w:pPr/>
      <w:r>
        <w:rPr>
          <w:b/>
        </w:rPr>
        <w:t>Later source:</w:t>
      </w:r>
      <w:r>
        <w:t xml:space="preserve"> From Smart Grids to Super Smart Grids: A Roadmap for Strategic Demand Management for Next Generation SAARC and European Power Infrastructure — https://doi.org/10.1109/access.2023.3241686</w:t>
      </w:r>
    </w:p>
    <w:p>
      <w:pPr>
        <w:pStyle w:val="SourceNote"/>
      </w:pPr>
      <w:r>
        <w:rPr>
          <w:b/>
        </w:rPr>
        <w:t>Review status:</w:t>
      </w:r>
      <w:r>
        <w:t xml:space="preserve"> unchecked — possible relationship only</w:t>
      </w:r>
    </w:p>
    <w:p>
      <w:pPr>
        <w:pStyle w:val="Heading2"/>
      </w:pPr>
      <w:r>
        <w:t>491. Claim + two later sources: Long-Term Projection of Renewable Energy Technology Diffusion</w:t>
      </w:r>
    </w:p>
    <w:p>
      <w:pPr>
        <w:pStyle w:val="SourceNote"/>
      </w:pPr>
      <w:r>
        <w:rPr>
          <w:b/>
        </w:rPr>
        <w:t>Group ID:</w:t>
      </w:r>
      <w:r>
        <w:t xml:space="preserve"> group-f748070b6bf7505cb3fb</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72 The butterfly project – improving treatment escalation planning in the emergency department — https://doi.org/10.1136/spcare-2021-pcc.90</w:t>
      </w:r>
    </w:p>
    <w:p>
      <w:pPr/>
      <w:r>
        <w:rPr>
          <w:b/>
        </w:rPr>
        <w:t>Later source:</w:t>
      </w:r>
      <w:r>
        <w:t xml:space="preserve"> Minding the gap: identifying values to enable public and patient involvement at the pre-commencement stage of research projects — https://doi.org/10.1186/s40900-020-00220-7</w:t>
      </w:r>
    </w:p>
    <w:p>
      <w:pPr>
        <w:pStyle w:val="SourceNote"/>
      </w:pPr>
      <w:r>
        <w:rPr>
          <w:b/>
        </w:rPr>
        <w:t>Review status:</w:t>
      </w:r>
      <w:r>
        <w:t xml:space="preserve"> unchecked — possible relationship only</w:t>
      </w:r>
    </w:p>
    <w:p>
      <w:pPr>
        <w:pStyle w:val="Heading2"/>
      </w:pPr>
      <w:r>
        <w:t>492. Claim + two later sources: Climate change mitigation: evidences from the European scenario</w:t>
      </w:r>
    </w:p>
    <w:p>
      <w:pPr>
        <w:pStyle w:val="SourceNote"/>
      </w:pPr>
      <w:r>
        <w:rPr>
          <w:b/>
        </w:rPr>
        <w:t>Group ID:</w:t>
      </w:r>
      <w:r>
        <w:t xml:space="preserve"> group-30e78cb66140d61892e8</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Changes in greenhouse gas emissions from agriculture in selected European Union countries — https://doi.org/10.14254/2071-8330.2026/19-1/10</w:t>
      </w:r>
    </w:p>
    <w:p>
      <w:pPr/>
      <w:r>
        <w:rPr>
          <w:b/>
        </w:rPr>
        <w:t>Later source:</w:t>
      </w:r>
      <w:r>
        <w:t xml:space="preserve"> Mapping urban CO2 emission spatiotemporal dynamics in Europe via a nighttime light composite index — https://doi.org/10.1038/s42949-026-00437-7</w:t>
      </w:r>
    </w:p>
    <w:p>
      <w:pPr>
        <w:pStyle w:val="SourceNote"/>
      </w:pPr>
      <w:r>
        <w:rPr>
          <w:b/>
        </w:rPr>
        <w:t>Review status:</w:t>
      </w:r>
      <w:r>
        <w:t xml:space="preserve"> unchecked — possible relationship only</w:t>
      </w:r>
    </w:p>
    <w:p>
      <w:pPr>
        <w:pStyle w:val="Heading2"/>
      </w:pPr>
      <w:r>
        <w:t>493.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group-2ac1d3c0b224dedce79a</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Giardiasis in Japan, the United States of America, and Europe from 2007 to 2023, highlighting a decline during the COVID-19 pandemic — https://doi.org/10.1371/journal.pntd.0014428</w:t>
      </w:r>
    </w:p>
    <w:p>
      <w:pPr/>
      <w:r>
        <w:rPr>
          <w:b/>
        </w:rPr>
        <w:t>Later source:</w:t>
      </w:r>
      <w:r>
        <w:t xml:space="preserve"> Environmental Permitting and Environmental Impact Assessment in the United States and the European Union: A Comparative Legal Study — https://doi.org/10.2139/ssrn.7275567</w:t>
      </w:r>
    </w:p>
    <w:p>
      <w:pPr>
        <w:pStyle w:val="SourceNote"/>
      </w:pPr>
      <w:r>
        <w:rPr>
          <w:b/>
        </w:rPr>
        <w:t>Review status:</w:t>
      </w:r>
      <w:r>
        <w:t xml:space="preserve"> unchecked — possible relationship only</w:t>
      </w:r>
    </w:p>
    <w:p>
      <w:pPr>
        <w:pStyle w:val="Heading2"/>
      </w:pPr>
      <w:r>
        <w:t>494. Claim + two later sources: Assessing the EU’s 2030 Climate and Energy Policy Framework: Incremental change toward radical transformation?</w:t>
      </w:r>
    </w:p>
    <w:p>
      <w:pPr>
        <w:pStyle w:val="SourceNote"/>
      </w:pPr>
      <w:r>
        <w:rPr>
          <w:b/>
        </w:rPr>
        <w:t>Group ID:</w:t>
      </w:r>
      <w:r>
        <w:t xml:space="preserve"> group-2d89a5abe90961c646ac</w:t>
      </w:r>
    </w:p>
    <w:p>
      <w:pPr>
        <w:pStyle w:val="SourceNote"/>
      </w:pPr>
      <w:r>
        <w:rPr>
          <w:b/>
        </w:rPr>
        <w:t>Original source:</w:t>
      </w:r>
      <w:r>
        <w:t xml:space="preserve"> https://doi.org/10.1111/reel.12358</w:t>
      </w:r>
    </w:p>
    <w:p>
      <w:pPr/>
      <w:r>
        <w:rPr>
          <w:b/>
        </w:rPr>
        <w:t>Original future claim:</w:t>
      </w:r>
      <w:r>
        <w:t xml:space="preserve">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The Palestinian Refugee, Article 1D and Evolving Jurisprudence from Europe: a Practitioner’s Perspective — https://doi.org/10.1163/15718166-12340198</w:t>
      </w:r>
    </w:p>
    <w:p>
      <w:pPr/>
      <w:r>
        <w:rPr>
          <w:b/>
        </w:rPr>
        <w:t>Later source:</w:t>
      </w:r>
      <w:r>
        <w:t xml:space="preserve"> Human trafficking and forced prostitution under article 4 of the European convention on human rights — https://doi.org/10.1017/glj.2023.98</w:t>
      </w:r>
    </w:p>
    <w:p>
      <w:pPr>
        <w:pStyle w:val="SourceNote"/>
      </w:pPr>
      <w:r>
        <w:rPr>
          <w:b/>
        </w:rPr>
        <w:t>Review status:</w:t>
      </w:r>
      <w:r>
        <w:t xml:space="preserve"> unchecked — possible relationship only</w:t>
      </w:r>
    </w:p>
    <w:p>
      <w:pPr>
        <w:pStyle w:val="Heading2"/>
      </w:pPr>
      <w:r>
        <w:t>495. Claim + two later sources: Society in need of transformation. Citizen-Foresight as a method to co-create urban future</w:t>
      </w:r>
    </w:p>
    <w:p>
      <w:pPr>
        <w:pStyle w:val="SourceNote"/>
      </w:pPr>
      <w:r>
        <w:rPr>
          <w:b/>
        </w:rPr>
        <w:t>Group ID:</w:t>
      </w:r>
      <w:r>
        <w:t xml:space="preserve"> group-16afa9985c4c8db06d5a</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Unmasking the spatial-temporal characteristics of knowledge workers’ third-place remote work — https://doi.org/10.1177/27541231261444208</w:t>
      </w:r>
    </w:p>
    <w:p>
      <w:pPr/>
      <w:r>
        <w:rPr>
          <w:b/>
        </w:rPr>
        <w:t>Later source:</w:t>
      </w:r>
      <w:r>
        <w:t xml:space="preserve"> Work as a Third Pathway to New Longevity — https://doi.org/10.12660/gvexec.v25n1.2026.98714</w:t>
      </w:r>
    </w:p>
    <w:p>
      <w:pPr>
        <w:pStyle w:val="SourceNote"/>
      </w:pPr>
      <w:r>
        <w:rPr>
          <w:b/>
        </w:rPr>
        <w:t>Review status:</w:t>
      </w:r>
      <w:r>
        <w:t xml:space="preserve"> unchecked — possible relationship only</w:t>
      </w:r>
    </w:p>
    <w:p>
      <w:pPr>
        <w:pStyle w:val="Heading2"/>
      </w:pPr>
      <w:r>
        <w:t>496. Claim + two later sources: Emerging smart city, transport and energy trends in urban settings: Results of a pan-European foresight exercise with 120 experts</w:t>
      </w:r>
    </w:p>
    <w:p>
      <w:pPr>
        <w:pStyle w:val="SourceNote"/>
      </w:pPr>
      <w:r>
        <w:rPr>
          <w:b/>
        </w:rPr>
        <w:t>Group ID:</w:t>
      </w:r>
      <w:r>
        <w:t xml:space="preserve"> group-a506033db80f35ecd12d</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Fostering energy transition and transport fluidity in European port cities — https://doi.org/10.4324/9781003639589-3</w:t>
      </w:r>
    </w:p>
    <w:p>
      <w:pPr>
        <w:pStyle w:val="SourceNote"/>
      </w:pPr>
      <w:r>
        <w:rPr>
          <w:b/>
        </w:rPr>
        <w:t>Review status:</w:t>
      </w:r>
      <w:r>
        <w:t xml:space="preserve"> unchecked — possible relationship only</w:t>
      </w:r>
    </w:p>
    <w:p>
      <w:pPr>
        <w:pStyle w:val="Heading2"/>
      </w:pPr>
      <w:r>
        <w:t>497. Claim + two later sources: European carbon storage resource requirements of climate change mitigation targets</w:t>
      </w:r>
    </w:p>
    <w:p>
      <w:pPr>
        <w:pStyle w:val="SourceNote"/>
      </w:pPr>
      <w:r>
        <w:rPr>
          <w:b/>
        </w:rPr>
        <w:t>Group ID:</w:t>
      </w:r>
      <w:r>
        <w:t xml:space="preserve"> group-12623b112a560febcda8</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Climate plan for municipality of Utsjoki — https://openalex.org/W7152954980</w:t>
      </w:r>
    </w:p>
    <w:p>
      <w:pPr/>
      <w:r>
        <w:rPr>
          <w:b/>
        </w:rPr>
        <w:t>Later source:</w:t>
      </w:r>
      <w:r>
        <w:t xml:space="preserve"> Can a wealth tax reduce CO2 emissions in Europe? — https://doi.org/10.1016/j.ecolecon.2026.109231</w:t>
      </w:r>
    </w:p>
    <w:p>
      <w:pPr>
        <w:pStyle w:val="SourceNote"/>
      </w:pPr>
      <w:r>
        <w:rPr>
          <w:b/>
        </w:rPr>
        <w:t>Review status:</w:t>
      </w:r>
      <w:r>
        <w:t xml:space="preserve"> unchecked — possible relationship only</w:t>
      </w:r>
    </w:p>
    <w:p>
      <w:pPr>
        <w:pStyle w:val="Heading2"/>
      </w:pPr>
      <w:r>
        <w:t>498. Claim + two later sources: Transition pathways to sustainability in greater than 2 °C climate futures of Europe</w:t>
      </w:r>
    </w:p>
    <w:p>
      <w:pPr>
        <w:pStyle w:val="SourceNote"/>
      </w:pPr>
      <w:r>
        <w:rPr>
          <w:b/>
        </w:rPr>
        <w:t>Group ID:</w:t>
      </w:r>
      <w:r>
        <w:t xml:space="preserve"> group-36007685fcbc0397f174</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The European Society of Cataract and Refractive Surgeons Cataract Simulation Curriculum: Wet Lab and Virtual Reality Pathways to Competency — https://doi.org/10.1097/j.jcrs.0000000000002036</w:t>
      </w:r>
    </w:p>
    <w:p>
      <w:pPr/>
      <w:r>
        <w:rPr>
          <w:b/>
        </w:rPr>
        <w:t>Later source:</w:t>
      </w:r>
      <w:r>
        <w:t xml:space="preserve"> Electrification pathways for passenger cars: A comparative analysis of China and Europe — https://doi.org/10.1016/j.esr.2026.102369</w:t>
      </w:r>
    </w:p>
    <w:p>
      <w:pPr>
        <w:pStyle w:val="SourceNote"/>
      </w:pPr>
      <w:r>
        <w:rPr>
          <w:b/>
        </w:rPr>
        <w:t>Review status:</w:t>
      </w:r>
      <w:r>
        <w:t xml:space="preserve"> unchecked — possible relationship only</w:t>
      </w:r>
    </w:p>
    <w:p>
      <w:pPr>
        <w:pStyle w:val="Heading2"/>
      </w:pPr>
      <w:r>
        <w:t>499. Claim + two later sources: European packaging industry foresight study—identifying global drivers and driven packaging industry implications of the global megatrends</w:t>
      </w:r>
    </w:p>
    <w:p>
      <w:pPr>
        <w:pStyle w:val="SourceNote"/>
      </w:pPr>
      <w:r>
        <w:rPr>
          <w:b/>
        </w:rPr>
        <w:t>Group ID:</w:t>
      </w:r>
      <w:r>
        <w:t xml:space="preserve"> group-4808549bd27b0644ffb4</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Environmental consequences of replacing polyethylene packaging in the United States and Europe — https://doi.org/10.1016/j.resenv.2026.100390</w:t>
      </w:r>
    </w:p>
    <w:p>
      <w:pPr/>
      <w:r>
        <w:rPr>
          <w:b/>
        </w:rPr>
        <w:t>Later source:</w:t>
      </w:r>
      <w:r>
        <w:t xml:space="preserve"> Assessing Ochratoxin A Contamination in Pre-Packaged Grated Cheese: Implications for Food Safety — https://doi.org/10.3390/foods14091504</w:t>
      </w:r>
    </w:p>
    <w:p>
      <w:pPr>
        <w:pStyle w:val="SourceNote"/>
      </w:pPr>
      <w:r>
        <w:rPr>
          <w:b/>
        </w:rPr>
        <w:t>Review status:</w:t>
      </w:r>
      <w:r>
        <w:t xml:space="preserve"> unchecked — possible relationship only</w:t>
      </w:r>
    </w:p>
    <w:p>
      <w:pPr>
        <w:pStyle w:val="Heading2"/>
      </w:pPr>
      <w:r>
        <w:t>500. Claim + two later sources: Trends and forecast of obesity in Finland</w:t>
      </w:r>
    </w:p>
    <w:p>
      <w:pPr>
        <w:pStyle w:val="SourceNote"/>
      </w:pPr>
      <w:r>
        <w:rPr>
          <w:b/>
        </w:rPr>
        <w:t>Group ID:</w:t>
      </w:r>
      <w:r>
        <w:t xml:space="preserve"> group-68ebce1f666c037f2467</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Global prevalence of obesity in the older adults: A meta-analysis — https://doi.org/10.1016/j.puhip.2025.100585</w:t>
      </w:r>
    </w:p>
    <w:p>
      <w:pPr/>
      <w:r>
        <w:rPr>
          <w:b/>
        </w:rPr>
        <w:t>Later source:</w:t>
      </w:r>
      <w:r>
        <w:t xml:space="preserve"> Sarcopenia prevalence and functional outcomes in older men with obesity: Comparing the use of the EWGSOP2 sarcopenia versus ESPEN-EASO sarcopenic obesity consensus definitions — https://doi.org/10.1016/j.clnu.2023.07.014</w:t>
      </w:r>
    </w:p>
    <w:p>
      <w:pPr>
        <w:pStyle w:val="SourceNote"/>
      </w:pPr>
      <w:r>
        <w:rPr>
          <w:b/>
        </w:rPr>
        <w:t>Review status:</w:t>
      </w:r>
      <w:r>
        <w:t xml:space="preserve"> unchecked — possible relationship only</w:t>
      </w:r>
    </w:p>
    <w:p>
      <w:pPr>
        <w:pStyle w:val="Heading2"/>
      </w:pPr>
      <w:r>
        <w:t>501. Claim + two later sources: The role of gases in the European energy transition</w:t>
      </w:r>
    </w:p>
    <w:p>
      <w:pPr>
        <w:pStyle w:val="SourceNote"/>
      </w:pPr>
      <w:r>
        <w:rPr>
          <w:b/>
        </w:rPr>
        <w:t>Group ID:</w:t>
      </w:r>
      <w:r>
        <w:t xml:space="preserve"> group-e08f84cd11b20a4f1720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Net Zero Emissions and Positive Energy Districts: A Potential Solution to Achieve the European Climate Targets — https://doi.org/10.1109/tia.2026.3661957</w:t>
      </w:r>
    </w:p>
    <w:p>
      <w:pPr/>
      <w:r>
        <w:rPr>
          <w:b/>
        </w:rPr>
        <w:t>Later source:</w:t>
      </w:r>
      <w:r>
        <w:t xml:space="preserve"> An empirical analysis of net-zero emission targets of Canada and the European Union — https://doi.org/10.21622/maci.2025.02.1.1252</w:t>
      </w:r>
    </w:p>
    <w:p>
      <w:pPr>
        <w:pStyle w:val="SourceNote"/>
      </w:pPr>
      <w:r>
        <w:rPr>
          <w:b/>
        </w:rPr>
        <w:t>Review status:</w:t>
      </w:r>
      <w:r>
        <w:t xml:space="preserve"> unchecked — possible relationship only</w:t>
      </w:r>
    </w:p>
    <w:p>
      <w:pPr>
        <w:pStyle w:val="Heading2"/>
      </w:pPr>
      <w:r>
        <w:t>502. Individual research leads — not grouped</w:t>
      </w:r>
    </w:p>
    <w:p>
      <w:pPr/>
      <w:r>
        <w:t>These are single claim–paper research leads, not claim + paper A + paper B proposals. A paper in a rejected group may still be useful in a different combination.</w:t>
      </w:r>
    </w:p>
    <w:p>
      <w:pPr>
        <w:pStyle w:val="Heading2"/>
      </w:pPr>
      <w:r>
        <w:t>503.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2026:</w:t>
      </w:r>
      <w:r>
        <w:t xml:space="preserve"> Economic Agents and Economic Motives — https://doi.org/10.4324/9781003381099</w:t>
      </w:r>
    </w:p>
    <w:p>
      <w:pPr/>
      <w:r>
        <w:rPr>
          <w:b/>
        </w:rPr>
        <w:t>Shared claim-specific concepts:</w:t>
      </w:r>
      <w:r>
        <w:t xml:space="preserve"> concepts, forms, motives, alternative; EU scope not established. This is a provisional connection, not an outcome finding.</w:t>
      </w:r>
    </w:p>
    <w:p>
      <w:pPr>
        <w:pStyle w:val="SourceNote"/>
      </w:pPr>
      <w:r>
        <w:rPr>
          <w:b/>
        </w:rPr>
        <w:t>Available abstract (not full text):</w:t>
      </w:r>
      <w:r>
        <w:t xml:space="preserve"> Economics has long been shaped by the figure of the self-interested individual. Yet many forms of economic action cannot be adequately understood through the lens of self-interest alone. This book reconstructs Amartya Sen’s understanding of economic agents and economic motives, showing how concepts such as commitment, self-sacrifice, agency, responsibility, and capabilities contribute to an alternative view of economic behavior grounded in social relationships. Drawing on the history of economic thought, economic methodology, and social economics, the book situates Sen’s reflections within a broader intellectual tradition that includes Aristotle, Adam Smith, and the civil economy tradition. It argues that Sen developed an implicit but coherent conception of economic agents as socially embedded individuals whose decisions are shaped not only by personal advantage but also by ethical commitments, concern for others, and participation in collective life. The book further explores the strengths and limitations of this perspective through a dialogue with contemporary interpretations of Sen’s work and examines its relevance for understanding hybrid organizations, particularly social enterprises. By connecting Sen’s ideas to questions of reciprocity, cooperation, and social responsibility, it offers a novel framework for analysing economic action beyond the conventional model of homo </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r>
        <w:rPr>
          <w:b/>
        </w:rPr>
        <w:t>POSSIBLE 2025:</w:t>
      </w:r>
      <w:r>
        <w:t xml:space="preserve"> Place-based leadership and environmental conflicts in the European Union — https://doi.org/10.1080/00343404.2025.2486644</w:t>
      </w:r>
    </w:p>
    <w:p>
      <w:pPr/>
      <w:r>
        <w:rPr>
          <w:b/>
        </w:rPr>
        <w:t>Shared claim-specific concepts:</w:t>
      </w:r>
      <w:r>
        <w:t xml:space="preserve"> environmental, them, three; EU scope visible. This is a provisional connection, not an outcome finding.</w:t>
      </w:r>
    </w:p>
    <w:p>
      <w:pPr>
        <w:pStyle w:val="SourceNote"/>
      </w:pPr>
      <w:r>
        <w:rPr>
          <w:b/>
        </w:rPr>
        <w:t>Available abstract (not full text):</w:t>
      </w:r>
      <w:r>
        <w:t xml:space="preserve">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pPr/>
      <w:r>
        <w:rPr>
          <w:b/>
        </w:rPr>
        <w:t>POSSIBLE 2024:</w:t>
      </w:r>
      <w:r>
        <w:t xml:space="preserve"> Transformation of environmental policy based on the concept of ecological modernization — https://doi.org/10.1051/bioconf/20249305018</w:t>
      </w:r>
    </w:p>
    <w:p>
      <w:pPr/>
      <w:r>
        <w:rPr>
          <w:b/>
        </w:rPr>
        <w:t>Shared claim-specific concepts:</w:t>
      </w:r>
      <w:r>
        <w:t xml:space="preserve"> based, concepts, environmental; EU scope not established. This is a provisional connection, not an outcome finding.</w:t>
      </w:r>
    </w:p>
    <w:p>
      <w:pPr>
        <w:pStyle w:val="SourceNote"/>
      </w:pPr>
      <w:r>
        <w:rPr>
          <w:b/>
        </w:rPr>
        <w:t>Available abstract (not full text):</w:t>
      </w:r>
      <w:r>
        <w:t xml:space="preserve"> The urgency of solving contemporary problems of efficiency and preservation of environmental quality necessitates the formation of a new environmental policy. The article outlines the main theoretical approaches to the study of environmental problems within the framework of theoretical concepts of economics. The point of view of the concept, system of tools and models of environmental policy is presented. The authors view environmental policy as social transformation from the perspective of a three-dimensional implicit analytical framework. It is shown that nature is integrated into the service sector through the creation of a new apparatus. This process has led to a profound institutionalization, commoditization and homogenization of the relationship between nature and society.</w:t>
      </w:r>
    </w:p>
    <w:p>
      <w:pPr/>
      <w:r>
        <w:rPr>
          <w:b/>
        </w:rPr>
        <w:t>POSSIBLE 2024:</w:t>
      </w:r>
      <w:r>
        <w:t xml:space="preserve"> Implementation in the European Union. A concept structural meta-study of environmental and social policy — https://doi.org/10.1080/14782804.2024.2383699</w:t>
      </w:r>
    </w:p>
    <w:p>
      <w:pPr/>
      <w:r>
        <w:rPr>
          <w:b/>
        </w:rPr>
        <w:t>Shared claim-specific concepts:</w:t>
      </w:r>
      <w:r>
        <w:t xml:space="preserve"> based, concepts, environmental, alternative; EU scope visible. This is a provisional connection, not an outcome finding.</w:t>
      </w:r>
    </w:p>
    <w:p>
      <w:pPr>
        <w:pStyle w:val="SourceNote"/>
      </w:pPr>
      <w:r>
        <w:rPr>
          <w:b/>
        </w:rPr>
        <w:t>Available abstract (not full text):</w:t>
      </w:r>
      <w:r>
        <w:t xml:space="preserve"> The implementation of EU law has been investigated since the 1980s without pinpointing any general explanatory mechanisms, while most studies focus on highly specific empirical analysis without going beyond basic conceptual descriptions. Theoretically, this paper proposes an alternative comparative framework to conceptualize and analyze differentiated policy implementation based on concept structural considerations. Empirically, existing case studies are compared in a meta-study by transferring their statements on explanatory conditions and outcomes into a parsimonious, procedural model. This approach enables a theory-guided, systematic comparison of qualitative case studies which has long been considered a desideratum in the implementation literature. The paper addresses the question under which conditions correct implementation (i.e. transposition and application) of EU directives occurs. Starting from a literature assessment, explanatory patterns are extracted and formalized as set-theoretic conditions connected to transposition and application as outcomes. The resulting concept structural model links the conceptual and explanatory levels of the underlying concepts. Using fuzzy set QCA, cases from environmental and social policy directives are assessed empirically based on case study data. The results largely confirm the expectation that only a conjunction of willingness- an</w:t>
      </w:r>
    </w:p>
    <w:p>
      <w:pPr/>
      <w:r>
        <w:rPr>
          <w:b/>
        </w:rPr>
        <w:t>POSSIBLE 2024:</w:t>
      </w:r>
      <w:r>
        <w:t xml:space="preserve"> Natural/Small Water Retention Measures: Their Contribution to Ecosystem-Based Concepts — https://doi.org/10.3390/su16031308</w:t>
      </w:r>
    </w:p>
    <w:p>
      <w:pPr/>
      <w:r>
        <w:rPr>
          <w:b/>
        </w:rPr>
        <w:t>Shared claim-specific concepts:</w:t>
      </w:r>
      <w:r>
        <w:t xml:space="preserve"> concepts, environmental, project, show; EU scope visible. This is a provisional connection, not an outcome finding.</w:t>
      </w:r>
    </w:p>
    <w:p>
      <w:pPr>
        <w:pStyle w:val="SourceNote"/>
      </w:pPr>
      <w:r>
        <w:rPr>
          <w:b/>
        </w:rPr>
        <w:t>Available abstract (not full text):</w:t>
      </w:r>
      <w:r>
        <w:t xml:space="preserve"> The increasing incidence of droughts and heavy rainfall events is exacerbating conflicts between human and environmental demands for water. However, through providing multiple water-related ecosystem services and benefits simultaneously, Natural/Small Water Retention Measures (NSWRM) can mitigate such competing claims. Thus, they also contribute to the achievement of various Sustainable Development Goals and environmental targets set out in water- and agriculture-related policies of the European Union. In particular, NSWRM provide for the sound management of watersheds, which can significantly contribute to improved water quality and availability—as well as improving the resilience of agriculture and society. This paper demonstrates how NSWRM fit into the framework of ecosystem-based concepts, including Natural Water Retention Measures (NWRM), Green Infrastructure (GI), Sustainable Land Management (SLM), Ecosystem-based Adaptation (EbA), and Nature-based Solutions (NbS). NSWRM, as a distinct concept, bring added value to the other concepts by focussing on easy-to-implement, modestly sized, localised technical solutions to problems associated with water management, sediment, and nutrient loss. Through experience under the EU Horizon 2020 project OPTAIN (“OPtimal strategies to retAIN and re-use water and nutrients in small agricultural catchments across different soil-climatic re</w:t>
      </w:r>
    </w:p>
    <w:p>
      <w:pPr/>
      <w:r>
        <w:rPr>
          <w:b/>
        </w:rPr>
        <w:t>POSSIBLE 2024:</w:t>
      </w:r>
      <w:r>
        <w:t xml:space="preserve"> Reconstructing Class Analysis — https://doi.org/10.5070/lp64263565</w:t>
      </w:r>
    </w:p>
    <w:p>
      <w:pPr/>
      <w:r>
        <w:rPr>
          <w:b/>
        </w:rPr>
        <w:t>Shared claim-specific concepts:</w:t>
      </w:r>
      <w:r>
        <w:t xml:space="preserve"> based, three, show; EU scope not established. This is a provisional connection, not an outcome finding.</w:t>
      </w:r>
    </w:p>
    <w:p>
      <w:pPr>
        <w:pStyle w:val="SourceNote"/>
      </w:pPr>
      <w:r>
        <w:rPr>
          <w:b/>
        </w:rPr>
        <w:t>Available abstract (not full text):</w:t>
      </w:r>
      <w:r>
        <w:t xml:space="preserve"> This article offers a reconceptualization of class-in-capitalism and its articulation with racialization and gender that builds on critical strands of Marxian thought and integrates insights from Black radical and feminist socialist traditions. Rather than a transhistorical materialist conception of class simpliciter , we develop a historically-specific conception of class embedded within an analysis of capitalist social relations . The result is an account of class based not on the appropriation of a “material surplus,” but on asymmetrical social relations in the division of labor and disposition of its fruits . Developing this conception along three key axes of asymmetries—property, production, and personhood—we show how the dynamics propelled by capitalist social relations are co-constitutive with those of racialization, while both the privatization of reproduction and gender-based super-exploitation are systemic features of these dynamics. We emphasize law’s role in the history of these relations, and end with implications of our analysis for their transformation.</w:t>
      </w:r>
    </w:p>
    <w:p>
      <w:pPr/>
      <w:r>
        <w:rPr>
          <w:b/>
        </w:rPr>
        <w:t>POSSIBLE 2023:</w:t>
      </w:r>
      <w:r>
        <w:t xml:space="preserve"> Origins of the European approach to environmental justice — https://openalex.org/W7135598878</w:t>
      </w:r>
    </w:p>
    <w:p>
      <w:pPr/>
      <w:r>
        <w:rPr>
          <w:b/>
        </w:rPr>
        <w:t>Shared claim-specific concepts:</w:t>
      </w:r>
      <w:r>
        <w:t xml:space="preserve"> based, environmental, discourse; EU scope visible. This is a provisional connection, not an outcome finding.</w:t>
      </w:r>
    </w:p>
    <w:p>
      <w:pPr>
        <w:pStyle w:val="SourceNote"/>
      </w:pPr>
      <w:r>
        <w:rPr>
          <w:b/>
        </w:rPr>
        <w:t>Available abstract (not full text):</w:t>
      </w:r>
      <w:r>
        <w:t xml:space="preserve"> This thesis deals with the process of diffusion of the idea of environmental justice to Europe. Using the examples of Great Britain and Slovakia, it traces how environmental justice reached these countries and how it changed in the process. The thesis focuses on the academic discussion as one of the segments of the discourse on environmental justice. Based on the theory of translation, it examines the spaces where experts have encountered the idea of environmental justice. Furthermore, it is interested in the theoretical foundations and the content of environmental justice in the local discourse, especially concerning the transformations of the concept in order to bring it closer to the local context. Employing the interpretative qualitative analysis of academic publications written by authors affiliated with British or Slovak institutions, it has been established that the process of translation to Europe remains incomplete and does not occur uniformly. American publications have played a greater role in the UK and linking of environmental justice with sustainable development has become an important mechanism of translation here. In contrast, Slovak academic debate has been influenced by personal contacts with the international sphere. However the translation to Slovakia is currently taking place...</w:t>
      </w:r>
    </w:p>
    <w:p>
      <w:pPr/>
      <w:r>
        <w:rPr>
          <w:b/>
        </w:rPr>
        <w:t>POSSIBLE 2023:</w:t>
      </w:r>
      <w:r>
        <w:t xml:space="preserve"> Environmental Economy and Green Transition in the European Union: Two Complementary Concepts — https://doi.org/10.2478/picbe-2023-0135</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Abstract The environmental economy and green transition are closely related concepts that focus on promoting new sustainable paths and economic growth and reducing the negative impact of activities on the environment. Therefore, the environmental economy and green transition have become two of the most important directions in the continuing development of the world. The environmental economy involves the ongoing progress of green technologies, green energy, and different activities aimed at changing society’s attitude toward more environmental solutions and policies. The environmental economy is a discipline that studies the economic effects of environmental products, services and policies in different realities, economies, and societies. It includes goods and services that help to preserve the stock of natural resources and protect the environment. The green transition refers to the process of transforming people, planet, and partnerships to an environmentally friendly economy. This includes also implementing policies and practices that reduce greenhouse gas emissions, promote energy efficiency, increase the use of renewable energy sources, and reduce waste and pollution. The aim of this paper is to analyze, based on Eurostat data, the evolution of the environmental economy for the EU Member States, considering that the topic has nowadays prompted both governments and corporat</w:t>
      </w:r>
    </w:p>
    <w:p>
      <w:pPr/>
      <w:r>
        <w:rPr>
          <w:b/>
        </w:rPr>
        <w:t>POSSIBLE 2023:</w:t>
      </w:r>
      <w:r>
        <w:t xml:space="preserve"> Sustainable board governance and environmental performance: European evidence — https://doi.org/10.1002/bse.3654</w:t>
      </w:r>
    </w:p>
    <w:p>
      <w:pPr/>
      <w:r>
        <w:rPr>
          <w:b/>
        </w:rPr>
        <w:t>Shared claim-specific concepts:</w:t>
      </w:r>
      <w:r>
        <w:t xml:space="preserve"> based, environmental, project; EU scope visible. This is a provisional connection, not an outcome finding.</w:t>
      </w:r>
    </w:p>
    <w:p>
      <w:pPr>
        <w:pStyle w:val="SourceNote"/>
      </w:pPr>
      <w:r>
        <w:rPr>
          <w:b/>
        </w:rPr>
        <w:t>Available abstract (not full text):</w:t>
      </w:r>
      <w:r>
        <w:t xml:space="preserve"> Abstract The ambitious EU Green Deal project is linked to extensive regulations on sustainability reporting, sustainable finance, and sustainable corporate governance. With increasing awareness of the impact of sustainable board governance on corporate environmental performance, our paper includes an innovative sustainable board governance score, reflecting significant board attributes. The question arises whether the combined effect of sustainable board measures, based on (1) sustainability board committees, (2) a critical mass of female board members, and (3) sustainability‐related executive compensation, influences environmental performance and its main sub‐pillars according to the EU Taxonomy Regulation. Based on stakeholder and critical mass theories, our study empirically addresses the impact of sustainable board governance on environmental performance and five sub‐pillars (carbon, emissions, biodiversity, resource use, and water performance). Using a sample of 2630 firm‐year observations from 2014 to 21, we find that sustainable board governance significantly improves environmental performance and the related sub‐pillars, except for biodiversity and water performance. Our findings are robust to robustness analyses and endogeneity checks. To the best of our knowledge, we are the first to rely on the combined effect of sustainable board attributes and its impact of environ</w:t>
      </w:r>
    </w:p>
    <w:p>
      <w:pPr/>
      <w:r>
        <w:rPr>
          <w:b/>
        </w:rPr>
        <w:t>POSSIBLE 2023:</w:t>
      </w:r>
      <w:r>
        <w:t xml:space="preserve"> Environmental impact potential of insect production chains for food and feed in Europe — https://doi.org/10.1093/af/vfad033</w:t>
      </w:r>
    </w:p>
    <w:p>
      <w:pPr/>
      <w:r>
        <w:rPr>
          <w:b/>
        </w:rPr>
        <w:t>Shared claim-specific concepts:</w:t>
      </w:r>
      <w:r>
        <w:t xml:space="preserve"> environmental, alternative, example; EU scope visible. This is a provisional connection, not an outcome finding.</w:t>
      </w:r>
    </w:p>
    <w:p>
      <w:pPr>
        <w:pStyle w:val="SourceNote"/>
      </w:pPr>
      <w:r>
        <w:rPr>
          <w:b/>
        </w:rPr>
        <w:t>Available abstract (not full text):</w:t>
      </w:r>
      <w:r>
        <w:t xml:space="preserve"> Insects can address sustainability issues associated with current food systems by providing an alternative protein source to address hunger and disease. Only the production systems that rely on side-stream heat and alternate energy sources may benefit from replacing compound feed production with insect value chains. Seventy-five percent to 93% of the effects of compound feed production on global warming potential, land use, and fossil resource shortages can be avoided. To fully assess the potential of insect production, it is critical to consider a wide range of sustainability indicators, including social, economic, and environmental aspects. The current food systems are facing several sustainability problems. One major issue is the environmental impact of food production, which contributes to climate change, deforestation, and biodiversity loss (Poore and Nemecek, 2018). Additionally, current food systems depend on finite resources, such as water and fossil fuels, which are becoming increasingly scarce. Moreover, the current food systems have a significantly negative impact on human health, particularly the increasing incidence of chronic diseases linked to the overconsumption of animal products (Willett, 2013). Furthermore, the current food systems are inequitable, as they often fail to provide adequate access to food for marginalized communities and contribute to social and </w:t>
      </w:r>
    </w:p>
    <w:p>
      <w:pPr>
        <w:pStyle w:val="Heading2"/>
      </w:pPr>
      <w:r>
        <w:t>504.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2025:</w:t>
      </w:r>
      <w:r>
        <w:t xml:space="preserve"> The European Social Model in the age of AI — https://doi.org/10.60054/peu.2025.12.290-300</w:t>
      </w:r>
    </w:p>
    <w:p>
      <w:pPr/>
      <w:r>
        <w:rPr>
          <w:b/>
        </w:rPr>
        <w:t>Shared claim-specific concepts:</w:t>
      </w:r>
      <w:r>
        <w:t xml:space="preserve"> enable, creation, sustainability, policies; EU scope visible. This is a provisional connection, not an outcome finding.</w:t>
      </w:r>
    </w:p>
    <w:p>
      <w:pPr>
        <w:pStyle w:val="SourceNote"/>
      </w:pPr>
      <w:r>
        <w:rPr>
          <w:b/>
        </w:rPr>
        <w:t>Available abstract (not full text):</w:t>
      </w:r>
      <w:r>
        <w:t xml:space="preserve"> The European social model (ESM) has been a pillar of the European Union, balancing economic growth with social justice. Yet, the emergence of digitalization and artificial intelligence (AI) is fundamentally transforming labour markets, welfare policies and social protection. This paper explores the impact of AI on the ESM, with particular attention to job creation and displacement, digital skill gaps, and changing welfare architecture. The methodology is based on a qualitative policy analysis and labour market data from the Eurostat and European Commission sources. The study analyses the ways in which AI-led changes will influence job losses, skills mismatches and the sustainability of the systems of social security. The results emphasize the importance of proactive regulation, investments in digital literacy, and regulatory measures to enable AI to drive inclusive economic growth rather than increasing inequality. The recommendations include lifelong learning, adapting welfare systems to new forms of work and responsible governance of AI.</w:t>
      </w:r>
    </w:p>
    <w:p>
      <w:pPr/>
      <w:r>
        <w:rPr>
          <w:b/>
        </w:rPr>
        <w:t>POSSIBLE 2025:</w:t>
      </w:r>
      <w:r>
        <w:t xml:space="preserve"> Scaling sustainable start-ups: barriers and enablers in talent attraction in Europe — https://openalex.org/W7171609687</w:t>
      </w:r>
    </w:p>
    <w:p>
      <w:pPr/>
      <w:r>
        <w:rPr>
          <w:b/>
        </w:rPr>
        <w:t>Shared claim-specific concepts:</w:t>
      </w:r>
      <w:r>
        <w:t xml:space="preserve"> enable, policies, literature, review; EU scope visible. This is a provisional connection, not an outcome finding.</w:t>
      </w:r>
    </w:p>
    <w:p>
      <w:pPr>
        <w:pStyle w:val="SourceNote"/>
      </w:pPr>
      <w:r>
        <w:rPr>
          <w:b/>
        </w:rPr>
        <w:t>Available abstract (not full text):</w:t>
      </w:r>
      <w:r>
        <w:t xml:space="preserve"> This thesis examines barriers and enablers of scaling sustainable start-ups in Europe across regulation, financing, and talent. Building on a structured literature review and 15 semi-structured interviews with founders, venture capitalists, and sustainable industry experts, it shows how regulation in form of administrative burdens and policy volatility slow market adoption, while well-designed policies can create demand niches. Findings also reveal a persistent funding gap and the need for blended finance mechanisms. Finally, purpose attracts talent, but retention depends on mission execution and clear people structures. It derivesactionable implications for founders to enable resilient growth during the scaling phase.</w:t>
      </w:r>
    </w:p>
    <w:p>
      <w:pPr/>
      <w:r>
        <w:rPr>
          <w:b/>
        </w:rPr>
        <w:t>POSSIBLE 2025:</w:t>
      </w:r>
      <w:r>
        <w:t xml:space="preserve"> Scaling sustainable start-ups: barriers and enablers in financing in Europe — https://openalex.org/W7162970613</w:t>
      </w:r>
    </w:p>
    <w:p>
      <w:pPr/>
      <w:r>
        <w:rPr>
          <w:b/>
        </w:rPr>
        <w:t>Shared claim-specific concepts:</w:t>
      </w:r>
      <w:r>
        <w:t xml:space="preserve"> enable, policies, literature, review; EU scope visible. This is a provisional connection, not an outcome finding.</w:t>
      </w:r>
    </w:p>
    <w:p>
      <w:pPr>
        <w:pStyle w:val="SourceNote"/>
      </w:pPr>
      <w:r>
        <w:rPr>
          <w:b/>
        </w:rPr>
        <w:t>Available abstract (not full text):</w:t>
      </w:r>
      <w:r>
        <w:t xml:space="preserve"> This thesis examines barriers and enablers of scaling sustainable start-ups in Europe across regulation, financing, and talent. Building on a structured literature review and 15 semi structured interviews with founders, venture capitalists, and sustainable industry experts, it shows how regulation in form of administrative burdens and policy volatility slow market adoption, while well-designed policies can create demand niches. Findings also reveal a persistent funding gap and the need for blended finance mechanisms. Finally, purpose attracts talent, but retention depends on mission execution and clear people structures. It derives actionable implications for founders to enable resilient growth during the scaling phase.</w:t>
      </w:r>
    </w:p>
    <w:p>
      <w:pPr/>
      <w:r>
        <w:rPr>
          <w:b/>
        </w:rPr>
        <w:t>POSSIBLE 2025:</w:t>
      </w:r>
      <w:r>
        <w:t xml:space="preserve"> Waste Hierarchy in Action. Italian and European Models for a Sustainable Future — https://openalex.org/W7113130641</w:t>
      </w:r>
    </w:p>
    <w:p>
      <w:pPr/>
      <w:r>
        <w:rPr>
          <w:b/>
        </w:rPr>
        <w:t>Shared claim-specific concepts:</w:t>
      </w:r>
      <w:r>
        <w:t xml:space="preserve"> sustainability, decision-makers, policies, transition; EU scope visible. This is a provisional connection, not an outcome finding.</w:t>
      </w:r>
    </w:p>
    <w:p>
      <w:pPr>
        <w:pStyle w:val="SourceNote"/>
      </w:pPr>
      <w:r>
        <w:rPr>
          <w:b/>
        </w:rPr>
        <w:t>Available abstract (not full text):</w:t>
      </w:r>
      <w:r>
        <w:t xml:space="preserve"> The “waste hierarchy” principle is a pillar of European environmental policy. Despite the presence of common objectives set by the European Union, each country maintains a wide margin of autonomy in implementation, deciding how to incentivize the most effective actions (reduction, reuse, recycling) and discourage those that are less sustainable (incineration and landfill). This causes considerable heterogeneity, both in the strategies adopted and in the results obtained: some countries have achieved significant milestones, while others still show significant room for improvement.Intervening with targeted and ambitious policies is increasingly urgent. Through the analysis of six emblematic cases, the volume identifies the necessary conditions to make the waste hierarchy principle a reality. Strong determination from political or corporate leadership, the involvement of authoritative and passionate experts, stakeholder engagement, the availability of adequate resources, and project flexibility emerge as decisive enabling factors to overcome bottlenecks and the many regulatory, cultural, and industrial resistances.From the cross-sectional reading of the cases, it emerges that there is no ideal context or single model for scaling the waste hierarchy, just as no single “best practice” can be identified, but rather a plurality of good practices that can be combined synergistically.Th</w:t>
      </w:r>
    </w:p>
    <w:p>
      <w:pPr/>
      <w:r>
        <w:rPr>
          <w:b/>
        </w:rPr>
        <w:t>POSSIBLE 2024:</w:t>
      </w:r>
      <w:r>
        <w:t xml:space="preserve"> Strategic management as an enabler of co-creation in public services — https://doi.org/10.51952/9781447369042.ch006</w:t>
      </w:r>
    </w:p>
    <w:p>
      <w:pPr/>
      <w:r>
        <w:rPr>
          <w:b/>
        </w:rPr>
        <w:t>Shared claim-specific concepts:</w:t>
      </w:r>
      <w:r>
        <w:t xml:space="preserve"> enable, used, literature; EU scope not established. This is a provisional connection, not an outcome finding.</w:t>
      </w:r>
    </w:p>
    <w:p>
      <w:pPr>
        <w:pStyle w:val="SourceNote"/>
      </w:pPr>
      <w:r>
        <w:rPr>
          <w:b/>
        </w:rPr>
        <w:t>Available abstract (not full text):</w:t>
      </w:r>
      <w:r>
        <w:t xml:space="preserve"> The current transformations in society, the economy and the public sector call for the development of more unified theoretical frameworks. This chapter takes the literature on strategic management as a theoretical entry angle and aims to better understand how the adoption of models of strategic management can enable processes of public value co-creation. Utilising the literature centred on the notion of ‘schools of thought’ in the strategic management of public services, the chapter discusses how co-creation as a mode of governance in public services can contribute to innovative public service solutions and value co-creation. The Welsh Water’s ‘Water Resilient Community’ – a project characterised by long-term strategic planning as well as by local innovation – is used to illustrate the argument. Four propositions on the drivers/enablers and key managerial issues for undertaking a strategic approach to co-creation as a mode of governance are offered to enhance future practice, research and theory.</w:t>
      </w:r>
    </w:p>
    <w:p>
      <w:pPr>
        <w:pStyle w:val="Heading2"/>
      </w:pPr>
      <w:r>
        <w:t>505.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Sustainable pharmaceutical packaging under the European Union regulatory framework — https://doi.org/10.1007/s43621-026-04534-6</w:t>
      </w:r>
    </w:p>
    <w:p>
      <w:pPr/>
      <w:r>
        <w:rPr>
          <w:b/>
        </w:rPr>
        <w:t>Shared claim-specific concepts:</w:t>
      </w:r>
      <w:r>
        <w:t xml:space="preserve"> union, must, regulatory, not, only, reduce; EU scope visible. This is a provisional connection, not an outcome finding.</w:t>
      </w:r>
    </w:p>
    <w:p>
      <w:pPr>
        <w:pStyle w:val="SourceNote"/>
      </w:pPr>
      <w:r>
        <w:rPr>
          <w:b/>
        </w:rPr>
        <w:t>Available abstract (not full text):</w:t>
      </w:r>
      <w:r>
        <w:t xml:space="preserve"> Pharmaceutical packaging must protect medicinal product quality and patient safety while responding to increasing pressure to reduce material use, greenhouse-gas emissions, and packaging waste. This structured integrative review examines how the European Union Packaging and Packaging Waste Regulation, life-cycle evidence, material innovation and digital information systems affect pharmaceutical packaging decisions. Peer-reviewed studies, official legislation, standards and regulatory guidance were critically synthesised, while company data were used only when independently verifiable evidence was unavailable and were explicitly labelled as industry evidence. Published life-cycle assessments show that environmental rankings depend strongly on the functional unit, system boundary, dosage format, secondary packaging, energy mix and end-of-life assumptions; therefore, broad claims that a single material consistently delivers fixed carbon reductions are not scientifically transferable. High-density polyethylene, polypropylene, paper-based structures, polylactic acid and cyclic olefin polymers offer specific opportunities, but each presents trade-offs involving barrier variability, pharmaceutical-grade purity, extractables and leachables, sterilisation, forming performance, recycling infrastructure and regulatory requalification. The PPWR introduces important circularity requirements</w:t>
      </w:r>
    </w:p>
    <w:p>
      <w:pPr/>
      <w:r>
        <w:rPr>
          <w:b/>
        </w:rPr>
        <w:t>POSSIBLE 2026:</w:t>
      </w:r>
      <w:r>
        <w:t xml:space="preserve"> The Regulatory Framework for Crypto-Assets in the European Union — https://doi.org/10.18616/rdhs.v9i2.10712</w:t>
      </w:r>
    </w:p>
    <w:p>
      <w:pPr/>
      <w:r>
        <w:rPr>
          <w:b/>
        </w:rPr>
        <w:t>Shared claim-specific concepts:</w:t>
      </w:r>
      <w:r>
        <w:t xml:space="preserve"> union, regulatory, instruments, resilience; EU scope visible. This is a provisional connection, not an outcome finding.</w:t>
      </w:r>
    </w:p>
    <w:p>
      <w:pPr>
        <w:pStyle w:val="SourceNote"/>
      </w:pPr>
      <w:r>
        <w:rPr>
          <w:b/>
        </w:rPr>
        <w:t>Available abstract (not full text):</w:t>
      </w:r>
      <w:r>
        <w:t xml:space="preserve"> This article offers a comprehensive analysis of the legal regulation of crypto-assets in the European Union (EU). It examines the principal EU legislative instruments in this field, including Regulation (EU) 2023/1114 on Markets in Crypto-Assets (MiCA); Regulation (EU) 2023/1113 on information accompanying transfers of funds and certain crypto-assets (the Transfer of Funds Regulation, or TFR), which introduces the EU Travel Rule; Regulation (EU) 2024/1624 on the prevention of the use of the financial system for the purposes of money laundering or terrorist financing (AMLR); Regulation (EU) 2024/1620 establishing the European Authority for Anti-Money Laundering and Countering the Financing of Terrorism (AMLA); Regulation (EU) 2022/2554 on the digital operational resilience of the financial sector (DORA); and Regulation (EU) 2022/858 on a pilot regime for market infrastructures based on distributed ledger technology (the DLT Pilot Regime). The article concludes that the European Union’s legal framework for crypto-assets represents a systematic, comprehensive, and balanced approach to regulation.</w:t>
      </w:r>
    </w:p>
    <w:p>
      <w:pPr/>
      <w:r>
        <w:rPr>
          <w:b/>
        </w:rPr>
        <w:t>POSSIBLE 2026:</w:t>
      </w:r>
      <w:r>
        <w:t xml:space="preserve"> Perspective Chapter: AI Regulatory Landscape in the European Union — https://doi.org/10.5772/intechopen.1014965</w:t>
      </w:r>
    </w:p>
    <w:p>
      <w:pPr/>
      <w:r>
        <w:rPr>
          <w:b/>
        </w:rPr>
        <w:t>Shared claim-specific concepts:</w:t>
      </w:r>
      <w:r>
        <w:t xml:space="preserve"> union, regulatory, but, also, resilience, areas; EU scope visible. This is a provisional connection, not an outcome finding.</w:t>
      </w:r>
    </w:p>
    <w:p>
      <w:pPr>
        <w:pStyle w:val="SourceNote"/>
      </w:pPr>
      <w:r>
        <w:rPr>
          <w:b/>
        </w:rPr>
        <w:t>Available abstract (not full text):</w:t>
      </w:r>
      <w:r>
        <w:t xml:space="preserve"> This book chapter analyses the evolving regulatory landscape for artificial intelligence (AI) in the European Union (EU), focusing on the AI Act as the world’s first comprehensive horizontal, risk-based framework for AI governance. It examines how the Act translates the principles of proportionality, accountability and transparency into a differentiated regulatory architecture, ranging from prohibited practices to extensive obligations for high-risk AI systems, while allocating responsibilities across providers, deployers and other actors in increasingly complex AI value chains. The chapter situates the AI Act within the EU’s broader, multi-layered digital regulatory ecosystem, particularly its interaction with the General Data Protection Regulation (GDPR), the Digital Operational Resilience Act (DORA), sector-specific regulation and product-liability rules. It identifies areas of regulatory complementarity, but also tensions concerning risk management, data governance, automated decision-making, third-party dependencies, operational continuity and responsibility allocation. Particular attention is devoted to the withdrawal of the proposed AI Liability Directive, which was intended to address evidentiary and causation difficulties faced by victims of AI-related harm. The chapter argues that its withdrawal leaves a significant gap between the AI Act’s ex ante compliance framewor</w:t>
      </w:r>
    </w:p>
    <w:p>
      <w:pPr/>
      <w:r>
        <w:rPr>
          <w:b/>
        </w:rPr>
        <w:t>POSSIBLE 2025:</w:t>
      </w:r>
      <w:r>
        <w:t xml:space="preserve"> Regulatory Landscape of Nutraceuticals in the European Union — https://doi.org/10.1201/9781003465041-9</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The regulatory landscape for nutraceuticals in the European Union (EU) is a complex framework designed to ensure the safety and quality of these products while promoting innovation in the industry. This abstract provides a concise overview of the key regulatory requirements governing nutraceuticals in the EU. The regulatory framework primarily revolves around the principle of placing safe and appropriately labeled products on the market. Nutraceuticals, positioned at the intersection of food and pharmaceuticals, are subject to stringent standards set forth in EU regulations. These regulations encompass aspects such as ingredient safety, permissible health claims, and labeling requirements. The European Food Safety Authority (EFSA) plays a pivotal role in evaluating and approving health claims associated with nutraceuticals. Additionally, manufacturers must adhere to Good Manufacturing Practices (GMP) to ensure the consistent quality of their products. Novel foods, including certain nutraceutical ingredients, undergo a separate approval process to assess their safety and potential impact on public health. Harmonizing regulations across EU member states, this framework facilitates the free movement of nutraceuticals within the single market while safeguarding consumer health. Navigating this regulatory landscape demands a comprehensive understanding of the evolving requirements, </w:t>
      </w:r>
    </w:p>
    <w:p>
      <w:pPr/>
      <w:r>
        <w:rPr>
          <w:b/>
        </w:rPr>
        <w:t>POSSIBLE 2025:</w:t>
      </w:r>
      <w:r>
        <w:t xml:space="preserve"> Capitalism, imperialism and European Union Law: towards a Marxist approach — https://doi.org/10.1017/elo.2025.10018</w:t>
      </w:r>
    </w:p>
    <w:p>
      <w:pPr/>
      <w:r>
        <w:rPr>
          <w:b/>
        </w:rPr>
        <w:t>Shared claim-specific concepts:</w:t>
      </w:r>
      <w:r>
        <w:t xml:space="preserve"> abstract, union, must, not, but; EU scope visible. This is a provisional connection, not an outcome finding.</w:t>
      </w:r>
    </w:p>
    <w:p>
      <w:pPr>
        <w:pStyle w:val="SourceNote"/>
      </w:pPr>
      <w:r>
        <w:rPr>
          <w:b/>
        </w:rPr>
        <w:t>Available abstract (not full text):</w:t>
      </w:r>
      <w:r>
        <w:t xml:space="preserve"> Abstract This article establishes a foundation for the development of Marxist approaches to European Union (EU) law. While Marxist scholarship has engaged with European integration throughout its history, it has largely overlooked the legal architecture of the EU. Conversely, EU legal studies have remained largely insulated from Marxist thought, even as critical approaches have begun to gain traction. Bridging this mutual neglect, the article argues that EU law must be understood not as a neutral or technocratic system, but as a central element of capitalist social relations both in Europe, and in terms of Europe’s wider integration in the global market. In this way, EU law is bound up with processes of accumulation, imperialism, and racialised social reproduction. Drawing on key currents within Marxist theory, the article situates EU law within the historical dynamics of capitalist development, demonstrating how a materialist legal analysis can deepen and enrich existing critiques of European integration.</w:t>
      </w:r>
    </w:p>
    <w:p>
      <w:pPr/>
      <w:r>
        <w:rPr>
          <w:b/>
        </w:rPr>
        <w:t>POSSIBLE 2025:</w:t>
      </w:r>
      <w:r>
        <w:t xml:space="preserve"> Accounting regulation in the European Union — https://doi.org/10.1007/s11142-025-09909-0</w:t>
      </w:r>
    </w:p>
    <w:p>
      <w:pPr/>
      <w:r>
        <w:rPr>
          <w:b/>
        </w:rPr>
        <w:t>Shared claim-specific concepts:</w:t>
      </w:r>
      <w:r>
        <w:t xml:space="preserve"> abstract, union, regulatory, improve; EU scope visible. This is a provisional connection, not an outcome finding.</w:t>
      </w:r>
    </w:p>
    <w:p>
      <w:pPr>
        <w:pStyle w:val="SourceNote"/>
      </w:pPr>
      <w:r>
        <w:rPr>
          <w:b/>
        </w:rPr>
        <w:t>Available abstract (not full text):</w:t>
      </w:r>
      <w:r>
        <w:t xml:space="preserve"> Abstract We provide a comprehensive overview of accounting-related regulatory changes (financial accounting, auditing, tax, and other disclosures) in the 27 European Union countries and the United Kingdom since 1993 based on an extensive literature review, survey, and topic and country expert input. Across all countries and years, we find that more than 16 regulatory events occur in a typical difference-in-differences research design that includes pre- and post-periods of four years. On average 3.4 out of four accounting disciplines are affected, emphasizing the need for interdisciplinary awareness. Our accompanying website ( http://www.eu-regulations.com ) offers visual representations of these events, regulation summaries, literature links, and source documents, all by country. This work aims to (1) lower the cost for researchers, reviewers, and editors to understand the EU’s evolving regulatory landscape; (2) improve research designs by identifying concurrent regulatory events; and (3) highlight research opportunities for those studying the EU or specific member states.</w:t>
      </w:r>
    </w:p>
    <w:p>
      <w:pPr/>
      <w:r>
        <w:rPr>
          <w:b/>
        </w:rPr>
        <w:t>POSSIBLE 2025:</w:t>
      </w:r>
      <w:r>
        <w:t xml:space="preserve"> Water reuse in the European Union: fostering and constraining public acceptance — https://doi.org/10.1093/jel/eqaf026</w:t>
      </w:r>
    </w:p>
    <w:p>
      <w:pPr/>
      <w:r>
        <w:rPr>
          <w:b/>
        </w:rPr>
        <w:t>Shared claim-specific concepts:</w:t>
      </w:r>
      <w:r>
        <w:t xml:space="preserve"> abstract, union, must; EU scope visible. This is a provisional connection, not an outcome finding.</w:t>
      </w:r>
    </w:p>
    <w:p>
      <w:pPr>
        <w:pStyle w:val="SourceNote"/>
      </w:pPr>
      <w:r>
        <w:rPr>
          <w:b/>
        </w:rPr>
        <w:t>Available abstract (not full text):</w:t>
      </w:r>
      <w:r>
        <w:t xml:space="preserve"> ABSTRACT Water reuse is indicated by the European institutions as a key tool in promoting a circular economy and addressing the current dramatic overuse and pollution of freshwater. Nevertheless, this practice is encountering a certain degree of resistance from the public, understood as the main stakeholders and social actors involved in the water cycle. This article poses a series of questions concerning the ways in which the public's apparent reluctance to embrace reuse practices might be addressed, exploring the capacity of the Union to implement environmental and climate strategies. By analysing the legal nature of water reuse and risk management plans, the idea is put forward that water reuse is a measure that must be considered and that, under certain conditions, should be mandatory. This argument is substantiated by an examination of the cross-cutting nature of water reuse practices and the associated obligations, encompassing environmental protection, energy efficiency, and intergenerational justice.</w:t>
      </w:r>
    </w:p>
    <w:p>
      <w:pPr/>
      <w:r>
        <w:rPr>
          <w:b/>
        </w:rPr>
        <w:t>POSSIBLE 2025:</w:t>
      </w:r>
      <w:r>
        <w:t xml:space="preserve"> Adaptation of Ukrainian Legislation to the Legislation of the European Union: Current Status and Prospects — https://doi.org/10.23939/veritas2025.01.044</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Abstract. The article examines the current state and prospects for adapting Ukrainian legislation to European Union law. It finds that the term “adaptation of legislation” has increasingly been used to describe the process of harmonizing and aligning a candidate country’s national legislation with EU acts, standards, and rules. Since participants in the European integration process must implement and comply with EU legislation, legal adaptation has become a key stage in ensuring the incorporation of European Union standards into national legal systems. This process involves modifying existing legal norms, creating new regulatory acts, reforming institutions and authorities responsible for implementing legislation, and fostering changes in societal culture and consciousness to uphold European standards and values. The study concludes that the essence of adapting Ukrainian legislation to EU law lies in amending and implementing national legislation to ensure compliance and harmonization with EU requirements. Legislative adaptation is a fundamental obligation under the Association Agreement between Ukraine and the European Union, which outlines commitments necessary for Ukraine’s eventual EU membership. This agreement, in terms of scope and thematic coverage, is the most extensive international legal document in Ukraine’s history and the largest international agreement the EU has </w:t>
      </w:r>
    </w:p>
    <w:p>
      <w:pPr/>
      <w:r>
        <w:rPr>
          <w:b/>
        </w:rPr>
        <w:t>POSSIBLE 2025:</w:t>
      </w:r>
      <w:r>
        <w:t xml:space="preserve"> Essential oils – a review of the regulatory framework in the European Union — https://doi.org/10.3897/pharmacia.72.e154479</w:t>
      </w:r>
    </w:p>
    <w:p>
      <w:pPr/>
      <w:r>
        <w:rPr>
          <w:b/>
        </w:rPr>
        <w:t>Shared claim-specific concepts:</w:t>
      </w:r>
      <w:r>
        <w:t xml:space="preserve"> union, regulatory, also; EU scope visible. This is a provisional connection, not an outcome finding.</w:t>
      </w:r>
    </w:p>
    <w:p>
      <w:pPr>
        <w:pStyle w:val="SourceNote"/>
      </w:pPr>
      <w:r>
        <w:rPr>
          <w:b/>
        </w:rPr>
        <w:t>Available abstract (not full text):</w:t>
      </w:r>
      <w:r>
        <w:t xml:space="preserve"> The current trend in consumers’ preferences for healthy lifestyles resulted in an increased demand for natural products. Many companies replaced synthetic compounds, used as preservatives, flavourings, or active ingredients, with natural ones. Nowadays, essential oils (EOs) and compounds isolated from EOs are regarded as promising and safe alternatives for many synthetic substances used as food additives, food preservatives, repellents, antimicrobial agents, etc. A great dynamic regarding the studies on EOs and in the global market of EOs was also reported. Moreover, the European market of EOs represents a significant share of the global EOs market. According to some recent reports, the European EOs market generated a revenue of more than 11 billion USD per year recently and is expected to reach well over 20 billion USD per year in 2030. The article provides an overview concerning EOs regulation in the European Union (EU). In the EU, the different product categories containing EOs are controlled under specific regulations to enhance product quality and safety. The manuscript highlights the key points of the EU legislation on EOs intended for food purposes, cosmetics, and health care.</w:t>
      </w:r>
    </w:p>
    <w:p>
      <w:pPr/>
      <w:r>
        <w:rPr>
          <w:b/>
        </w:rPr>
        <w:t>POSSIBLE 2025:</w:t>
      </w:r>
      <w:r>
        <w:t xml:space="preserve"> Cell-Based Meat in the European Union: A Regulatory Crossroads — https://doi.org/10.1007/978-3-032-14624-3_4</w:t>
      </w:r>
    </w:p>
    <w:p>
      <w:pPr/>
      <w:r>
        <w:rPr>
          <w:b/>
        </w:rPr>
        <w:t>Shared claim-specific concepts:</w:t>
      </w:r>
      <w:r>
        <w:t xml:space="preserve"> union, regulatory, not, only, agriculture, but; EU scope visible. This is a provisional connection, not an outcome finding.</w:t>
      </w:r>
    </w:p>
    <w:p>
      <w:pPr>
        <w:pStyle w:val="SourceNote"/>
      </w:pPr>
      <w:r>
        <w:rPr>
          <w:b/>
        </w:rPr>
        <w:t>Available abstract (not full text):</w:t>
      </w:r>
      <w:r>
        <w:t xml:space="preserve"> Abstract In recent years, we have witnessed the emergence of cell-based meat as a transformative innovation, bearing significant implications for the ongoing debate on the European Union (EU) regulatory framework. The inherently novel and ethically debated nature of cultivated meat calls for a comprehensive and forward-looking regulatory approach—one that can address not only scientific and safety concerns, but also societal, economic, ethical and environmental dimensions. As the discussion around the legitimacy of national provisions limiting the marketing of this product continues to evolve, it remains to be seen whether the current Novel Foods Regulation will prove sufficiently robust, or if further legislative reforms will be required to effectively integrate the emerging sector of cellular agriculture into the EU’s regulatory landscape. This chapter explores the recent debate and political initiatives put forward by various Member States, as well as the responses of different EU institutions, offering an in-depth analysis of future scenarios and challenges.</w:t>
      </w:r>
    </w:p>
    <w:p>
      <w:pPr/>
      <w:r>
        <w:rPr>
          <w:b/>
        </w:rPr>
        <w:t>POSSIBLE 2025:</w:t>
      </w:r>
      <w:r>
        <w:t xml:space="preserve"> Review: European Union legislation and regulatory framework for edible insect production – Safety issues — https://doi.org/10.1016/j.animal.2025.101468</w:t>
      </w:r>
    </w:p>
    <w:p>
      <w:pPr/>
      <w:r>
        <w:rPr>
          <w:b/>
        </w:rPr>
        <w:t>Shared claim-specific concepts:</w:t>
      </w:r>
      <w:r>
        <w:t xml:space="preserve"> union, regulatory, not, but, production; EU scope visible. This is a provisional connection, not an outcome finding.</w:t>
      </w:r>
    </w:p>
    <w:p>
      <w:pPr>
        <w:pStyle w:val="SourceNote"/>
      </w:pPr>
      <w:r>
        <w:rPr>
          <w:b/>
        </w:rPr>
        <w:t>Available abstract (not full text):</w:t>
      </w:r>
      <w:r>
        <w:t xml:space="preserve"> • A comprehensive overview of EU legislation for insects for food and feed is presented. • Insects as novel foods require premarket authorisation to ensure safety. • Insects can be fed to other livestock alive, or as processed protein or fat. • Current feeds for insects are largely limited to vegetable-based materials. • Legal limits apply, but insect-specific circumstances are not yet considered. Farmed insects are increasingly used as a more sustainable and circular alternative protein source for food and feed. As a new type of livestock animal in the European Union ( EU ), farmed insects are subject to general legislation applicable to all food and feed production, as well as certain provisions that are more specific. Presented here is a comprehensive overview on legislation for farmed insects in the EU, as related to food and feed safety aspects. The currently applicable legislation is described, and placed in the context of historical developments and academic literature, and suitability and limitations of these laws from different perspectives are reflected upon. Specific topics that are discussed relate to: insects as feed (live, as processed animal proteins, and fat and derived products); insects as a ‘novel food’; feed materials provided to insects (substrate); applications for insect excrement (frass), and; compliance and legal limits. The latter section includes a di</w:t>
      </w:r>
    </w:p>
    <w:p>
      <w:pPr/>
      <w:r>
        <w:rPr>
          <w:b/>
        </w:rPr>
        <w:t>POSSIBLE 2025:</w:t>
      </w:r>
      <w:r>
        <w:t xml:space="preserve"> Scientific and Regulatory Perspectives on Chemical Risk Assessment of Pesticides in the European Union — https://doi.org/10.3390/jox15050173</w:t>
      </w:r>
    </w:p>
    <w:p>
      <w:pPr/>
      <w:r>
        <w:rPr>
          <w:b/>
        </w:rPr>
        <w:t>Shared claim-specific concepts:</w:t>
      </w:r>
      <w:r>
        <w:t xml:space="preserve"> union, regulatory, also, agricultural, biodiversity, rural; EU scope visible. This is a provisional connection, not an outcome finding.</w:t>
      </w:r>
    </w:p>
    <w:p>
      <w:pPr>
        <w:pStyle w:val="SourceNote"/>
      </w:pPr>
      <w:r>
        <w:rPr>
          <w:b/>
        </w:rPr>
        <w:t>Available abstract (not full text):</w:t>
      </w:r>
      <w:r>
        <w:t xml:space="preserve"> People are exposed to pesticides daily through food, drinking water, and the environment, both in urban and rural settings. These chemicals, while offering economic and agricultural benefits through pest control and increased productivity, may pose a growing risk to human health and ecosystem biodiversity. While the European regulatory framework offers a robust foundation for risk assessment, significant limitations persist, especially in addressing cumulative exposure, low-dose effects, and chemical mixtures. This review focuses on selected scientific and regulatory challenges by reviewing recent European Food Safety Authority (EFSA) conclusions, Organization for Economic Co-operation and Development (OECD) test guidelines updates, and current European legislative approaches. Particular attention is given to the regulation of endocrine-disrupting and reprotoxic substances, highlighting progress and remaining gaps in implementation. A brief mention will also be made of immuno-toxic substances, for which no specific hazard class has yet been established. Building on official reports and peer-reviewed literature, this review provides a structured evaluation of the scientific and regulatory landscape, including underexplored issues like the transition to animal-free toxicology and integration of biomonitoring with health data. The goal is to propose realistic, evidence-based impro</w:t>
      </w:r>
    </w:p>
    <w:p>
      <w:pPr>
        <w:pStyle w:val="Heading2"/>
      </w:pPr>
      <w:r>
        <w:t>506.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Global gridded data for the Shared Socio-economic Pathways — https://doi.org/10.18174/sesmo.18850</w:t>
      </w:r>
    </w:p>
    <w:p>
      <w:pPr/>
      <w:r>
        <w:rPr>
          <w:b/>
        </w:rPr>
        <w:t>Shared claim-specific concepts:</w:t>
      </w:r>
      <w:r>
        <w:t xml:space="preserve"> shared, pathways, ssps, used, representing, them; EU scope not established. This is a provisional connection, not an outcome finding.</w:t>
      </w:r>
    </w:p>
    <w:p>
      <w:pPr>
        <w:pStyle w:val="SourceNote"/>
      </w:pPr>
      <w:r>
        <w:rPr>
          <w:b/>
        </w:rPr>
        <w:t>Available abstract (not full text):</w:t>
      </w:r>
      <w:r>
        <w:t xml:space="preserve"> The shared socio-economic pathways (SSPs) provide storylines for plausible future global developments under a consistent set of assumptions. Primarily, the SSPs have been used to derive quantitative scenarios of greenhouse gas emissions for use in general circulation models and other large-scale, physically based models of environmental change. Their use in large-scale socio-environmental simulation modelling has been less forthcoming. Behavioural models of land systems, typically operating within agent-based frameworks, attempt to explicitly represent the varied socio-environmental factors that characterise the SSP storylines. Such simulation models are often geospatial and grid-based, capable of representing dynamics at resolutions of up to 10s km2 over large extents (continental to global). However, such approaches demand geospatial (usually gridded) input data for multiple social and human variables - often together known as capitals - such as education levels and infrastructure. The lack of such input data for the future SSP storylines has been a substantial limitation in the application of large-scale behavioural models of land systems specifically and of socio-environmental modelling more generally. Here, we present global gridded data for socio-economic capitals useful for simulation models and consistent with the SSP storylines, disaggregated spatially to a 0.25o grid.</w:t>
      </w:r>
    </w:p>
    <w:p>
      <w:pPr/>
      <w:r>
        <w:rPr>
          <w:b/>
        </w:rPr>
        <w:t>POSSIBLE 2026:</w:t>
      </w:r>
      <w:r>
        <w:t xml:space="preserve"> Modelling human values within the shared socio-economic pathways — https://doi.org/10.5287/ora-prm67xp8k</w:t>
      </w:r>
    </w:p>
    <w:p>
      <w:pPr/>
      <w:r>
        <w:rPr>
          <w:b/>
        </w:rPr>
        <w:t>Shared claim-specific concepts:</w:t>
      </w:r>
      <w:r>
        <w:t xml:space="preserve"> shared, socioeconomic, pathways, ssps, but, representing; EU scope not established. This is a provisional connection, not an outcome finding.</w:t>
      </w:r>
    </w:p>
    <w:p>
      <w:pPr>
        <w:pStyle w:val="SourceNote"/>
      </w:pPr>
      <w:r>
        <w:rPr>
          <w:b/>
        </w:rPr>
        <w:t>Available abstract (not full text):</w:t>
      </w:r>
      <w:r>
        <w:t xml:space="preserve"> Human values are increasingly recognised as important drivers of sustainability transitions. The Shared Socioeconomic Pathways (SSPs) provide a framework of alternative development trajectories that vary in their challenges to climate change mitigation and adaptation. While SSP narratives implicitly reflect differing societal priorities, values are not explicitly formalised or quantified. Here we develop an approach for making value dynamics explicit in scenario analysis. We frame 8 value categories using substantive value frameworks. Using World Values Survey data (2000–2023) we confirm four distinct value types: an Eco-centric type characterised by environmental concern; a Security–order type characterised by governance and social stability; a Conformity type characterised by adherence to prevailing norms, and hierarchical social structures; and an Achievement type characterised by wealth and personal success. We demonstrate our approach through futures modelling under SSP1 alongside trajectories of improving human development as measured by the Human Development Index (HDI). We use our modelling to show how the four value types co-evolve. With rising human development we find a slow shift towards sustainability-oriented value types. Eco-centric values strengthen over time but do not become the largest global type until the mid-21st century (around 2055), with earlier transit</w:t>
      </w:r>
    </w:p>
    <w:p>
      <w:pPr/>
      <w:r>
        <w:rPr>
          <w:b/>
        </w:rPr>
        <w:t>POSSIBLE 2026:</w:t>
      </w:r>
      <w:r>
        <w:t xml:space="preserve"> High-resolution modelling of biodiversity under the shared socio-economic scenarios — https://doi.org/10.32942/x2h958</w:t>
      </w:r>
    </w:p>
    <w:p>
      <w:pPr/>
      <w:r>
        <w:rPr>
          <w:b/>
        </w:rPr>
        <w:t>Shared claim-specific concepts:</w:t>
      </w:r>
      <w:r>
        <w:t xml:space="preserve"> shared, socioeconomic, pathways, impacts; EU scope not established. This is a provisional connection, not an outcome finding.</w:t>
      </w:r>
    </w:p>
    <w:p>
      <w:pPr>
        <w:pStyle w:val="SourceNote"/>
      </w:pPr>
      <w:r>
        <w:rPr>
          <w:b/>
        </w:rPr>
        <w:t>Available abstract (not full text):</w:t>
      </w:r>
      <w:r>
        <w:t xml:space="preserve"> Impacts on biodiversity from global climate and land use change manifest through changes in habitat availability and suitability for species. We currently lack fine grain predictions about how species and their habitats respond at the local level to global drivers of change, particularly under future scenarios of coupled climate and land use change. Policies for biodiversity management often place an emphasis on management and protection of threatened and socially important species and their habitat. This requires modelling many species individually to inform national policy design and decisions. However, most multi-species modelling systems focus on the role of bioclimatic drivers of species distribution and abundance to the exclusion of the land use variables needed to understand and predict outcomes of socio-economic drivers of biodiversity change. We provide high-quality predictive species distribution models that capture the impacts of change in land use and other environmental drivers, and a comprehensive biodiversity dataset for Australia for thousands of species at high spatial resolution. We model the response of 1,488 species, including 592 birds, 254 mammals and 642 reptiles under coupled land-use (Shared Socioeconomic Pathways) and climate (Representative Concentration Pathways) scenarios. Our analyses present new possibilities for developing bespoke species-specifi</w:t>
      </w:r>
    </w:p>
    <w:p>
      <w:pPr/>
      <w:r>
        <w:rPr>
          <w:b/>
        </w:rPr>
        <w:t>POSSIBLE 2026:</w:t>
      </w:r>
      <w:r>
        <w:t xml:space="preserve"> Environmental and Socio-Economic Impacts of Shared Mobility Services in the City of Kigali, Rwanda — https://doi.org/10.9734/ajgr/2026/v9i4458</w:t>
      </w:r>
    </w:p>
    <w:p>
      <w:pPr/>
      <w:r>
        <w:rPr>
          <w:b/>
        </w:rPr>
        <w:t>Shared claim-specific concepts:</w:t>
      </w:r>
      <w:r>
        <w:t xml:space="preserve"> shared, impacts, representing; EU scope not established. This is a provisional connection, not an outcome finding.</w:t>
      </w:r>
    </w:p>
    <w:p>
      <w:pPr>
        <w:pStyle w:val="SourceNote"/>
      </w:pPr>
      <w:r>
        <w:rPr>
          <w:b/>
        </w:rPr>
        <w:t>Available abstract (not full text):</w:t>
      </w:r>
      <w:r>
        <w:t xml:space="preserve"> Aims: This study assessed the environmental and socio-economic impacts of shared mobility services in the City of Kigali, Rwanda, with particular emphasis on their contribution to sustainable urban transport, environmental improvement, and livelihood enhancement. Study Design: A convergent parallel mixed-methods research design was employed. Place and Duration of Study: The study was conducted in the City of Kigali, Rwanda, among users of various shared mobility services, including bus commuters, motorbike-taxi users, ride-hailing users, and private car owners. Data collection was carried out in 2026. Methodology: Quantitative data were collected from 400 respondents using structured questionnaires, while qualitative information was obtained through semi-structured interviews with nine key informants representing urban planning institutions, transport regulatory agencies, and mobility service providers. Quantitative data were analysed using descriptive statistics, Pearson correlation, and multiple regression analysis, whereas qualitative data were analysed thematically. Results: The findings revealed that all shared mobility components examined, namely car and bus sharing, motorbike-taxi sharing, digital mobility platforms, and ride-hailing services, were positively and significantly associated with respondents' perceived socio-economic and environmental outcomes (p &lt; 0.05); be</w:t>
      </w:r>
    </w:p>
    <w:p>
      <w:pPr/>
      <w:r>
        <w:rPr>
          <w:b/>
        </w:rPr>
        <w:t>POSSIBLE 2025:</w:t>
      </w:r>
      <w:r>
        <w:t xml:space="preserve"> Socio-Economic Conditions Of Coir Workers And Problems Of Coir Industry East Godavari District in Andhra Pradesh — https://doi.org/10.71097/ijsat.v16.i4.8529</w:t>
      </w:r>
    </w:p>
    <w:p>
      <w:pPr/>
      <w:r>
        <w:rPr>
          <w:b/>
        </w:rPr>
        <w:t>Shared claim-specific concepts:</w:t>
      </w:r>
      <w:r>
        <w:t xml:space="preserve"> abstract, socio; EU scope not established. This is a provisional connection, not an outcome finding.</w:t>
      </w:r>
    </w:p>
    <w:p>
      <w:pPr>
        <w:pStyle w:val="SourceNote"/>
      </w:pPr>
      <w:r>
        <w:rPr>
          <w:b/>
        </w:rPr>
        <w:t>Available abstract (not full text):</w:t>
      </w:r>
      <w:r>
        <w:t xml:space="preserve"> Abstract Socio-economic status refers to a wide range of interrelated and diverse aspects and variables relating to or involving a combination of social and economic factors. These aspects and variables could, in general, be categorized into several categories including, economic, demographic, public services, fiscal and social. Socio economics an important determinant of the livelihood assist influences levels of knowledge, skills and income conditions which means for their living. For the purpose of analyses the present divided into two parts, the first part deals with the socio- economic status of coir workers in the study area.The second part analyses the problems of coir industry.</w:t>
      </w:r>
    </w:p>
    <w:p>
      <w:pPr/>
      <w:r>
        <w:rPr>
          <w:b/>
        </w:rPr>
        <w:t>POSSIBLE 2025:</w:t>
      </w:r>
      <w:r>
        <w:t xml:space="preserve"> Enriching the European Shared Socio-economic Pathways with considerations of biodiversity and nature using a nexus approach — https://doi.org/10.1016/j.crm.2025.100741</w:t>
      </w:r>
    </w:p>
    <w:p>
      <w:pPr/>
      <w:r>
        <w:rPr>
          <w:b/>
        </w:rPr>
        <w:t>Shared claim-specific concepts:</w:t>
      </w:r>
      <w:r>
        <w:t xml:space="preserve"> shared, pathways, ssps, widely, but, applied; EU scope visible. This is a provisional connection, not an outcome finding.</w:t>
      </w:r>
    </w:p>
    <w:p>
      <w:pPr>
        <w:pStyle w:val="SourceNote"/>
      </w:pPr>
      <w:r>
        <w:rPr>
          <w:b/>
        </w:rPr>
        <w:t>Available abstract (not full text):</w:t>
      </w:r>
      <w:r>
        <w:t xml:space="preserve"> The global scientific community is taking steps toward a nexus approach to address interlinkages across biodiversity and climate systems, yet synergistic research and policymaking remains limited. This gap is manifest in the Shared Socio-economic Pathways (SSP) framework, which is applied in various sectors to make sense of future complexity but excludes consideration of biodiversity and nature. As a result, the SSP narratives disregard feedbacks between socio-economic and environmental systems, potentially limiting options to address both the biodiversity and climate crises simultaneously and masking the need to build resilience to concurrent and cascading risks. In this paper, we explore this gap through a co-creation process at the European scale by enriching the original European-SSPs with considerations of biodiversity and nature using a nexus approach (i.e., interactions across biodiversity, energy, food, health, water, and transport). We investigate the implications through a systems analysis of the original and enriched European-SSP narratives. Our findings show that introducing consideration of biodiversity altered the system dynamics within the European-SSP narratives considerably, with outcomes for biodiversity ranging widely within and across scenarios. Further, the relative significance of indirect drivers changed across SSPs due to novel feedbacks with biodiversit</w:t>
      </w:r>
    </w:p>
    <w:p>
      <w:pPr/>
      <w:r>
        <w:rPr>
          <w:b/>
        </w:rPr>
        <w:t>POSSIBLE 2024:</w:t>
      </w:r>
      <w:r>
        <w:t xml:space="preserve"> Abstract WMP47: Neighborhood Socio-Economic Status as a Predictor of All-Cause Long-Term Post-Stroke Mortality — https://doi.org/10.1161/str.55.suppl_1.wmp47</w:t>
      </w:r>
    </w:p>
    <w:p>
      <w:pPr/>
      <w:r>
        <w:rPr>
          <w:b/>
        </w:rPr>
        <w:t>Shared claim-specific concepts:</w:t>
      </w:r>
      <w:r>
        <w:t xml:space="preserve"> abstract, socioeconomic, used; EU scope not established. This is a provisional connection, not an outcome finding.</w:t>
      </w:r>
    </w:p>
    <w:p>
      <w:pPr>
        <w:pStyle w:val="SourceNote"/>
      </w:pPr>
      <w:r>
        <w:rPr>
          <w:b/>
        </w:rPr>
        <w:t>Available abstract (not full text):</w:t>
      </w:r>
      <w:r>
        <w:t xml:space="preserve"> Background: Previous studies have shown that neighborhood socioeconomic status may be associated with post-stroke mortality. However, these studies did not adjust for stroke severity. We aim to determine the association between neighborhood of residence on long-term mortality after stroke. Methods: Within our population of 1.3 million in the Greater Cincinnati Northern Kentucky area, incident strokes among adult residents were ascertained at all area hospitals during calendar years 2005, 2010 and 2015. Participants addresses were used to geocode and determine their census tract and then used a validated index to determine neighborhood socio-economic status. We used national death index data to determine mortality status at 5 years post stroke. Individuals who survived at least 30 days were included in the analysis. We used cox proportional hazards to determine the association between neighborhood of residence deprivation and case fatality rate after stroke. Results: Among 4514 incident ischemic strokes, there were 1719 deaths over 5 years; for an all-cause post-stroke mortality rate of 38.08% among survivors of 30 days post-stroke. Similarly, there were 552 intracerebral hemorrhages with 224 deaths over 5 years: yielding an all-cause post-stroke mortality rate of 40.58%. Individuals in the quartile of neighborhoods with lowest neighborhood socio-economic status had 1.3 times th</w:t>
      </w:r>
    </w:p>
    <w:p>
      <w:pPr/>
      <w:r>
        <w:rPr>
          <w:b/>
        </w:rPr>
        <w:t>POSSIBLE 2024:</w:t>
      </w:r>
      <w:r>
        <w:t xml:space="preserve"> The socio-economic performance of agroecology. A review — https://doi.org/10.1007/s13593-024-00945-9</w:t>
      </w:r>
    </w:p>
    <w:p>
      <w:pPr/>
      <w:r>
        <w:rPr>
          <w:b/>
        </w:rPr>
        <w:t>Shared claim-specific concepts:</w:t>
      </w:r>
      <w:r>
        <w:t xml:space="preserve"> abstract, used, them; EU scope not established. This is a provisional connection, not an outcome finding.</w:t>
      </w:r>
    </w:p>
    <w:p>
      <w:pPr>
        <w:pStyle w:val="SourceNote"/>
      </w:pPr>
      <w:r>
        <w:rPr>
          <w:b/>
        </w:rPr>
        <w:t>Available abstract (not full text):</w:t>
      </w:r>
      <w:r>
        <w:t xml:space="preserve"> Abstract Agroecology is identified as an important solution to increase the sustainability of agricultural and food systems. Despite the increasing number of publications assessing the socio-economic outcomes of agroecology, very few studies have consolidated the scattered results obtained on various case studies. This paper provides new insights by consolidating evidence on the varied socio-economic effects of agroecology across a large number of cases at a global level. To this purpose, we used a rapid review methodology, screening more than 13,000 publications to retrieve evidence on the socio-economic outcomes of the implementation of agroecological practices. The results of the review indicate that (1) agroecological practices are associated more often with positive socio-economic outcomes across the broad range of evaluated metrics (51% positive, 30% negative, 10% neutral, and 9% inconclusive outcomes); (2) the socio-economic metrics associated with financial capital represent the vast majority of evaluated metrics (83% of total) and are affected positively in a large share of cases (53%), due to favourable outcomes on income, revenues, productivity and efficiency; (3) human capital metrics (16%) are associated with a larger number of negative outcomes (46% versus 38% positive), due to higher labour requirements and costs that are however partly compensated by an overall </w:t>
      </w:r>
    </w:p>
    <w:p>
      <w:pPr/>
      <w:r>
        <w:rPr>
          <w:b/>
        </w:rPr>
        <w:t>POSSIBLE 2024:</w:t>
      </w:r>
      <w:r>
        <w:t xml:space="preserve"> Socio-economic Status Scales in India &amp; Globally: A Review — https://doi.org/10.4103/pmrr.pmrr_133_24</w:t>
      </w:r>
    </w:p>
    <w:p>
      <w:pPr/>
      <w:r>
        <w:rPr>
          <w:b/>
        </w:rPr>
        <w:t>Shared claim-specific concepts:</w:t>
      </w:r>
      <w:r>
        <w:t xml:space="preserve"> abstract, socio, used, applied; EU scope not established. This is a provisional connection, not an outcome finding.</w:t>
      </w:r>
    </w:p>
    <w:p>
      <w:pPr>
        <w:pStyle w:val="SourceNote"/>
      </w:pPr>
      <w:r>
        <w:rPr>
          <w:b/>
        </w:rPr>
        <w:t>Available abstract (not full text):</w:t>
      </w:r>
      <w:r>
        <w:t xml:space="preserve"> Abstract Socio Economic Status (SES) Scales as used for investigating social status and related health conditions are comprehensively reviewed for their background, development, strengths, weaknesses and popularity. They measure components such as education, occupation, income and possessions either individually or in combination for urban/rural population. Level of socio-economic status is in turn related to health status. Although carrying limitations, yet Kuppuswamy, BG Prasad and Udai Pareek remain the most accepted, updated and longstanding Indian scales. Others scales such as Tiwari and Kumar, Gaur and Agarwal can also be harnessed. Below Poverty Line (BPL) scale and multidimensional poverty index, Hashim and identical scales should also be applied to identify BPL families for delivering medical benefits through a government initiative such as- Ayushman Bharat Pradhan Mantri Jan Arogya Yojana. Few international scales are also discussed. Nevertheless, a combination of scales or an all-encompassing scale with the most relevant classification of the Indian society and identification of the poor is always desired by researchers and policy makers for a reasonable outcome.</w:t>
      </w:r>
    </w:p>
    <w:p>
      <w:pPr/>
      <w:r>
        <w:rPr>
          <w:b/>
        </w:rPr>
        <w:t>POSSIBLE 2024:</w:t>
      </w:r>
      <w:r>
        <w:t xml:space="preserve"> ONTOLOGY OF SOCIO-ECONOMIC RESEARCH — https://doi.org/10.30838/ep.194.66-73</w:t>
      </w:r>
    </w:p>
    <w:p>
      <w:pPr/>
      <w:r>
        <w:rPr>
          <w:b/>
        </w:rPr>
        <w:t>Shared claim-specific concepts:</w:t>
      </w:r>
      <w:r>
        <w:t xml:space="preserve"> used, applied, taking; EU scope not established. This is a provisional connection, not an outcome finding.</w:t>
      </w:r>
    </w:p>
    <w:p>
      <w:pPr>
        <w:pStyle w:val="SourceNote"/>
      </w:pPr>
      <w:r>
        <w:rPr>
          <w:b/>
        </w:rPr>
        <w:t>Available abstract (not full text):</w:t>
      </w:r>
      <w:r>
        <w:t xml:space="preserve"> Introduction. The ontology of socio-economic research contributes to a deeper understanding of the foundations of social and economic phenomena, which helps in the development of effective policies and strategies for solving problems at different levels of methodological knowledge. The development of modern science requires a detailed study of the ontological aspects of socio-economic processes for the analysis and forecasting of socio-economic phenomena. Research hypothesis: socio-economic processes can be more effectively analysed and predicted through the development of a formalized ontological system that describes the main concepts, methods and principles of ontological research. Purpose. Systematize the latest knowledge about the basic elements of socio-economic phenomena and develop the concept of the ontology of socio-economic research to improve the interpretation of the relationships between the elements of the knowledge system. Methodology. The theoretical and methodological basis of the research is based on philosophical, sociological and economic concepts. In the course of the research, the following methods were used: historical and logical approaches, systematization, comparative analysis (when studying the genesis of ontological principles), theoretical generalization, abstract-logical (when arguing the research concept), classification, decomposition, modelling</w:t>
      </w:r>
    </w:p>
    <w:p>
      <w:pPr/>
      <w:r>
        <w:rPr>
          <w:b/>
        </w:rPr>
        <w:t>POSSIBLE 2024:</w:t>
      </w:r>
      <w:r>
        <w:t xml:space="preserve"> Creating the Dutch One Health Shared Socio-economic Pathways (SSPs) — https://doi.org/10.1007/s10113-023-02169-1</w:t>
      </w:r>
    </w:p>
    <w:p>
      <w:pPr/>
      <w:r>
        <w:rPr>
          <w:b/>
        </w:rPr>
        <w:t>Shared claim-specific concepts:</w:t>
      </w:r>
      <w:r>
        <w:t xml:space="preserve"> shared, pathways, ssps, used, applied, example; EU scope visible. This is a provisional connection, not an outcome finding.</w:t>
      </w:r>
    </w:p>
    <w:p>
      <w:pPr>
        <w:pStyle w:val="SourceNote"/>
      </w:pPr>
      <w:r>
        <w:rPr>
          <w:b/>
        </w:rPr>
        <w:t>Available abstract (not full text):</w:t>
      </w:r>
      <w:r>
        <w:t xml:space="preserve"> Abstract The world is changing, in terms of both climate and socio-economics. These changes have the potential to have a profound impact on the health of humans, animals and the environment, often grouped together as ‘One Health’. Humans, animals and the environment are closely interlinked and to determine realistic future vulnerabilities we must consider everything together. We need comprehensive scenarios which cover a broad range of variables affecting One Health. We developed a methodology to create national-level One Health scenarios based on the global Shared Socio-economic Pathways (SSPs), which we applied to the Netherlands. We identified variables which should be included in such scenarios and gathered input from existing scenarios, stakeholder consultation and current plans and commitments. This information was combined to create detailed descriptions, which were used to assess the main health risks under each scenario. All the scenarios face similar challenges, for example an aging population, introductions of infectious diseases and rising sea-levels and extreme weather events; however, in some scenarios, they deal with these challenges much better than in others. The healthiest outcome was achieved when a policy of low greenhouse gas emissions was combined with a well-functioning society which looks after both its citizens and the environment. These scenarios can b</w:t>
      </w:r>
    </w:p>
    <w:p>
      <w:pPr>
        <w:pStyle w:val="Heading2"/>
      </w:pPr>
      <w:r>
        <w:t>507.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2025:</w:t>
      </w:r>
      <w:r>
        <w:t xml:space="preserve"> Risks and benefits of artificial intelligence deepfakes: Systematic review and comparison of public attitudes in seven European Countries — https://doi.org/10.1016/j.jik.2025.100782</w:t>
      </w:r>
    </w:p>
    <w:p>
      <w:pPr/>
      <w:r>
        <w:rPr>
          <w:b/>
        </w:rPr>
        <w:t>Shared claim-specific concepts:</w:t>
      </w:r>
      <w:r>
        <w:t xml:space="preserve"> though, countries, rate, required; EU scope visible. This is a provisional connection, not an outcome finding.</w:t>
      </w:r>
    </w:p>
    <w:p>
      <w:pPr>
        <w:pStyle w:val="SourceNote"/>
      </w:pPr>
      <w:r>
        <w:rPr>
          <w:b/>
        </w:rPr>
        <w:t>Available abstract (not full text):</w:t>
      </w:r>
      <w:r>
        <w:t xml:space="preserve"> This study provides an evidence-based integrated appraisal of artificial intelligence (AI)-generated deepfakes by integrating a cross-disciplinary literature synthesis with original opinion-poll evidence from seven European countries. A SWOT matrix distils convergent concerns—weaponised disinformation, privacy erosion, and the detection arms race—alongside under-explored opportunities in education, therapy, and creative industries. To test whether these scholarly themes resonate with citizens, a computer-assisted web survey (N = 7,083) measured perceived risks and benefits across 10 specific scenarios for each theme. Correspondence analysis and Bonferroni-adjusted means reveal a pronounced age gradient for benefits, whereas risk perceptions vary by country—younger cohorts are noticeably less alarmed only in Sweden, France, and Czechia. Geographically, Dutch, German, British, and Italian publics prove the most enthusiastic: the United Kingdom (UK) couples similar enthusiasm with markedly higher risk vigilance, whereas Czech and Swedish respondents remain consistently sceptical, underscoring a broad, though imperfect, west/south versus central/north divide. The Netherlands, Germany, the UK, and Italy value pro-social applications (i.e., realistic crisis drills, public-interest campaigns, and therapeutic ‘mental-health’ avatars), with the Netherlands topping four benefit items and</w:t>
      </w:r>
    </w:p>
    <w:p>
      <w:pPr/>
      <w:r>
        <w:rPr>
          <w:b/>
        </w:rPr>
        <w:t>POSSIBLE 2024:</w:t>
      </w:r>
      <w:r>
        <w:t xml:space="preserve"> Investigating the heterogeneity within Wild bird indices in Europe — https://doi.org/10.1016/j.biocon.2024.110452</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2023:</w:t>
      </w:r>
      <w:r>
        <w:t xml:space="preserve"> Sex, Age, and Smartphone Addiction Across 41 Countries — https://doi.org/10.1007/s11469-023-01146-3</w:t>
      </w:r>
    </w:p>
    <w:p>
      <w:pPr/>
      <w:r>
        <w:rPr>
          <w:b/>
        </w:rPr>
        <w:t>Shared claim-specific concepts:</w:t>
      </w:r>
      <w:r>
        <w:t xml:space="preserve"> though, countries, consistent, per, increased; EU scope visible. This is a provisional connection, not an outcome finding.</w:t>
      </w:r>
    </w:p>
    <w:p>
      <w:pPr>
        <w:pStyle w:val="SourceNote"/>
      </w:pPr>
      <w:r>
        <w:rPr>
          <w:b/>
        </w:rPr>
        <w:t>Available abstract (not full text):</w:t>
      </w:r>
      <w:r>
        <w:t xml:space="preserve"> Most studies of problematic smartphone use focus on younger participants in a single country, which makes global comparisons difficult. Here, we administered the Smartphone Addiction Scale (Short Version) to 50,423 participants aged 18 to 90 from 195 countries and subdivisions. The results showed that women scored 3.22 units higher than men, each year of age predicted a decrease of 0.18 units, and global scores increased by 0.66 units per year. Among the 41 countries with at least 100 participants, almost all showed a consistent pattern: women scored higher than men (B = −0.19 to 6.07) and there was a downward slope with age (B = −0.38 to −0.03), though the shape of the slope varied across countries. The highest problematic smartphone use scores were around Southeast Asia and the lowest were in Europe. This global sample, currently the largest in the field, helps clarify the relationships between sex, age, and smartphone use.</w:t>
      </w:r>
    </w:p>
    <w:p>
      <w:pPr>
        <w:pStyle w:val="Heading2"/>
      </w:pPr>
      <w:r>
        <w:t>508.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countries, onshore, wind;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show, wind, solar, energy, system;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A Cost Effective Solution to an Automated Valet Parking System — https://doi.org/10.1007/s12239-024-00031-9</w:t>
      </w:r>
    </w:p>
    <w:p>
      <w:pPr/>
      <w:r>
        <w:rPr>
          <w:b/>
        </w:rPr>
        <w:t>Shared claim-specific concepts:</w:t>
      </w:r>
      <w:r>
        <w:t xml:space="preserve"> solution, requires, system; EU scope not established. This is a provisional connection, not an outcome finding.</w:t>
      </w:r>
    </w:p>
    <w:p>
      <w:pPr>
        <w:pStyle w:val="SourceNote"/>
      </w:pPr>
      <w:r>
        <w:rPr>
          <w:b/>
        </w:rPr>
        <w:t>Available abstract (not full text):</w:t>
      </w:r>
      <w:r>
        <w:t xml:space="preserve"> Abstract Automated Valet Parking Systems (AVPS) relieve the driver of the entire parking process. Many of the systems known today rely on a combination of automotive sensors with sensors of the infrastructure. For this purpose, parking facilities are equipped with comprehensive sensor technology to support the vehicles in environment sensing and route planning. This approach is comparatively expensive which is why many parking operators don’t provide that technology to their customers. This paper proposes a lean AVPS system architecture that requires minimal effort to adapt the infrastructure. At the same time, state-of-the-art vehicle technology is used to make AVPS more profitable overall. At the beginning, an overview will be given describing the state of the art of AVPS. Subsequently, requirements for the AVPS will be elaborated, whereby the system can be designed and implemented in the following. Finally, the presentation of simulation results shows that one doesn’t have to extend the infrastructure with sensors to develop a safe and reliable AVPS.</w:t>
      </w:r>
    </w:p>
    <w:p>
      <w:pPr/>
      <w:r>
        <w:rPr>
          <w:b/>
        </w:rPr>
        <w:t>POSSIBLE 2024:</w:t>
      </w:r>
      <w:r>
        <w:t xml:space="preserve"> Modelling the effect of land use and crop changes on water harvesting agricultural reservoirs — https://doi.org/10.5194/egusphere-egu24-936</w:t>
      </w:r>
    </w:p>
    <w:p>
      <w:pPr/>
      <w:r>
        <w:rPr>
          <w:b/>
        </w:rPr>
        <w:t>Shared claim-specific concepts:</w:t>
      </w:r>
      <w:r>
        <w:t xml:space="preserve"> solution, land, less; EU scope visible. This is a provisional connection, not an outcome finding.</w:t>
      </w:r>
    </w:p>
    <w:p>
      <w:pPr>
        <w:pStyle w:val="SourceNote"/>
      </w:pPr>
      <w:r>
        <w:rPr>
          <w:b/>
        </w:rPr>
        <w:t>Available abstract (not full text):</w:t>
      </w:r>
      <w:r>
        <w:t xml:space="preserve"> Water harvesting with Small Agricultural Reservoirs (SmAR) represents a solution for sustainable water management at a global scale. Early estimates showed that globally there were about 277,400,000 SmAR with an area of less than one hectare, and 24,120,000 water bodies between one and 10 hectares, representing more than 90% of the world’s standing water bodies. One of the most relevant challenges for the sustainable management of SmAR is represented by the loss of storage volume caused by the inflow of sediments. However, the analysis of the dynamics of sedimentation for SmAR received relatively little interest so far in the Mediterranean and on a global scale.The purpose of this study is to implement a fully calibrated and validated model simulating the hydrology and erosion dynamics of the catchment of a SmAR in the Tuscany Region (Italy). The area is in the hilly area of Crete Senesi, about 15 km from Siena, where wine production is particularly developed, but not within the catchment of study, where the cultivation of cereals, renewal crops, and forage is practiced and there is a large grazing area. Our analysis aimed at estimating how much the rate of sediment accumulation in the reservoir would vary with the replacement of currently arable land with vineyards.A model was implemented on the HEC-HMS software, maximizing the value of existent low-cost data (Google Earth ima</w:t>
      </w:r>
    </w:p>
    <w:p>
      <w:pPr/>
      <w:r>
        <w:rPr>
          <w:b/>
        </w:rPr>
        <w:t>POSSIBLE 2024:</w:t>
      </w:r>
      <w:r>
        <w:t xml:space="preserve"> Cost‐effective use of abandoned agricultural land for biofuel production — https://doi.org/10.1111/gcbb.13165</w:t>
      </w:r>
    </w:p>
    <w:p>
      <w:pPr/>
      <w:r>
        <w:rPr>
          <w:b/>
        </w:rPr>
        <w:t>Shared claim-specific concepts:</w:t>
      </w:r>
      <w:r>
        <w:t xml:space="preserve"> show, land, also, both, reduced, less; EU scope visible. This is a provisional connection, not an outcome finding.</w:t>
      </w:r>
    </w:p>
    <w:p>
      <w:pPr>
        <w:pStyle w:val="SourceNote"/>
      </w:pPr>
      <w:r>
        <w:rPr>
          <w:b/>
        </w:rPr>
        <w:t>Available abstract (not full text):</w:t>
      </w:r>
      <w:r>
        <w:t xml:space="preserve"> Abstract Biofuel can be used to abate greenhouse gas emissions in the transport sector, by replacing fossil fuel. To avoid the problem of competition with food production, the use of abandoned agricultural land (AAL) for production of the feedstock for biofuel has been proposed. AAL has generally low productivity but has also low opportunity costs, and production of perennial bioenergy crops on it can lead to carbon sequestration. A spatially explicit optimization model of biofuel production and transport fuel consumption, applied to Sweden, was used for an analysis of how AAL can alter costs for greenhouse gas emissions abatement. Results show that, compared to the case without AAL, AAL could decrease the costs of reducing greenhouse gas emissions by 29%, for emissions reductions equivalent to 50% of current emissions from gasoline in Sweden. The carbon sequestration from establishing perennial bioenergy crops on AAL is the main driver of the positive results. High carbon sequestration on AAL implies larger emissions reduction for a given volume of biofuel, and the results show that the total biofuel production can be both smaller and larger with AAL. The use of arable land for biofuel production is generally smaller with AAL, but larger at some of the highest analyzed target levels. The low AAL feedstock costs contribute to lower costs of the total biofuel production, which p</w:t>
      </w:r>
    </w:p>
    <w:p>
      <w:pPr/>
      <w:r>
        <w:rPr>
          <w:b/>
        </w:rPr>
        <w:t>POSSIBLE 2023:</w:t>
      </w:r>
      <w:r>
        <w:t xml:space="preserve"> A method for finding a least-cost corridor on an ordinal-scaled raster cost surface — https://doi.org/10.1080/19475683.2023.2166585</w:t>
      </w:r>
    </w:p>
    <w:p>
      <w:pPr/>
      <w:r>
        <w:rPr>
          <w:b/>
        </w:rPr>
        <w:t>Shared claim-specific concepts:</w:t>
      </w:r>
      <w:r>
        <w:t xml:space="preserve"> show, least-cost, solution, areas; EU scope not established. This is a provisional connection, not an outcome finding.</w:t>
      </w:r>
    </w:p>
    <w:p>
      <w:pPr>
        <w:pStyle w:val="SourceNote"/>
      </w:pPr>
      <w:r>
        <w:rPr>
          <w:b/>
        </w:rPr>
        <w:t>Available abstract (not full text):</w:t>
      </w:r>
      <w:r>
        <w:t xml:space="preserve"> The least-cost path problem is a widely studied problems in geographic information science. In raster space, the problem is to find a path that accumulates the least amount of cost between two locations based on the assumptions that the path is a one-dimensional object (represented by a string of cells) and that the cost (per unit length) is measured on a quantitative scale. Efficient methods are available for solution of this problem when at least one of these assumptions is upheld. This is not the case when the path has a width and is a two-dimensional object called a corridor (represented by a swath of cells) and the cost (per unit area) is measured on an ordinal scale. In this paper, we propose one additional model that characterizes a least-cost corridor on an ordinal-scaled raster cost surface – or a least ordinal-scaled cost corridor for short – and show that it can be transformed into an instance of a multiobjective optimization problem known as the preferred path problem with a lexicographic preference relation and solved accordingly. The model is tested through computational experiments with artificial landscape data as well as real-world data. Results show that least ordinal-scaled cost corridors are guaranteed to contain smaller areas of higher cost than conventional least-cost corridors at the expense of more elongated and winding forms. The least ordinal-scaled co</w:t>
      </w:r>
    </w:p>
    <w:p>
      <w:pPr/>
      <w:r>
        <w:rPr>
          <w:b/>
        </w:rPr>
        <w:t>POSSIBLE 2023:</w:t>
      </w:r>
      <w:r>
        <w:t xml:space="preserve"> Towards a European supply chain for CO2 capture, utilization, and storage by mineralization: Insights from cost-optimal design — https://doi.org/10.1016/j.jcou.2023.102496</w:t>
      </w:r>
    </w:p>
    <w:p>
      <w:pPr/>
      <w:r>
        <w:rPr>
          <w:b/>
        </w:rPr>
        <w:t>Shared claim-specific concepts:</w:t>
      </w:r>
      <w:r>
        <w:t xml:space="preserve"> show, requires, energy, also; EU scope visible. This is a provisional connection, not an outcome finding.</w:t>
      </w:r>
    </w:p>
    <w:p>
      <w:pPr>
        <w:pStyle w:val="SourceNote"/>
      </w:pPr>
      <w:r>
        <w:rPr>
          <w:b/>
        </w:rPr>
        <w:t>Available abstract (not full text):</w:t>
      </w:r>
      <w:r>
        <w:t xml:space="preserve">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pPr>
        <w:pStyle w:val="Heading2"/>
      </w:pPr>
      <w:r>
        <w:t>509.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2025:</w:t>
      </w:r>
      <w:r>
        <w:t xml:space="preserve"> Corporate foresight and intellectual capital robustness: a literature review — https://doi.org/10.24023/futurejournal/2175-5825/2025.v17i1.932</w:t>
      </w:r>
    </w:p>
    <w:p>
      <w:pPr/>
      <w:r>
        <w:rPr>
          <w:b/>
        </w:rPr>
        <w:t>Shared claim-specific concepts:</w:t>
      </w:r>
      <w:r>
        <w:t xml:space="preserve"> corporate, foresight, tools; EU scope not established. This is a provisional connection, not an outcome finding.</w:t>
      </w:r>
    </w:p>
    <w:p>
      <w:pPr>
        <w:pStyle w:val="SourceNote"/>
      </w:pPr>
      <w:r>
        <w:rPr>
          <w:b/>
        </w:rPr>
        <w:t>Available abstract (not full text):</w:t>
      </w:r>
      <w:r>
        <w:t xml:space="preserve"> Purpose: This study aims to identify the evolution of the field of corporate foresight over the last decade and its association with the theme of intellectual capital to capture factors that aid organizations succeed in the long term. Originality/value: When it refers to foresight and resource-based management, the effect of dynamic capabilities on intangible assets has already been discussed, but there has been no direct mention of futures studies and intellectual capital. Method: A systematic literature review was performed to investigate works published on the Web of Science database between January 2015 and June 2024. Results: The relationship with intellectual capital was predominant in structural capital factors of product and process innovations, advanced technologies and management tools. Besides that, anticipatory studies about human and relational capital factors seemed to be relevant for decision-making in future. Conclusions: This study demonstrated that through corporate foresight analysis it was possible to identify the changes needed to improve key intellectual capital factors that can be responsible for differentiating products and services in the market in terms of innovation and competitive advantage.</w:t>
      </w:r>
    </w:p>
    <w:p>
      <w:pPr/>
      <w:r>
        <w:rPr>
          <w:b/>
        </w:rPr>
        <w:t>POSSIBLE 2025:</w:t>
      </w:r>
      <w:r>
        <w:t xml:space="preserve"> Corporate Foresight in a Global Enterprise - A Case Study Approach — https://openalex.org/W7216959097</w:t>
      </w:r>
    </w:p>
    <w:p>
      <w:pPr/>
      <w:r>
        <w:rPr>
          <w:b/>
        </w:rPr>
        <w:t>Shared claim-specific concepts:</w:t>
      </w:r>
      <w:r>
        <w:t xml:space="preserve"> corporate, foresight, including, shared, strategy, based; EU scope not established. This is a provisional connection, not an outcome finding.</w:t>
      </w:r>
    </w:p>
    <w:p>
      <w:pPr>
        <w:pStyle w:val="SourceNote"/>
      </w:pPr>
      <w:r>
        <w:rPr>
          <w:b/>
        </w:rPr>
        <w:t>Available abstract (not full text):</w:t>
      </w:r>
      <w:r>
        <w:t xml:space="preserve"> The global business environment is becoming increasingly complex and unpredictable due to rapid technological change, shifting consumer expectations, environmental challenges, and geopolitical instability. As a result, the need for long-term thinking has become more urgent than ever. To navigate this, corporate foresight has emerged as a strategic tool that enables organizations to identify, interpret, and act on signals of future change. This thesis investigates the role of corporate foresight in shaping strategic decision-making within a large, global enterprise. Specifically, the study explores how foresight activities are conducted and connected to strategy in a multinational company operating in the automotive sector. The study follows a qualitative single case study approach based on semi-structured interviews with employees engaged in foresight and strategy within the organization. The empirical findings show that corporate foresight is conducted centrally within the case organization on an annual basis, guided by a partially structured process. While insights are shared across the organization, the process ends at the point of presentation and foresight is not linked to strategy in any formal way. This disconnect is explained by structural and cultural factors, including the absence of formalized frameworks, a lack of tailored insights for specific business units, weak </w:t>
      </w:r>
    </w:p>
    <w:p>
      <w:pPr/>
      <w:r>
        <w:rPr>
          <w:b/>
        </w:rPr>
        <w:t>POSSIBLE 2025:</w:t>
      </w:r>
      <w:r>
        <w:t xml:space="preserve"> FORESIGHT AS A STRATEGIC MANAGEMENT TOOL: INTERNATIONAL EXPERIENCE AND RUSSIAN PROSPECTS — https://doi.org/10.36871/ek.up.p.r.2025.11.05.027</w:t>
      </w:r>
    </w:p>
    <w:p>
      <w:pPr/>
      <w:r>
        <w:rPr>
          <w:b/>
        </w:rPr>
        <w:t>Shared claim-specific concepts:</w:t>
      </w:r>
      <w:r>
        <w:t xml:space="preserve"> corporate, foresight, strategy; EU scope visible. This is a provisional connection, not an outcome finding.</w:t>
      </w:r>
    </w:p>
    <w:p>
      <w:pPr>
        <w:pStyle w:val="SourceNote"/>
      </w:pPr>
      <w:r>
        <w:rPr>
          <w:b/>
        </w:rPr>
        <w:t>Available abstract (not full text):</w:t>
      </w:r>
      <w:r>
        <w:t xml:space="preserve"> This article provides a comprehensive analysis of international foresight initiatives as a tool for strategic planning and management in the face of increasing global uncertainty. Using examples from five developed economies–the United Kingdom, Finland, South Korea, Japan, and Australia–it examines various national models of foresight organization, methodological approaches, mechanisms for engaging multiple stakeholders, and the specifics of implementing foresight research results into public policy and corporate strategy. The paper synthesizes best practices and lessons that can be adapted to Russian conditions to develop strategic thinking, improve the quality of innovation policy, and ensure sustainable socioeconomic development. Specific recommendations are offered for the implementation of foresight at the federal, regional, and municipal levels of government, as well as in the corporate sector, taking into account the institutional and cultural characteristics of the Russian Federation.</w:t>
      </w:r>
    </w:p>
    <w:p>
      <w:pPr>
        <w:pStyle w:val="Heading2"/>
      </w:pPr>
      <w:r>
        <w:t>510.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r>
        <w:rPr>
          <w:b/>
        </w:rPr>
        <w:t>POSSIBLE 2025:</w:t>
      </w:r>
      <w:r>
        <w:t xml:space="preserve"> Fish Preservation Industry Management Training in the Coastal Area of Ambon Island — https://doi.org/10.29303/ujcs.v6i3.1273</w:t>
      </w:r>
    </w:p>
    <w:p>
      <w:pPr/>
      <w:r>
        <w:rPr>
          <w:b/>
        </w:rPr>
        <w:t>Shared claim-specific concepts:</w:t>
      </w:r>
      <w:r>
        <w:t xml:space="preserve"> industry, preservation, increase; EU scope not established. This is a provisional connection, not an outcome finding.</w:t>
      </w:r>
    </w:p>
    <w:p>
      <w:pPr>
        <w:pStyle w:val="SourceNote"/>
      </w:pPr>
      <w:r>
        <w:rPr>
          <w:b/>
        </w:rPr>
        <w:t>Available abstract (not full text):</w:t>
      </w:r>
      <w:r>
        <w:t xml:space="preserve"> The background of the fish preservation industry management training is that the fish preservation industry managers in the coastal areas of Ambon Island have not yet fully implemented good business management. The purpose of this community service is to increase the capacity of human resources for industry managers to have managerial competencies. The focus of the training is all activities to provide, obtain, improve, and develop managerial competencies. The activities are carried out in several stages, namely: (1) Situational analysis of the management of the fish preservation industry is carried out to determine steps for identifying needs; (2) The activity planning stage includes the preparation of a syllabus and activity schedule; (3) the training implementation stage is carried out in 2 sessions, namely the first session providing material, in the form of information about managerial competencies and the second session in the form of group discussions; (4) sustainability plans: business development and ongoing mentoring. This community service activity has succeeded in increasing managerial abilities and skills among fish preservation industry managers. The impact felt is increased self-confidence in doing business.</w:t>
      </w:r>
    </w:p>
    <w:p>
      <w:pPr/>
      <w:r>
        <w:rPr>
          <w:b/>
        </w:rPr>
        <w:t>POSSIBLE 2025:</w:t>
      </w:r>
      <w:r>
        <w:t xml:space="preserve"> Towards Artificial Intelligence in Construction Industry — https://doi.org/10.31675/1607-1859-2025-27-5-160-173</w:t>
      </w:r>
    </w:p>
    <w:p>
      <w:pPr/>
      <w:r>
        <w:rPr>
          <w:b/>
        </w:rPr>
        <w:t>Shared claim-specific concepts:</w:t>
      </w:r>
      <w:r>
        <w:t xml:space="preserve"> according, basic, industry, preservation, current, further; EU scope not established. This is a provisional connection, not an outcome finding.</w:t>
      </w:r>
    </w:p>
    <w:p>
      <w:pPr>
        <w:pStyle w:val="SourceNote"/>
      </w:pPr>
      <w:r>
        <w:rPr>
          <w:b/>
        </w:rPr>
        <w:t>Available abstract (not full text):</w:t>
      </w:r>
      <w:r>
        <w:t xml:space="preserve"> This paper analyzes the integration of artificial intelligence with current technologies. Possibilities and methods of integration with modern innovations are revealed in the paper according to the studied and analyzed information from scientific sources around the world. The result of integration and possibilities of further development are demonstrated. A detailed description is provided for disadvantages and advantages of applying innovative technologies with integrated artificial intelligence in the construction industry. This paper familiarizes both the scientific community and the civilian population with opportunities and development prospects of construction industry through the introduction of artificial intelligence technology. Relevance: the study of current and effective technologies that have proven themselves with a positive side in the construction industry. Analysis of their implementation and use in modern realities. Purpose: The aim of the paper is to study the currently demanded technologies in the world construction utilizing artificial intelligence, consider in detail the efficiency of its use in economy, preservation of ecology and natural resources, ensuring safe labor activity, the possibility of further modernization and development with the provision of both disadvantages and advantages. Methodology: A study of scientific literature, research papers, I</w:t>
      </w:r>
    </w:p>
    <w:p>
      <w:pPr/>
      <w:r>
        <w:rPr>
          <w:b/>
        </w:rPr>
        <w:t>POSSIBLE 2025:</w:t>
      </w:r>
      <w:r>
        <w:t xml:space="preserve"> Recent Advances in the Fabrication of Intelligent Packaging for Food Preservation: A Review — https://doi.org/10.3390/pr13020539</w:t>
      </w:r>
    </w:p>
    <w:p>
      <w:pPr/>
      <w:r>
        <w:rPr>
          <w:b/>
        </w:rPr>
        <w:t>Shared claim-specific concepts:</w:t>
      </w:r>
      <w:r>
        <w:t xml:space="preserve"> industry, preservation, current, trends; EU scope not established. This is a provisional connection, not an outcome finding.</w:t>
      </w:r>
    </w:p>
    <w:p>
      <w:pPr>
        <w:pStyle w:val="SourceNote"/>
      </w:pPr>
      <w:r>
        <w:rPr>
          <w:b/>
        </w:rPr>
        <w:t>Available abstract (not full text):</w:t>
      </w:r>
      <w:r>
        <w:t xml:space="preserve"> The advancement of intelligent packaging technologies has emerged as a pivotal innovation in the food industry, significantly enhancing food safety and preservation. This review explores the latest developments in the fabrication of intelligent packaging, with a focus on applications in food preservation. Intelligent packaging systems, which include sensors, indicators, and RFID technologies, offer the real-time monitoring of food quality and safety by detecting changes in environmental conditions and microbial activity. Innovations in nanotechnology, bio-based materials, and smart polymers have led to the development of eco-friendly and highly responsive packaging solutions. This review underscores the role of active and intelligent packaging components—such as oxygen scavengers, freshness indicators, and antimicrobial agents in extending shelf life and ensuring product integrity. Moreover, it highlights the transformative potential of intelligent packaging in food preservation through the examination of recent case studies. Finally, this review provides a comprehensive overview of current trends, challenges, and potential future directions in this rapidly evolving field.</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decarbonization, industry, current, emissions, technological, countries;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r>
        <w:rPr>
          <w:b/>
        </w:rPr>
        <w:t>POSSIBLE 2024:</w:t>
      </w:r>
      <w:r>
        <w:t xml:space="preserve"> Decarbonization and the Capitalist State — https://doi.org/10.1111/soc4.70011</w:t>
      </w:r>
    </w:p>
    <w:p>
      <w:pPr/>
      <w:r>
        <w:rPr>
          <w:b/>
        </w:rPr>
        <w:t>Shared claim-specific concepts:</w:t>
      </w:r>
      <w:r>
        <w:t xml:space="preserve"> decarbonization, further, economy; EU scope not established. This is a provisional connection, not an outcome finding.</w:t>
      </w:r>
    </w:p>
    <w:p>
      <w:pPr>
        <w:pStyle w:val="SourceNote"/>
      </w:pPr>
      <w:r>
        <w:rPr>
          <w:b/>
        </w:rPr>
        <w:t>Available abstract (not full text):</w:t>
      </w:r>
      <w:r>
        <w:t xml:space="preserve"> ABSTRACT Decarbonization is the most important challenge of our time. Though quite modest, states are taking more climate action. How should we approach these efforts? Sociologists have paid less attention to decarbonization overall but frameworks in political sociology can make sense of state power and climate politics. In this review, I first discuss two sets of literature. The first extends “state‐capacity” and institutionalist frameworks. The second is based on radical and Marxist state theories. Following this, I draw from Mann's concept of “infrastructural power” which combines elements of both and can situate state power in a transnational context. Using this concept and recent literature in political economy, I discuss three infrastructures—finance, trade, and energy—and consequential ways states have altered them in recent years. These actions reveal profound geoeconomic contradictions which will undermine decarbonization. Together, this review provides a wide survey of state theories and macroscopic climate politics with the hope of spurring further discussion and debate.</w:t>
      </w:r>
    </w:p>
    <w:p>
      <w:pPr/>
      <w:r>
        <w:rPr>
          <w:b/>
        </w:rPr>
        <w:t>POSSIBLE 2024:</w:t>
      </w:r>
      <w:r>
        <w:t xml:space="preserve"> Decarbonization potential of floating solar photovoltaics on lakes worldwide — https://doi.org/10.1038/s44221-024-00251-4</w:t>
      </w:r>
    </w:p>
    <w:p>
      <w:pPr/>
      <w:r>
        <w:rPr>
          <w:b/>
        </w:rPr>
        <w:t>Shared claim-specific concepts:</w:t>
      </w:r>
      <w:r>
        <w:t xml:space="preserve"> decarbonization, national, countries; EU scope not established. This is a provisional connection, not an outcome finding.</w:t>
      </w:r>
    </w:p>
    <w:p>
      <w:pPr>
        <w:pStyle w:val="SourceNote"/>
      </w:pPr>
      <w:r>
        <w:rPr>
          <w:b/>
        </w:rPr>
        <w:t>Available abstract (not full text):</w:t>
      </w:r>
      <w:r>
        <w:t xml:space="preserve"> Abstract As climate change progresses, there is increasing emphasis on net zero and energy system decarbonization. Several technologies are contributing to this agenda, but among these, the growth of solar photovoltaics has consistently exceeded all projections. With increasing land-use pressures, and the expense of building-mounted photovoltaics, water surfaces are increasingly being exploited to host these technologies. However, to date, we lack an understanding of the global potential of floating solar photovoltaics and, as such, we do not yet have sufficient insight to inform decisions on (in)appropriate areas for future deployment. Here we quantify the energy generation potential of floating solar photovoltaics on over 1 million water bodies worldwide (14,906 TWh). Our analysis suggests that with a conservative 10% surface area coverage, floating solar photovoltaics could produce sufficient energy to contribute a considerable fraction (16%, on average) of the electricity demand of some countries, thus playing an important role in decarbonizing national economies.</w:t>
      </w:r>
    </w:p>
    <w:p>
      <w:pPr/>
      <w:r>
        <w:rPr>
          <w:b/>
        </w:rPr>
        <w:t>POSSIBLE 2024:</w:t>
      </w:r>
      <w:r>
        <w:t xml:space="preserve"> Azerbaijan: pathways for decarbonization in a global context — https://doi.org/10.1080/14693062.2024.2330378</w:t>
      </w:r>
    </w:p>
    <w:p>
      <w:pPr/>
      <w:r>
        <w:rPr>
          <w:b/>
        </w:rPr>
        <w:t>Shared claim-specific concepts:</w:t>
      </w:r>
      <w:r>
        <w:t xml:space="preserve"> decarbonization, emissions, economy, increase, countries, world; EU scope not established. This is a provisional connection, not an outcome finding.</w:t>
      </w:r>
    </w:p>
    <w:p>
      <w:pPr>
        <w:pStyle w:val="SourceNote"/>
      </w:pPr>
      <w:r>
        <w:rPr>
          <w:b/>
        </w:rPr>
        <w:t>Available abstract (not full text):</w:t>
      </w:r>
      <w:r>
        <w:t xml:space="preserve"> As economies around the world are increasing their mitigation ambitions, Azerbaijan’s lingering dependency on fossil fuel exports threatens its medium – and long-term economic development prospects. Global decarbonization is expected to directly impact the country’s resource rents through lower fossil fuel demand and prices. In this regard, it is crucial to understand the potential implications of the global mitigation efforts on the economy of Azerbaijan and evaluate the domestic mitigation policies. To address this gap in the literature, we use a global dynamic computable general equilibrium model and explore a set of forward-looking climate policy scenarios till 2060. Our results suggest that while being adversely impacted by decarbonization efforts in countries around the world, it is in Azerbaijan’s self-interest to implement domestic mitigation policies. With proper sequencing and design of such policies, including a combination of fossil-fuel subsidies reform, the introduction of carbon prices post-2030 and recycling of the additionally collected revenue via reduced factor taxes, the country could achieve NDC targets, boost economic growth and increase economic diversification. More ambitious mitigation efforts, consistent with reaching net-zero emissions by 2060 would result in substantial health co-benefits from improved air quality, which could almost fully outweigh t</w:t>
      </w:r>
    </w:p>
    <w:p>
      <w:pPr/>
      <w:r>
        <w:rPr>
          <w:b/>
        </w:rPr>
        <w:t>POSSIBLE 2024:</w:t>
      </w:r>
      <w:r>
        <w:t xml:space="preserve"> Microbial Preservation and Contamination Control in the Baking Industry — https://doi.org/10.3390/fermentation10050231</w:t>
      </w:r>
    </w:p>
    <w:p>
      <w:pPr/>
      <w:r>
        <w:rPr>
          <w:b/>
        </w:rPr>
        <w:t>Shared claim-specific concepts:</w:t>
      </w:r>
      <w:r>
        <w:t xml:space="preserve"> industry, preservation, current, technological; EU scope not established. This is a provisional connection, not an outcome finding.</w:t>
      </w:r>
    </w:p>
    <w:p>
      <w:pPr>
        <w:pStyle w:val="SourceNote"/>
      </w:pPr>
      <w:r>
        <w:rPr>
          <w:b/>
        </w:rPr>
        <w:t>Available abstract (not full text):</w:t>
      </w:r>
      <w:r>
        <w:t xml:space="preserve"> The required processes and steps for making bread include technological and innovative concepts. The current trend is the use of less toxic compounds and green methods. Besides lactic acid bacteria and yeast, other microorganisms with unique properties, such as enzymes, new aromas and flavors, exopolysaccharides, and vitamins, among other compounds with beneficial properties, could be added to bread manufacture, improving bread quality and health effects for the consumers. The preservation of microbial cultures and starters is crucial in bread-making. New encapsulation methods, cryoprotectants, spray-drying, fluidized bed drying, and vacuum drying are employed for microorganism cultures that will be used as starters or biological additives in fermentation. A development is observed in the antimicrobial methods used as bread preservatives, and studies with plant extracts and essential oils have been proposed and introduced, replacing chemical agents, such as propionate, within the clean-label bread formulations concept. Baking science is a growing research line that incorporates innovative methods, biological additives, new methods, and processes focusing on microbiological protection.</w:t>
      </w:r>
    </w:p>
    <w:p>
      <w:pPr>
        <w:pStyle w:val="Heading2"/>
      </w:pPr>
      <w:r>
        <w:t>511.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2025:</w:t>
      </w:r>
      <w:r>
        <w:t xml:space="preserve"> Can democratic innovations tackle social-ecological challenges? Gaining insights on transformative governance across European cases — https://doi.org/10.1007/s42532-025-00225-0</w:t>
      </w:r>
    </w:p>
    <w:p>
      <w:pPr/>
      <w:r>
        <w:rPr>
          <w:b/>
        </w:rPr>
        <w:t>Shared claim-specific concepts:</w:t>
      </w:r>
      <w:r>
        <w:t xml:space="preserve"> insights, framework, pursuit; EU scope visible. This is a provisional connection, not an outcome finding.</w:t>
      </w:r>
    </w:p>
    <w:p>
      <w:pPr>
        <w:pStyle w:val="SourceNote"/>
      </w:pPr>
      <w:r>
        <w:rPr>
          <w:b/>
        </w:rPr>
        <w:t>Available abstract (not full text):</w:t>
      </w:r>
      <w:r>
        <w:t xml:space="preserve"> Abstract In an era of democratic backsliding, the pursuit of sustainable development that addresses social-ecological challenges can become a daunting task. Participatory and deliberative practices have flourished over the last few decades, addressing, to varying extents, policy domains that can be understood within the framework of social-ecological governance and related challenges. By understanding these practices through the concept of democratic innovations (DIs), we critically examine the historical connections between practices implemented across Europe with a focus on social-ecological challenges. This work reveals the emerging potential for democratising policy and decision-making, particularly in the areas of climate action and social justice. Despite the potential of DIs for citizen engagement with social-ecological challenges, the evidence gathered so far indicates that the reproduction of social exclusion within DIs is a significant issue, reflecting barriers rooted in socio-economic cleavages and the myopia of political elites regarding long-term transformations. The capture and co-optation of DIs by powerful groups often reduces their potential to mere performative exercises that contribute little to creating inclusive settings. Therefore, while acknowledging the significant potential of DIs for social-ecological governance, we argue for the need to investigate t</w:t>
      </w:r>
    </w:p>
    <w:p>
      <w:pPr/>
      <w:r>
        <w:rPr>
          <w:b/>
        </w:rPr>
        <w:t>POSSIBLE 2025:</w:t>
      </w:r>
      <w:r>
        <w:t xml:space="preserve"> D-LAD - A FRAMEWORK FOR PROJECT-BASED DESIGN ASSESSMENT: EDUCATORS’ INSIGHTS — https://doi.org/10.35199/epde.2025.97</w:t>
      </w:r>
    </w:p>
    <w:p>
      <w:pPr/>
      <w:r>
        <w:rPr>
          <w:b/>
        </w:rPr>
        <w:t>Shared claim-specific concepts:</w:t>
      </w:r>
      <w:r>
        <w:t xml:space="preserve"> insights, assessment, framework, outcomes, value, technical; EU scope visible. This is a provisional connection, not an outcome finding.</w:t>
      </w:r>
    </w:p>
    <w:p>
      <w:pPr>
        <w:pStyle w:val="SourceNote"/>
      </w:pPr>
      <w:r>
        <w:rPr>
          <w:b/>
        </w:rPr>
        <w:t>Available abstract (not full text):</w:t>
      </w:r>
      <w:r>
        <w:t xml:space="preserve"> Through exploration of the literature on design project assessment themes, five dimensions were defined and presented as ‘lenses’ to help explore the challenges and variance in design project assessment. These were: Assessing Output v Process; Summative v Formative; Teacher-led v Student-led; Assessment of Learning v Assessment for/as Learning; and Individual v Team Assessment. These dimensions provide key considerations for design educators when re-designing existing or developing new modules and courses. Using the Lotus Blossom method, educators participated in sharing their insights on the dimensions, which then formed the basis of a workshop at the Design 2024 Conference in Dubrovnik, Croatia. Findings showed the variance in educational outcomes desired by industry project partners versus those emphasised in academia: industry project partners often value demonstrable technical proficiency and client-focused deliverables over process nuances (i.e. project knowledge); whilst most educators place higher importance on the iterative nature of design processes as a learning tool for students (i.e. process skills). Based on insights from the workshop, a framework was then developed as a means to review and potentially adjust assessment by adopting an emphasis on design knowledge, skills and products. It can also be used as an iterative feedback mechanism to balance industry expec</w:t>
      </w:r>
    </w:p>
    <w:p>
      <w:pPr/>
      <w:r>
        <w:rPr>
          <w:b/>
        </w:rPr>
        <w:t>POSSIBLE 2025:</w:t>
      </w:r>
      <w:r>
        <w:t xml:space="preserve"> INSIGHT: An integrated framework for safe and sustainable chemical and material assessment — https://doi.org/10.1016/j.csbj.2025.03.042</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The assessment of chemicals and materials has traditionally been fragmented, with health, environmental, social, and economic impacts evaluated independently. This disjointed approach limits the ability to capture trade-offs and synergies necessary for comprehensive decision-making under the Safe and Sustainable by Design (SSbD) framework. The EU INSIGHT project addresses this challenge by developing a novel computational framework for integrated impact assessment, based on the Impact Outcome Pathway (IOP) approach. Extending the Adverse Outcome Pathway (AOP) concept, IOPs establish mechanistic links between chemical and material properties and their environmental, health, and socio-economic consequences. The project integrates multi-source datasets (including omics, life cycle inventories, and exposure models) into a structured knowledge graph (KG), ensuring FAIR (Findable, Accessible, Interoperable, Reusable) data principles are met. INSIGHT is being developed and validated through four case studies targeting per- and polyfluoroalkyl substances (PFAS), graphene oxide (GO), bio-based synthetic amorphous silica (SAS), and antimicrobial coatings. These studies demonstrate how multi-model simulations, decision-support tools, and artificial intelligence-driven knowledge extraction can enhance the predictability and interpretability of chemical and material impacts. Additionally, I</w:t>
      </w:r>
    </w:p>
    <w:p>
      <w:pPr/>
      <w:r>
        <w:rPr>
          <w:b/>
        </w:rPr>
        <w:t>POSSIBLE 2025:</w:t>
      </w:r>
      <w:r>
        <w:t xml:space="preserve"> Shaping the Future of DHT Assessment: Insights on Industry Challenges, Developer Needs, and a Harmonized, European HTA Framework — https://doi.org/10.3390/jmahp13030046</w:t>
      </w:r>
    </w:p>
    <w:p>
      <w:pPr/>
      <w:r>
        <w:rPr>
          <w:b/>
        </w:rPr>
        <w:t>Shared claim-specific concepts:</w:t>
      </w:r>
      <w:r>
        <w:t xml:space="preserve"> insights, assessment, framework; EU scope visible. This is a provisional connection, not an outcome finding.</w:t>
      </w:r>
    </w:p>
    <w:p>
      <w:pPr>
        <w:pStyle w:val="SourceNote"/>
      </w:pPr>
      <w:r>
        <w:rPr>
          <w:b/>
        </w:rPr>
        <w:t>Available abstract (not full text):</w:t>
      </w:r>
      <w:r>
        <w:t xml:space="preserve"> Introduction: Market access, pricing, and reimbursement of digital health technologies (DHTs) in Europe are significantly challenged by regulatory fragmentation and various assessment methodologies. Understanding the challenges and priorities of technology developers is essential for developing effective and relevant policy responses. This study explores perceived barriers and developer-driven priorities to inform the development of a harmonized health technology assessment (HTA) framework under the EDiHTA project. Methods: A mixed-methods approach was adopted, including a scoping review to identify key challenges, a survey of 20 DHT developers, and interviews and focus groups with 29 industry representatives from startups to multinational companies across 10 European countries during 2024. Results: Key challenges included a lack of transparency in reimbursement processes, fragmented HTA requirements, and misalignment between traditional evidence models and the agile development of DHTs. Developers highlighted the need to integrate real-world evidence, consider usability and implementation factors, and provide structured, lifecycle-based guidance. Financial barriers and procedural burdens were particularly significant for small and medium-sized enterprises. Conclusions: These findings highlight the need for an HTA framework that reflects the iterative nature of digital developm</w:t>
      </w:r>
    </w:p>
    <w:p>
      <w:pPr/>
      <w:r>
        <w:rPr>
          <w:b/>
        </w:rPr>
        <w:t>POSSIBLE 2025:</w:t>
      </w:r>
      <w:r>
        <w:t xml:space="preserve"> Establishing assessment criteria for soil bioindicators: insights from case studies in Europe — https://doi.org/10.1016/j.ecolind.2025.114063</w:t>
      </w:r>
    </w:p>
    <w:p>
      <w:pPr/>
      <w:r>
        <w:rPr>
          <w:b/>
        </w:rPr>
        <w:t>Shared claim-specific concepts:</w:t>
      </w:r>
      <w:r>
        <w:t xml:space="preserve"> insights, assessment, find; EU scope visible. This is a provisional connection, not an outcome finding.</w:t>
      </w:r>
    </w:p>
    <w:p>
      <w:pPr>
        <w:pStyle w:val="SourceNote"/>
      </w:pPr>
      <w:r>
        <w:rPr>
          <w:b/>
        </w:rPr>
        <w:t>Available abstract (not full text):</w:t>
      </w:r>
      <w:r>
        <w:t xml:space="preserve"> The new EU Soil Strategy aims to restore soil health across Europe by 2050, requiring policy-relevant indicators with robust assessment criteria to control and monitor its achievement. Despite the importance of biological conditions for soil health, few EU Member States have currently established criteria (e.g., target or threshold values) for evaluation of monitoring data. Our study examines the challenges and opportunities in developing such criteria based on the normal operating ranges of bioindicators in the context of soil units (i.e., homogenous soil texture and land use). Leveraging on national case studies across Europe, we find that for most bioindicators criteria could not be defined, due to data insufficiency and environmental bias. Only in France could normal operating ranges be established for earthworms, for some soil units. We identify priorities for the development of robust assessment criteria: (1) Harmonization of evaluation units and definitions, to minimize disparities in current soil texture and land use classifications between Member States, that complicate comparability of evaluation across Europe; (2) Inclusion of climatic-region specific thresholds/targets in addition to land use and soil texture; and (3) Standardization of protocols to reduce the observed variability in methods for sampling and data aggregation. As a temporary solution to optimize moni</w:t>
      </w:r>
    </w:p>
    <w:p>
      <w:pPr/>
      <w:r>
        <w:rPr>
          <w:b/>
        </w:rPr>
        <w:t>POSSIBLE 2025:</w:t>
      </w:r>
      <w:r>
        <w:t xml:space="preserve"> Bioeconomy assessment and monitoring framework and description of dashboard — https://doi.org/10.5281/zenodo.19162107</w:t>
      </w:r>
    </w:p>
    <w:p>
      <w:pPr/>
      <w:r>
        <w:rPr>
          <w:b/>
        </w:rPr>
        <w:t>Shared claim-specific concepts:</w:t>
      </w:r>
      <w:r>
        <w:t xml:space="preserve"> without, insights, assessment, framework, outcomes, provides; EU scope visible. This is a provisional connection, not an outcome finding.</w:t>
      </w:r>
    </w:p>
    <w:p>
      <w:pPr>
        <w:pStyle w:val="SourceNote"/>
      </w:pPr>
      <w:r>
        <w:rPr>
          <w:b/>
        </w:rPr>
        <w:t>Available abstract (not full text):</w:t>
      </w:r>
      <w:r>
        <w:t xml:space="preserve"> The SUSTRACK project aims to accelerate the transition towards a sustainable, circular, and bio-based economy in Europe by identifying enabling conditions, addressing systemic barriers, and supporting evidence-based policymaking. Within this framework, WP2 focused on developing a robust approach to monitor the progress of the European bioeconomy through the SUSTRACK Bioeconomy Monitoring Framework and its operational implementation in the SUSTRACK Monitoring Tool. The bioeconomy plays a central role in achieving the EU’s long-term sustainability goals, notably climate neutrality by 2050, circular resource use, and the regeneration of ecosystems. Yet, monitoring progress remains a major challenge due to the fragmented and heterogeneous nature of existing data. The SUSTRACK monitoring framework was designed to complement the EU Bioeconomy Monitoring System (EU-BMS) by providing a more operational, user-friendly, and policy-relevant tool to benchmark national bioeconomy performance across EU Member States. The framework builds on the five societal objectives of the 2018 EU Bioeconomy Strategy, linking them conceptually to the Sustainable Development Goals (SDGs). This alignment ensures that the monitoring system not only tracks economic performance but also assesses environmental and social dimensions. Over 500 indicators were reviewed and classified according to sustainability pi</w:t>
      </w:r>
    </w:p>
    <w:p>
      <w:pPr/>
      <w:r>
        <w:rPr>
          <w:b/>
        </w:rPr>
        <w:t>POSSIBLE 2025:</w:t>
      </w:r>
      <w:r>
        <w:t xml:space="preserve"> Regulatory challenges and risk assessment of graphene-enabled products: insights for safe commercialisation in Europe — https://doi.org/10.1088/2053-1583/ade4a5</w:t>
      </w:r>
    </w:p>
    <w:p>
      <w:pPr/>
      <w:r>
        <w:rPr>
          <w:b/>
        </w:rPr>
        <w:t>Shared claim-specific concepts:</w:t>
      </w:r>
      <w:r>
        <w:t xml:space="preserve"> insights, assessment, provides; EU scope visible. This is a provisional connection, not an outcome finding.</w:t>
      </w:r>
    </w:p>
    <w:p>
      <w:pPr>
        <w:pStyle w:val="SourceNote"/>
      </w:pPr>
      <w:r>
        <w:rPr>
          <w:b/>
        </w:rPr>
        <w:t>Available abstract (not full text):</w:t>
      </w:r>
      <w:r>
        <w:t xml:space="preserve"> Abstract The development of graphene-enabled products in a variety of industrial sectors like medical devices, textiles, aerospace, or food contact materials has raised significant regulatory challenges with regards to risk assessment. The work performed under the Graphene Flagship Work Package SH11 termed SafeGraph, aimed to identify challenges while implementing regulation as well as to develop a regulatory roadmap addressing these issues. This study explores and discusses the regulatory gaps and safety assessment challenges associated with graphene-enabled products and based on regulatory requirements with a particular focus on risk assessment, exposure concerns, and potential environmental impacts. Through case studies involving skin sensors, drinking water filters, wearable electronics, and de-icing systems for aircrafts, we identified critical safety and compliance issues across various sectors. The work used four Graphene Flagship case studies as showcases to address the above markets (CHEMsens, GRAPHIL, WEARgraph and GICE). These case studies underscore the need for updated regulatory guidelines tailored to graphene’s unique properties. This study provides insights into current challenges of assessing risks and proposes steps to ensure safe and sustainable commercialisation of graphene-based products, advocating for harmonised regulatory frameworks.</w:t>
      </w:r>
    </w:p>
    <w:p>
      <w:pPr>
        <w:pStyle w:val="Heading2"/>
      </w:pPr>
      <w:r>
        <w:t>512.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2025:</w:t>
      </w:r>
      <w:r>
        <w:t xml:space="preserve"> Health Disparities: The Emerging Trends and Pressing Challenges — https://doi.org/10.3390/books978-3-7258-3147-0</w:t>
      </w:r>
    </w:p>
    <w:p>
      <w:pPr/>
      <w:r>
        <w:rPr>
          <w:b/>
        </w:rPr>
        <w:t>Shared claim-specific concepts:</w:t>
      </w:r>
      <w:r>
        <w:t xml:space="preserve"> one, pressing, issues, dynamics; EU scope visible. This is a provisional connection, not an outcome finding.</w:t>
      </w:r>
    </w:p>
    <w:p>
      <w:pPr>
        <w:pStyle w:val="SourceNote"/>
      </w:pPr>
      <w:r>
        <w:rPr>
          <w:b/>
        </w:rPr>
        <w:t>Available abstract (not full text):</w:t>
      </w:r>
      <w:r>
        <w:t xml:space="preserve"> Health disparities represent one of the most pressing challenges in modern healthcare systems worldwide. Health disparities have a profound influence on communities and individuals, shaping their overall health, well-being, and social dynamics.These preventable differences in health outcomes, disease burden, and access to quality care continue to affect socially disadvantaged populations, perpetuating cycles of inequality and undermining the fundamental principle of health equity. As we delve deeper into the 21st century, the urgency to address these disparities has never been more apparent, with emerging trends highlighting both the persistence of long-standing issues and the rise of new challenges in our rapidly evolving global landscape.The European Journal of Investigation in Health, Psychology and Education has dedicated a Special Issue to the exploration of the critical topic of Health Disparities: The Emerging Trends and Pressing Challenges. This collection of research aims to shed light on the multifaceted nature of health disparities, their root causes, and potential solutions, bringing together insights from various disciplines to inform policy, practice, and future research directions.</w:t>
      </w:r>
    </w:p>
    <w:p>
      <w:pPr/>
      <w:r>
        <w:rPr>
          <w:b/>
        </w:rPr>
        <w:t>POSSIBLE 2025:</w:t>
      </w:r>
      <w:r>
        <w:t xml:space="preserve"> Safe access to asylum in Europe: revisiting the litmus test of refugee law — https://doi.org/10.59350/fluchtforschung.14630</w:t>
      </w:r>
    </w:p>
    <w:p>
      <w:pPr/>
      <w:r>
        <w:rPr>
          <w:b/>
        </w:rPr>
        <w:t>Shared claim-specific concepts:</w:t>
      </w:r>
      <w:r>
        <w:t xml:space="preserve"> one, pressing, issues, still; EU scope visible. This is a provisional connection, not an outcome finding.</w:t>
      </w:r>
    </w:p>
    <w:p>
      <w:pPr>
        <w:pStyle w:val="SourceNote"/>
      </w:pPr>
      <w:r>
        <w:rPr>
          <w:b/>
        </w:rPr>
        <w:t>Available abstract (not full text):</w:t>
      </w:r>
      <w:r>
        <w:t xml:space="preserve"> The question of safe and regulated entry for protection seekers into a state of refuge is still one of the most pressing issues of the asylum system in Europe.</w:t>
      </w:r>
    </w:p>
    <w:p>
      <w:pPr/>
      <w:r>
        <w:rPr>
          <w:b/>
        </w:rPr>
        <w:t>POSSIBLE 2025:</w:t>
      </w:r>
      <w:r>
        <w:t xml:space="preserve"> Islamic Lifestyle Applications: Meeting the Spiritual Needs of Modern Muslims — https://doi.org/10.1080/10447318.2025.2595545</w:t>
      </w:r>
    </w:p>
    <w:p>
      <w:pPr/>
      <w:r>
        <w:rPr>
          <w:b/>
        </w:rPr>
        <w:t>Shared claim-specific concepts:</w:t>
      </w:r>
      <w:r>
        <w:t xml:space="preserve"> meeting, needs, assess; EU scope not established. This is a provisional connection, not an outcome finding.</w:t>
      </w:r>
    </w:p>
    <w:p>
      <w:pPr>
        <w:pStyle w:val="SourceNote"/>
      </w:pPr>
      <w:r>
        <w:rPr>
          <w:b/>
        </w:rPr>
        <w:t>Available abstract (not full text):</w:t>
      </w:r>
      <w:r>
        <w:t xml:space="preserve"> We evaluated contemporary Islamic lifestyle applications supporting religious practices and motivation among Muslims. We reviewed 11 popular applications using self-determination theory and the technology-as-experience framework to assess their support for motivation and affective needs. Most applications lack features that foster autonomy, competence, and relatedness. We also interviewed ten devoted Muslim application users to gain insights into their experiences and unmet needs. Our findings indicate that existing applications fall short in providing comprehensive learning, social connections, and scholar consultations. We propose design implications based on our results, including spiritual empowerment through technology, designing for intrinsic motivation, culturally grounded design and community engagement. We aim to inform the design of Islamic lifestyle applications that better facilitate ritual practices, benefitting application designers and Muslim communities. Our research provides valuable insights into the untapped potential for lifestyle applications to act as religious companions supporting Muslims’ spiritual journey.</w:t>
      </w:r>
    </w:p>
    <w:p>
      <w:pPr/>
      <w:r>
        <w:rPr>
          <w:b/>
        </w:rPr>
        <w:t>POSSIBLE 2025:</w:t>
      </w:r>
      <w:r>
        <w:t xml:space="preserve"> Defining informal caregivers by their characteristics safety roles and training needs in Europe — https://doi.org/10.1038/s41598-025-08540-y</w:t>
      </w:r>
    </w:p>
    <w:p>
      <w:pPr/>
      <w:r>
        <w:rPr>
          <w:b/>
        </w:rPr>
        <w:t>Shared claim-specific concepts:</w:t>
      </w:r>
      <w:r>
        <w:t xml:space="preserve"> needs, resources, countries, dynamics; EU scope visible. This is a provisional connection, not an outcome finding.</w:t>
      </w:r>
    </w:p>
    <w:p>
      <w:pPr>
        <w:pStyle w:val="SourceNote"/>
      </w:pPr>
      <w:r>
        <w:rPr>
          <w:b/>
        </w:rPr>
        <w:t>Available abstract (not full text):</w:t>
      </w:r>
      <w:r>
        <w:t xml:space="preserve"> This research re-examines and broadens the conceptualization of patient safety in home care setting through experts' perspective, and recent changes in the profiles of informal caregivers across Europe and explores their role in the dynamics of the evolving care economy. It assesses their contributions to home care, their impact on care quality, and their essential role in ensuring care recipient safety. A qualitative study using the consensus conference technique involving sixty-one experts from diverse healthcare and academic institutions across multiple European countries who participated in a two-day conference. The discussions focused on highlighting the characteristics of informal caregivers and identifying critical challenges in home care, recognition and reducing human errors in home care. Eligibility for participation required membership in the BetterCare consortium and expertise in patient safety. This study emphasizes the critical role of informal caregivers in Europe, updates their definition, and examines their contribution to care recipient safety in the home care setting. This finding underscores the urgent need for policymakers and healthcare institutions to support caregivers by providing education and resources to prevent errors and enhance care quality, ultimately improving outcomes for care recipients.</w:t>
      </w:r>
    </w:p>
    <w:p>
      <w:pPr/>
      <w:r>
        <w:rPr>
          <w:b/>
        </w:rPr>
        <w:t>POSSIBLE 2025:</w:t>
      </w:r>
      <w:r>
        <w:t xml:space="preserve"> Towards meeting futures’ educational needs: a case study of CERN IdeaSquare planet — https://doi.org/10.1080/2331186x.2025.2542398</w:t>
      </w:r>
    </w:p>
    <w:p>
      <w:pPr/>
      <w:r>
        <w:rPr>
          <w:b/>
        </w:rPr>
        <w:t>Shared claim-specific concepts:</w:t>
      </w:r>
      <w:r>
        <w:t xml:space="preserve"> meeting, needs, innovation; EU scope not established. This is a provisional connection, not an outcome finding.</w:t>
      </w:r>
    </w:p>
    <w:p>
      <w:pPr>
        <w:pStyle w:val="SourceNote"/>
      </w:pPr>
      <w:r>
        <w:rPr>
          <w:b/>
        </w:rPr>
        <w:t>Available abstract (not full text):</w:t>
      </w:r>
      <w:r>
        <w:t xml:space="preserve"> With the future being increasingly perceived as uncertain, education must develop skills to foster sustainability and responsibility in unpredictable circumstances. This study explores how CERN IdeaSquare Planet (I2P), an innovative educational program at the intersection of innovation and transformative futures education, works towards meeting this need. I2P teaches key skills such as transformative thinking, openness to alternatives, and comfort with uncertainty, while also addressing the largely unexplored impact of futures exercises on present behavior. For explorative study of the impacts of I2P on these skills, we study three pilot program runs. We employ both thematic analysis of reflection text data from participants and facilitators, and ethnographic participant observation as methodologies. Findings suggest that I2P develops essential futures skills such as openness to alternative futures, managing uncertainty and complexity, and self-organized transdisciplinary teamwork. However, while openness to alternatives increased, participants ultimately gravitated towards adopting presently dominant future narratives like techno-optimism, limiting the consideration of fully transformative futures imaginaries. This study provides practical insights for educators interested in implementing similar methodologies for transformative innovation education, raises new questions for f</w:t>
      </w:r>
    </w:p>
    <w:p>
      <w:pPr/>
      <w:r>
        <w:rPr>
          <w:b/>
        </w:rPr>
        <w:t>POSSIBLE 2025:</w:t>
      </w:r>
      <w:r>
        <w:t xml:space="preserve"> Perspectives of Russian Language Educators on Meeting the Needs of Heritage and L2 Learners in Mixed Classes — https://doi.org/10.70163/2831-9737.1516</w:t>
      </w:r>
    </w:p>
    <w:p>
      <w:pPr/>
      <w:r>
        <w:rPr>
          <w:b/>
        </w:rPr>
        <w:t>Shared claim-specific concepts:</w:t>
      </w:r>
      <w:r>
        <w:t xml:space="preserve"> meeting, needs; EU scope not established. This is a provisional connection, not an outcome finding.</w:t>
      </w:r>
    </w:p>
    <w:p>
      <w:pPr>
        <w:pStyle w:val="SourceNote"/>
      </w:pPr>
      <w:r>
        <w:rPr>
          <w:b/>
        </w:rPr>
        <w:t>Available abstract (not full text):</w:t>
      </w:r>
      <w:r>
        <w:t xml:space="preserve"> In less commonly taught languages, such as Russian, heritage and non-heritage learners often share the same classes. Teachers in these settings must differentiate instruction to meet the diverse needs of their students. Online teaching adds an additional layer of complexity that instructors must address in their course design. This qualitative study explores the perspectives of 12 Russian language educators, working across various educational settings, on the language learning needs of heritage and non-heritage learners in mixed classes. It examines how these teachers adapt their instruction to support their students and meet the demands of different teaching modalities. The study also illuminates Russian language educators’ perspectives on effective professional development sessions in support of their work with linguistically diverse learners.</w:t>
      </w:r>
    </w:p>
    <w:p>
      <w:pPr/>
      <w:r>
        <w:rPr>
          <w:b/>
        </w:rPr>
        <w:t>POSSIBLE 2024:</w:t>
      </w:r>
      <w:r>
        <w:t xml:space="preserve"> Deliberation in times of crisis – how can citizens’ councils deal with pressing political issues like the Corona pandemic? — https://doi.org/10.1080/13511610.2024.2306236</w:t>
      </w:r>
    </w:p>
    <w:p>
      <w:pPr/>
      <w:r>
        <w:rPr>
          <w:b/>
        </w:rPr>
        <w:t>Shared claim-specific concepts:</w:t>
      </w:r>
      <w:r>
        <w:t xml:space="preserve"> one, pressing, issues, situation; EU scope visible. This is a provisional connection, not an outcome finding.</w:t>
      </w:r>
    </w:p>
    <w:p>
      <w:pPr>
        <w:pStyle w:val="SourceNote"/>
      </w:pPr>
      <w:r>
        <w:rPr>
          <w:b/>
        </w:rPr>
        <w:t>Available abstract (not full text):</w:t>
      </w:r>
      <w:r>
        <w:t xml:space="preserve"> The Corona pandemic was one of the most challenging political events of the last decades in Europe in which many important political issues had to be decided within a very short space of time. Deliberative, sortition-based formats offer new approaches to strengthen democracy in times of crisis but have so far mainly been used for fundamental issues that have been under discussion for a long time. In Germany, four Corona Citizens’ Councils were organized at different levels to deal with the highly dynamic pandemic situation. The first was on local level and took place in the city of Augsburg, the next and most prominent one in the state of Baden-Wurttemberg (‘Bürgerforum Corona’), being held monthly over a period of 13 months. Another one was organized in the state of Saxony, a fourth one in Thuringia. The article examines the background, the methodological quality and the outcomes of three Corona Citizens’ Councils in Germany. The article compares the three Citizens’ Councils and draws conclusions about the crisis-management capacities of deliberative formats in dealing with pressing political issues in highly dynamic situations.</w:t>
      </w:r>
    </w:p>
    <w:p>
      <w:pPr>
        <w:pStyle w:val="Heading2"/>
      </w:pPr>
      <w:r>
        <w:t>513.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2025:</w:t>
      </w:r>
      <w:r>
        <w:t xml:space="preserve"> Climate advisory committees in European climate governance: Expertise, representation and co‐production — https://doi.org/10.1111/reel.70019</w:t>
      </w:r>
    </w:p>
    <w:p>
      <w:pPr/>
      <w:r>
        <w:rPr>
          <w:b/>
        </w:rPr>
        <w:t>Shared claim-specific concepts:</w:t>
      </w:r>
      <w:r>
        <w:t xml:space="preserve"> climate, including, substantial; EU scope visible. This is a provisional connection, not an outcome finding.</w:t>
      </w:r>
    </w:p>
    <w:p>
      <w:pPr>
        <w:pStyle w:val="SourceNote"/>
      </w:pPr>
      <w:r>
        <w:rPr>
          <w:b/>
        </w:rPr>
        <w:t>Available abstract (not full text):</w:t>
      </w:r>
      <w:r>
        <w:t xml:space="preserve"> Abstract This article examines the institutional design and statutory mandates of Climate Advisory Committees (CACs) in Denmark, Finland, Germany and the United Kingdom through comparative legal analysis. The CACs share the common feature of operating as boundary institutions mediating between scientific knowledge and policy implementation, with implications for climate governance. Through analysis of primary legal documents, official publications and governmental responses, the article demonstrates that CACs consistently encounter difficulties translating scientific advice into substantial policy change when recommendations conflict with economic interests embedded in legal frameworks. Despite variations in institutional design—including different appointment processes, mandate scope, and legal foundations—all four CACs face similar implementation challenges in sectors such as agriculture, forestry, aviation and transport. The article argues that these systematic constraints indicate limitations in current approaches to expert climate advice, as legal frameworks actively prioritise economic values while marginalising ecological and intergenerational considerations. The findings suggest that effective climate governance requires institutional innovations that address the underlying legal constitution of values rather than relying solely on improved scientific expertise or insti</w:t>
      </w:r>
    </w:p>
    <w:p>
      <w:pPr/>
      <w:r>
        <w:rPr>
          <w:b/>
        </w:rPr>
        <w:t>POSSIBLE 2025:</w:t>
      </w:r>
      <w:r>
        <w:t xml:space="preserve"> The Impact of Climate Change on Eastern European Viticulture: A Review of Smart Irrigation and Water Management Strategies — https://doi.org/10.3390/horticulturae11111282</w:t>
      </w:r>
    </w:p>
    <w:p>
      <w:pPr/>
      <w:r>
        <w:rPr>
          <w:b/>
        </w:rPr>
        <w:t>Shared claim-specific concepts:</w:t>
      </w:r>
      <w:r>
        <w:t xml:space="preserve"> climate, including, periods; EU scope visible. This is a provisional connection, not an outcome finding.</w:t>
      </w:r>
    </w:p>
    <w:p>
      <w:pPr>
        <w:pStyle w:val="SourceNote"/>
      </w:pPr>
      <w:r>
        <w:rPr>
          <w:b/>
        </w:rPr>
        <w:t>Available abstract (not full text):</w:t>
      </w:r>
      <w:r>
        <w:t xml:space="preserve"> Climate change poses significant challenges to viticulture worldwide, with Eastern European vineyards experiencing increased water stress due to rising temperatures, irregular precipitation patterns, and prolonged drought periods. These climatic shifts hurt vine phenology, grape quality, and overall productivity. In response, adaptive irrigation strategies such as Regulated Deficit Irrigation (RDI) have gained attention for optimizing water use while preserving grape quality. Concurrently, the adoption of smart agriculture technologies—including soil moisture sensors, automated weather stations, remote sensing, and data-driven decision support systems—enables precise monitoring and real-time management of vineyard water status. This review synthesizes recent studies from Eastern Europe, emphasizing the necessity of integrating climate adaptation measures with intelligent irrigation management to enhance vineyard resilience and sustainability under increasing climate variability.</w:t>
      </w:r>
    </w:p>
    <w:p>
      <w:pPr/>
      <w:r>
        <w:rPr>
          <w:b/>
        </w:rPr>
        <w:t>POSSIBLE 2025:</w:t>
      </w:r>
      <w:r>
        <w:t xml:space="preserve"> Future Snow Scenarios for Northern Europe Based on Coupled Model Intercomparison Project Phase 6 Data — https://doi.org/10.1002/joc.8795</w:t>
      </w:r>
    </w:p>
    <w:p>
      <w:pPr/>
      <w:r>
        <w:rPr>
          <w:b/>
        </w:rPr>
        <w:t>Shared claim-specific concepts:</w:t>
      </w:r>
      <w:r>
        <w:t xml:space="preserve"> thirteen, climate, including, pathways, uncertainty, substantial; EU scope visible. This is a provisional connection, not an outcome finding.</w:t>
      </w:r>
    </w:p>
    <w:p>
      <w:pPr>
        <w:pStyle w:val="SourceNote"/>
      </w:pPr>
      <w:r>
        <w:rPr>
          <w:b/>
        </w:rPr>
        <w:t>Available abstract (not full text):</w:t>
      </w:r>
      <w:r>
        <w:t xml:space="preserve"> ABSTRACT The ongoing climate change alters the snow conditions. This paper evaluates these changes in Northern Europe including Fennoscandia and the Baltic Sea region, based on data from the newest generation of global climate models (Coupled Model Intercomparison Project phase 6; CMIP6). Thirteen CMIP6 models are selected for the analysis based on the availability of daily snow data and the models' performance in simulating global and Northern European climate and snow conditions in Finland. The analysis focuses on four quantities: the largest daily value of snow water equivalent during the winter SWEmax, and the length, start day and end day of the longest continuous snow period. The models project an overall shift towards less snowy conditions with progressing warming: reduced SWEmax and shorter snow seasons that start later and end earlier. This is seen already in recent (1951–2023) trends, with largest simulated trends in southern Fennoscandia and in the Baltic countries and smaller trends in the northern inland regions. ERA5‐Land reanalysis data mainly agree with this spatial pattern, although with some notable differences. The decrease of snow continues into the future (2023–2100), with larger trends projected for Shared Socioeconomic Pathways (SSP) scenarios with larger radiative forcing. Also, larger changes are projected for southern than northern Fennoscandia. For ex</w:t>
      </w:r>
    </w:p>
    <w:p>
      <w:pPr/>
      <w:r>
        <w:rPr>
          <w:b/>
        </w:rPr>
        <w:t>POSSIBLE 2024:</w:t>
      </w:r>
      <w:r>
        <w:t xml:space="preserve"> Global climate change's implications on the economy and the environment — https://doi.org/10.21608/espesl.2023.239466.1088</w:t>
      </w:r>
    </w:p>
    <w:p>
      <w:pPr/>
      <w:r>
        <w:rPr>
          <w:b/>
        </w:rPr>
        <w:t>Shared claim-specific concepts:</w:t>
      </w:r>
      <w:r>
        <w:t xml:space="preserve"> climate; EU scope not established. This is a provisional connection, not an outcome finding.</w:t>
      </w:r>
    </w:p>
    <w:p>
      <w:pPr>
        <w:pStyle w:val="SourceNote"/>
      </w:pPr>
      <w:r>
        <w:rPr>
          <w:b/>
        </w:rPr>
        <w:t>Available abstract (not full text):</w:t>
      </w:r>
      <w:r>
        <w:t xml:space="preserve"> The production and consumption of energy are key sources of greenhouse gas emissions. Today, greenhouse gas emissions, notably CO2, are a major source of concern. Despite the fact that CO2 is one of the most significant greenhouse gases. Because numerous harmful chemicals and reactants are employed in refinery of petroleum products, the risk of greater isotope C02 generation cannot be overlooked. Global warming debate, one way to reduce carbon emissions quickly and economically is to improve energy efficiency, which leads to a decrease in energy consumption.Global warming, environmental laws, and energy policy debates all begin with the widely held belief that the current warm and electricity system is economically acceptable. As a result, any steps to alter the power system in order to attain other objectives, like reduction of pollutants, will increase in energy service prices and harm the financial market. Thus, it follows inventing and developing new technology is the only way to have affordable, clean energy. These conceptions are popular. In a significant speech on climate change, President George W. Bush declared that "technology is the ticket" (2005). However, the current energy system is not ideal, therefore society does not need to trade off access to cleaner energy for higher incomes.</w:t>
      </w:r>
    </w:p>
    <w:p>
      <w:pPr/>
      <w:r>
        <w:rPr>
          <w:b/>
        </w:rPr>
        <w:t>POSSIBLE 2024:</w:t>
      </w:r>
      <w:r>
        <w:t xml:space="preserve"> Global reduction of snow cover in ski areas under climate change — https://doi.org/10.1371/journal.pone.0299735</w:t>
      </w:r>
    </w:p>
    <w:p>
      <w:pPr/>
      <w:r>
        <w:rPr>
          <w:b/>
        </w:rPr>
        <w:t>Shared claim-specific concepts:</w:t>
      </w:r>
      <w:r>
        <w:t xml:space="preserve"> thirteen, climate, regional; EU scope not established. This is a provisional connection, not an outcome finding.</w:t>
      </w:r>
    </w:p>
    <w:p>
      <w:pPr>
        <w:pStyle w:val="SourceNote"/>
      </w:pPr>
      <w:r>
        <w:rPr>
          <w:b/>
        </w:rPr>
        <w:t>Available abstract (not full text):</w:t>
      </w:r>
      <w:r>
        <w:t xml:space="preserve"> Ongoing climate change substantially alters snowfall patterns with severe but diverging consequences for global ski areas. A global assessment as well as the investigation of potential implications for mountain ecosystems is currently lacking. We quantify future trends in natural snow cover days under different climate change scenarios until 2100 in seven major global skiing regions and discuss implications for mountainous biodiversity by analysing how natural snow cover days relate to regional human population density. Within all major skiing regions, snow cover days are projected to decrease substantially under every assessed climate change scenario. Thirteen percent of all current ski areas are projected to completely lose natural annual snow cover and one fifth will experience a reduction of more than 50% by 2071-2100 relative to historic baselines. Future skiable areas will concentrate in less populated areas, towards continental regions and inner parts of the mountain ranges. As skiable areas will be located at greater distances to highly populated areas in the future, we expect an expansion of infrastructure and increasing intervening actions (i.e., artificial snowmaking, slope grooming) to prolong snow duration. Our results are concerning for both the recreational and economic value of skiing as well as for mountain biodiversity since vulnerable high-altitude species mi</w:t>
      </w:r>
    </w:p>
    <w:p>
      <w:pPr/>
      <w:r>
        <w:rPr>
          <w:b/>
        </w:rPr>
        <w:t>POSSIBLE 2024:</w:t>
      </w:r>
      <w:r>
        <w:t xml:space="preserve"> Rapid Climate Model Downscaling to Assess Risk of Extreme Rainfall in Bangladesh in a Warming Climate — https://doi.org/10.48550/arxiv.2412.16407</w:t>
      </w:r>
    </w:p>
    <w:p>
      <w:pPr/>
      <w:r>
        <w:rPr>
          <w:b/>
        </w:rPr>
        <w:t>Shared claim-specific concepts:</w:t>
      </w:r>
      <w:r>
        <w:t xml:space="preserve"> climate, uncertainty, substantial; EU scope not established. This is a provisional connection, not an outcome finding.</w:t>
      </w:r>
    </w:p>
    <w:p>
      <w:pPr>
        <w:pStyle w:val="SourceNote"/>
      </w:pPr>
      <w:r>
        <w:rPr>
          <w:b/>
        </w:rPr>
        <w:t>Available abstract (not full text):</w:t>
      </w:r>
      <w:r>
        <w:t xml:space="preserve"> As climate change drives an increase in global extremes, it is critical for Bangladesh, a nation highly vulnerable to these impacts, to assess future risks for effective adaptation and mitigation planning. Downscaling coarse-resolution climate models to finer scales is essential for accurately evaluating the risk of extremes. In this study, we apply our downscaling method, which integrates data, physics, and machine learning, to quantify the risks of extreme precipitation in Bangladesh. The proposed approach successfully captures the observed spatial patterns and risks of extreme rainfall in the current climate while generating risk and uncertainty estimates by efficiently downscaling multiple models under future climate scenarios. Our findings project that the risk of extreme rainfall rises across the country, with the most significant increases in the northeastern hilly and southeastern coastal areas. Projections show that the daily maximum rainfall for a 100-year return period could increase by approximately 50 mm/day by mid-century and around 100 mm/day by the end of the century. However, substantial uncertainties remain due to variations across multiple climate models and scenarios.</w:t>
      </w:r>
    </w:p>
    <w:p>
      <w:pPr>
        <w:pStyle w:val="Heading2"/>
      </w:pPr>
      <w:r>
        <w:t>514.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environmental, protection, quality, environment, objectives, climate;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2025:</w:t>
      </w:r>
      <w:r>
        <w:t xml:space="preserve"> ENVIRONMENTAL PROTECTION GOALS AND SCOPE OF POLICIES IN THE EUROPEAN UNION BY 2030 — https://doi.org/10.46793/semsie25.159pr</w:t>
      </w:r>
    </w:p>
    <w:p>
      <w:pPr/>
      <w:r>
        <w:rPr>
          <w:b/>
        </w:rPr>
        <w:t>Shared claim-specific concepts:</w:t>
      </w:r>
      <w:r>
        <w:t xml:space="preserve"> environmental, protection, fully; EU scope visible. This is a provisional connection, not an outcome finding.</w:t>
      </w:r>
    </w:p>
    <w:p>
      <w:pPr>
        <w:pStyle w:val="SourceNote"/>
      </w:pPr>
      <w:r>
        <w:rPr>
          <w:b/>
        </w:rPr>
        <w:t>Available abstract (not full text):</w:t>
      </w:r>
      <w:r>
        <w:t xml:space="preserve"> Environmental protection is one of the key focuses of the European Union’s activities, operating at various levels – from policy and legislation to financial investments. The European Green Deal, the EU’s main environmental policy plan, aims for Europe to become the first climate-neutral continent by 2050. This involves reducing carbon dioxide emissions, transitioning to renewable energy sources, investing in green technology, strengthening environmental legislation, and more. The Eighth Environmental Action Program, adopted in alignment with the European Green Deal, provides the framework for EU environmental policy until 2030. It sets the priority goals for environmental protection until 2030 and the conditions necessary for their achievement. At the same time, it forms the basis for the European Union’s contribution to achieving the United Nations Agenda for 2030 and its sustainable development goals. This paper analyzes six priority goals of the Eighth Environmental Action Program and the progress made toward achieving them, monitored through 26 indicators. The research results indicate that the European Union has successfully achieved some goals, but there are goals that require significantly greater efforts and resources to be fully realized.</w:t>
      </w:r>
    </w:p>
    <w:p>
      <w:pPr/>
      <w:r>
        <w:rPr>
          <w:b/>
        </w:rPr>
        <w:t>POSSIBLE 2025:</w:t>
      </w:r>
      <w:r>
        <w:t xml:space="preserve"> Legal characterization of the principles of soil protection in the law of the European Union — https://doi.org/10.24144/2307-3322.2025.87.4.48</w:t>
      </w:r>
    </w:p>
    <w:p>
      <w:pPr/>
      <w:r>
        <w:rPr>
          <w:b/>
        </w:rPr>
        <w:t>Shared claim-specific concepts:</w:t>
      </w:r>
      <w:r>
        <w:t xml:space="preserve"> environmental, protection, environment, not, objectives; EU scope visible. This is a provisional connection, not an outcome finding.</w:t>
      </w:r>
    </w:p>
    <w:p>
      <w:pPr>
        <w:pStyle w:val="SourceNote"/>
      </w:pPr>
      <w:r>
        <w:rPr>
          <w:b/>
        </w:rPr>
        <w:t>Available abstract (not full text):</w:t>
      </w:r>
      <w:r>
        <w:t xml:space="preserve"> This study has been focused on the principles of soil protection as the fundamental principles of the European Union environmental law. In particular, the author has examined the special principles whose main purpose in the field of environmental protection is to achieve a high level of environmental protection and to realize all the objectives of the European Union. The author has established that these principles are not limited to the field of environmental law protection, but also apply to the policies and actions of the European Union as a whole. At the same time, they have been constantly expressed and reflected in various founding treaties of the European Union and finally enshrined in the Lisbon Treaties. In particular, such fundamental principles of soil protection as the precautionary principle, primarily in the context of practical application, which includes the need to choose, having duly weighed the level of risk, action or inaction under conditions of uncertainty have been analyzed in the article. The principle of prevention is based on risk assessment, but its distinctive feature is the focus on avoiding foreseeable risks. In the article it has been also focused on the fact that states should not only refrain from causing harm, but also take measures aimed at protecting the environment. The author has analyzed the principle of eliminating pollution at the source</w:t>
      </w:r>
    </w:p>
    <w:p>
      <w:pPr/>
      <w:r>
        <w:rPr>
          <w:b/>
        </w:rPr>
        <w:t>POSSIBLE 2025:</w:t>
      </w:r>
      <w:r>
        <w:t xml:space="preserve"> Rights of Nature in Europe: the Mar Menor and the Future of Ecocentric Environmental Protection — https://doi.org/10.1163/18760104-22030006</w:t>
      </w:r>
    </w:p>
    <w:p>
      <w:pPr/>
      <w:r>
        <w:rPr>
          <w:b/>
        </w:rPr>
        <w:t>Shared claim-specific concepts:</w:t>
      </w:r>
      <w:r>
        <w:t xml:space="preserve"> environmental, protection, safeguard; EU scope visible. This is a provisional connection, not an outcome finding.</w:t>
      </w:r>
    </w:p>
    <w:p>
      <w:pPr>
        <w:pStyle w:val="SourceNote"/>
      </w:pPr>
      <w:r>
        <w:rPr>
          <w:b/>
        </w:rPr>
        <w:t>Available abstract (not full text):</w:t>
      </w:r>
      <w:r>
        <w:t xml:space="preserve"> Abstract This article examines the concept of Rights of Nature (RoN) and its potential application within the European Union (EU) water law framework, using the Mar Menor lagoon in Spain as a case study. The Mar Menor, the first natural entity in Europe to be granted legal personhood, exemplifies how RoN can be applied in practice to address severe ecological degradation. The article analyses the expected effectiveness of Spain’s Law 19/2022, which confers legal rights to the Mar Menor, highlighting the legal, ethical, and environmental implications of this rights-based approach. By analysing local-level implementation, the article also considers the possibility of integrating RoN more broadly into the EU’s water law framework, examining the notions of RoN already present within the Water Framework Directive. While RoN holds promise for enhancing environmental protection on a local scale in the EU, its success depends on the robustness of legal frameworks and active civil society involvement. The article concludes by discussing the logic and feasibility of adopting RoN more broadly within EU environmental law, advocating for a gradual shift towards more ecocentric legislation to safeguard natural ecosystems.</w:t>
      </w:r>
    </w:p>
    <w:p>
      <w:pPr/>
      <w:r>
        <w:rPr>
          <w:b/>
        </w:rPr>
        <w:t>POSSIBLE 2025:</w:t>
      </w:r>
      <w:r>
        <w:t xml:space="preserve"> THE IMPACT OF EUROPEAN REGULATIONS ON ENVIRONMENTAL PERFORMANCE OF EU COUNTRIES: A COMPARATIVE ANALYSIS — https://doi.org/10.47743/eufire-2024-1-6</w:t>
      </w:r>
    </w:p>
    <w:p>
      <w:pPr/>
      <w:r>
        <w:rPr>
          <w:b/>
        </w:rPr>
        <w:t>Shared claim-specific concepts:</w:t>
      </w:r>
      <w:r>
        <w:t xml:space="preserve"> objective, environmental, protection, protect, improve, environment; EU scope visible. This is a provisional connection, not an outcome finding.</w:t>
      </w:r>
    </w:p>
    <w:p>
      <w:pPr>
        <w:pStyle w:val="SourceNote"/>
      </w:pPr>
      <w:r>
        <w:rPr>
          <w:b/>
        </w:rPr>
        <w:t>Available abstract (not full text):</w:t>
      </w:r>
      <w:r>
        <w:t xml:space="preserve"> Since the adoption of the European Green Deal in 2020, the European Union constantly tried to improve its environmental protection policy, aiming to develop a climate-neutral economy that will help Europe to become the world’s first ‘climate-neutral’ continent, with net zero GHG emissions by 2050. Indeed, according to 2022 estimates, the EU has successfully reduced its GHG net emissions by 31% since 1990, meeting its 2020 targets without sacrificing its prosperity. The use of renewable energy and the increase of energy efficiency proved to be of paramount importance for cutting down pollution. Even though, so far, progress has been made by Member States, the achievement of climate neutrality by 2050 imposes a faster pace on them. Still, their policies, strategies, programs and measures need to be well-synchronized in content and timing to curb climate change and protect prosperity. To measure the results and to anticipate future efforts require adequate tools. One of these is the environmental performance index (EPI), a complex global environmental indicator based on 40 performance indicators grouped into 11 issue categories, which are tracking progress on three broad policy objectives: environmental health, ecosystem vitality, and climate change. The objective of the paper is to analyze the environmental performance of the European Union (EU) countries, measured according to t</w:t>
      </w:r>
    </w:p>
    <w:p>
      <w:pPr/>
      <w:r>
        <w:rPr>
          <w:b/>
        </w:rPr>
        <w:t>POSSIBLE 2025:</w:t>
      </w:r>
      <w:r>
        <w:t xml:space="preserve"> Environmental conditions and nutritional quality of vegetables in protected cultivation — https://doi.org/10.1111/1541-4337.70139</w:t>
      </w:r>
    </w:p>
    <w:p>
      <w:pPr/>
      <w:r>
        <w:rPr>
          <w:b/>
        </w:rPr>
        <w:t>Shared claim-specific concepts:</w:t>
      </w:r>
      <w:r>
        <w:t xml:space="preserve"> environmental, quality, fully; EU scope not established. This is a provisional connection, not an outcome finding.</w:t>
      </w:r>
    </w:p>
    <w:p>
      <w:pPr>
        <w:pStyle w:val="SourceNote"/>
      </w:pPr>
      <w:r>
        <w:rPr>
          <w:b/>
        </w:rPr>
        <w:t>Available abstract (not full text):</w:t>
      </w:r>
      <w:r>
        <w:t xml:space="preserve"> Abstract Despite progress in reducing global hunger, micronutrient deficiencies and imbalanced diets linked to urbanization remain pressing health threats. Protected cultivation offers a promising avenue for sustainable intensification of vegetable production. Additionally, indoor and vertical farming have recently emerged as cutting‐edge strategies, particularly in densely populated urban areas and mega‐cities. However, research has focused on maximizing yield, neglecting the impact of pre‐harvest conditions on produce quality. Here, we explore strategies for manipulating environmental factors within protected cultivation systems to enhance vegetable nutritional value. Research suggests moderate stress can positively influence nutrient composition while plants exhibit stage‐specific metabolic responses to environmental factors. For instance, seedlings thrive under a higher blue‐to‐red ratio, while green light benefits leafy vegetables. Additionally, increased blue light or supplemental UV‐A benefits flowering and fruiting vegetables. When other environmental factors are optimal, light intensity significantly impacts vegetable nutritional quality, followed by CO 2 levels, light spectrum, temperature, and humidity. Further research is needed to fully understand the mechanisms, the complex interplay of environmental factors, and their interaction with genetic material and cultura</w:t>
      </w:r>
    </w:p>
    <w:p>
      <w:pPr/>
      <w:r>
        <w:rPr>
          <w:b/>
        </w:rPr>
        <w:t>POSSIBLE 2024:</w:t>
      </w:r>
      <w:r>
        <w:t xml:space="preserve"> Environmental Protection: A Fundamental Right or a Social Objective? Comparative Constitutional Overview — https://doi.org/10.56345/ijrdv11n215</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protection of the environment is at the center of the current political debate in Europe and more widely, since the protection of human health is inevitably linked to the health of the environment. The relationship between environmental pollution and human health has been scientifically proven. The inclusion of environmental protection as a fundamental right in the Constitution on the one hand is very important because it affects the orientation and direction of the work of the parliament in relation to environmental policies in the future, while on the other hand it prevents the hegemony of the parliamentary majority in the implementation of some production policies to the detriment of the environment and therefore to the detriment of the health of the country's citizens. Initially, in this paper, the author will focus on the concept and importance of environmental protection, to continue later with the sources of environmental law at the international and national level. In this work, the question that was asked at the beginning of the time will be answered, that is, if the protection of the environment is a right that we can demand its respect in court or simply a social objective that the state wants to realize within its possibilities. I am sure that in the time of globalization, the modern lawyer cannot ignore the comparative analysis, since it now constitutes an esse</w:t>
      </w:r>
    </w:p>
    <w:p>
      <w:pPr>
        <w:pStyle w:val="Heading2"/>
      </w:pPr>
      <w:r>
        <w:t>515.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2025:</w:t>
      </w:r>
      <w:r>
        <w:t xml:space="preserve"> Prevalence of Glaucoma in Europe and Projections to 2050 — https://doi.org/10.1016/j.ophtha.2025.06.002</w:t>
      </w:r>
    </w:p>
    <w:p>
      <w:pPr/>
      <w:r>
        <w:rPr>
          <w:b/>
        </w:rPr>
        <w:t>Shared claim-specific concepts:</w:t>
      </w:r>
      <w:r>
        <w:t xml:space="preserve"> projections, population, people, assess;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High-resolution income projections over the 21st century in Europe consistent with the Shared Socioeconomic Pathways — https://doi.org/10.1088/1748-9326/adcb53</w:t>
      </w:r>
    </w:p>
    <w:p>
      <w:pPr/>
      <w:r>
        <w:rPr>
          <w:b/>
        </w:rPr>
        <w:t>Shared claim-specific concepts:</w:t>
      </w:r>
      <w:r>
        <w:t xml:space="preserve"> projections, population, people; EU scope visible. This is a provisional connection, not an outcome finding.</w:t>
      </w:r>
    </w:p>
    <w:p>
      <w:pPr>
        <w:pStyle w:val="SourceNote"/>
      </w:pPr>
      <w:r>
        <w:rPr>
          <w:b/>
        </w:rPr>
        <w:t>Available abstract (not full text):</w:t>
      </w:r>
      <w:r>
        <w:t xml:space="preserve"> Abstract Climate risk in Europe is unevenly distributed among the population and is projected to increase substantially over the 21st century due to evolving climatic and socioeconomic conditions. Projections of vulnerability drivers, such as income distribution, are needed for assessing future climate risk. In Europe, existing studies typically rely on inadequate proxies, such as gross domestic product per capita, to account for future vulnerability associated with income levels. This study presents a novel top–down iterative methodology to produce decadal, high-resolution (1 km) maps of disposable income across Europe for the 21st century consistent with the Shared Socioeconomic Pathways (SSPs). More specifically, our method aligns with SSP narratives on future economic growth, income distribution, population dynamics and settlement expansion. We illustrate two possible applications of these projections by analysing future shifts in income distribution and estimating the evolution of the number of people at risk of poverty across different development pathways. In highly unequal pathways (SSP3 and SSP4), poverty levels across Europe are projected to increase significantly, with over 30% of the population at risk of poverty by 2100. On the other hand, pathways with high economic growth, specifically SSP1 and SSP5, result in a decrease in poverty rates. This dataset can serve a</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union, population, share;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The Reform of European Public Debt Regulations – an Opportunity and a Challenge for EU Member States — https://doi.org/10.18778/1508-2008.28.10</w:t>
      </w:r>
    </w:p>
    <w:p>
      <w:pPr/>
      <w:r>
        <w:rPr>
          <w:b/>
        </w:rPr>
        <w:t>Shared claim-specific concepts:</w:t>
      </w:r>
      <w:r>
        <w:t xml:space="preserve"> eurostat, member, states, stage; EU scope visible. This is a provisional connection, not an outcome finding.</w:t>
      </w:r>
    </w:p>
    <w:p>
      <w:pPr>
        <w:pStyle w:val="SourceNote"/>
      </w:pPr>
      <w:r>
        <w:rPr>
          <w:b/>
        </w:rPr>
        <w:t>Available abstract (not full text):</w:t>
      </w:r>
      <w:r>
        <w:t xml:space="preserve"> The article examines how the European Commission’s proposal to reform the Stability and Growth Pact (SGP) in terms of the pace of public debt reduction may affect basic economic parameters, such as GDP, consumption and investment levels, as well as fiscal parameters like the scale of subsidies and taxation levels of production and goods. This analysis focuses on two groups of EU countries: those with public debt below 60% of GDP (Group 1) and those with public debt above 60% of GDP (Group 2). In the first stage of the study, using Eurostat data from 1995–2022 and employing a fixed effects model, we show that in Group 1, the impact of public debt on economic growth is statistically significant (unlike in Group 2). In the second stage, we conduct a detailed analysis of the impact of public debt on basic mac­roeconomic parameters (GDP growth components) and fiscal policy in countries with high levels of public debt. We simulate both moderate and drastic variants for reducing public debt relative to GDP. The results show that in these countries, debt reduction leads to a decrease in consumer spending, an increase in investments, and an increase in taxes on production and imports. Based on these results, we recommend that the SGP reform should prioritize a gradual reduction of the public debt-to-GDP ratio because implementing drastic solutions would require deep cuts in public spend</w:t>
      </w:r>
    </w:p>
    <w:p>
      <w:pPr>
        <w:pStyle w:val="Heading2"/>
      </w:pPr>
      <w:r>
        <w:t>516.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2024:</w:t>
      </w:r>
      <w:r>
        <w:t xml:space="preserve"> Contemporary European conducting process: educational models — https://doi.org/10.34064/khnum1-72.05</w:t>
      </w:r>
    </w:p>
    <w:p>
      <w:pPr/>
      <w:r>
        <w:rPr>
          <w:b/>
        </w:rPr>
        <w:t>Shared claim-specific concepts:</w:t>
      </w:r>
      <w:r>
        <w:t xml:space="preserve"> based, two, out; EU scope visible. This is a provisional connection, not an outcome finding.</w:t>
      </w:r>
    </w:p>
    <w:p>
      <w:pPr>
        <w:pStyle w:val="SourceNote"/>
      </w:pPr>
      <w:r>
        <w:rPr>
          <w:b/>
        </w:rPr>
        <w:t>Available abstract (not full text):</w:t>
      </w:r>
      <w:r>
        <w:t xml:space="preserve">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pPr/>
      <w:r>
        <w:rPr>
          <w:b/>
        </w:rPr>
        <w:t>POSSIBLE 2024:</w:t>
      </w:r>
      <w:r>
        <w:t xml:space="preserve"> Ratios in regression analyses with causal questions — https://doi.org/10.1093/aje/kwae162</w:t>
      </w:r>
    </w:p>
    <w:p>
      <w:pPr/>
      <w:r>
        <w:rPr>
          <w:b/>
        </w:rPr>
        <w:t>Shared claim-specific concepts:</w:t>
      </w:r>
      <w:r>
        <w:t xml:space="preserve"> based, two, questions, causal, become; EU scope not established. This is a provisional connection, not an outcome finding.</w:t>
      </w:r>
    </w:p>
    <w:p>
      <w:pPr>
        <w:pStyle w:val="SourceNote"/>
      </w:pPr>
      <w:r>
        <w:rPr>
          <w:b/>
        </w:rPr>
        <w:t>Available abstract (not full text):</w:t>
      </w:r>
      <w:r>
        <w:t xml:space="preserve"> Ratio measures are often used in medical research. Generally, the reason is to describe a phenomenon with a single number rather than multiple numbers. In many instances, ratios are used to account at an individual level for size, such as height in body mass index (BMI) or volume in concentrations. Alternatively, they are used to quantify a latent construct or to summarize the balance between two phenomena, for example, of two hormones or other laboratory markers,1 as the two measures jointly are thought to better describe a phenomenon than separately. Despite several statistical issues previously described, such as finding spurious correlations,2,-4 ratio measures can be convenient and efficient when it comes to diagnostic, prognostic, or predictive questions. However, when dealing with causal questions, the use of ratio measures is not straightforward. An example where a ratio has led to misinterpretation relates to the retinal arteriolar-to-venular ratio, initially thought of as a measure for arteriolar narrowing. Several associations with cardiovascular phenomena were found, but these later appeared to be partly attributable to larger venular diameters.5 We explore several issues relevant for the use of ratios within a causal framework. These issues stem partly from the fact that once two variables are combined into a ratio, the individual effects of the components cannot b</w:t>
      </w:r>
    </w:p>
    <w:p>
      <w:pPr/>
      <w:r>
        <w:rPr>
          <w:b/>
        </w:rPr>
        <w:t>POSSIBLE 2024:</w:t>
      </w:r>
      <w:r>
        <w:t xml:space="preserve"> A guide for planning triangulation studies to investigate complex causal questions in behavioural and psychiatric research — https://doi.org/10.1017/s2045796024000623</w:t>
      </w:r>
    </w:p>
    <w:p>
      <w:pPr/>
      <w:r>
        <w:rPr>
          <w:b/>
        </w:rPr>
        <w:t>Shared claim-specific concepts:</w:t>
      </w:r>
      <w:r>
        <w:t xml:space="preserve"> questions, causal, factors, become; EU scope not established. This is a provisional connection, not an outcome finding.</w:t>
      </w:r>
    </w:p>
    <w:p>
      <w:pPr>
        <w:pStyle w:val="SourceNote"/>
      </w:pPr>
      <w:r>
        <w:rPr>
          <w:b/>
        </w:rPr>
        <w:t>Available abstract (not full text):</w:t>
      </w:r>
      <w:r>
        <w:t xml:space="preserve"> AIMS: At the basis of many important research questions is causality - does X causally impact Y? For behavioural and psychiatric traits, answering such questions can be particularly challenging, as they are highly complex and multifactorial. 'Triangulation' refers to prospectively choosing, conducting and integrating several methods to investigate a specific causal question. If different methods, with different sources of bias, all indicate a causal effect, the finding is much less likely to be spurious. While triangulation can be a powerful approach, its interpretation differs across (sub)fields and there are no formal guidelines. Here, we aim to provide clarity and guidance around the process of triangulation for behavioural and psychiatric epidemiology, so that results of existing triangulation studies can be better interpreted, and new triangulation studies better designed. METHODS: We first introduce the concept of triangulation and how it is applied in epidemiological investigations of behavioural and psychiatric traits. Next, we put forth a systematic step-by-step guide, that can be used to design a triangulation study (accompanied by a worked example). Finally, we provide important general recommendations for future studies. RESULTS: While the literature contains varying interpretations, triangulation generally refers to an investigation that assesses the robustness of </w:t>
      </w:r>
    </w:p>
    <w:p>
      <w:pPr/>
      <w:r>
        <w:rPr>
          <w:b/>
        </w:rPr>
        <w:t>POSSIBLE 2024:</w:t>
      </w:r>
      <w:r>
        <w:t xml:space="preserve"> Do LLMs Have the Generalization Ability in Conducting Causal Inference? — https://doi.org/10.48550/arxiv.2410.11385</w:t>
      </w:r>
    </w:p>
    <w:p>
      <w:pPr/>
      <w:r>
        <w:rPr>
          <w:b/>
        </w:rPr>
        <w:t>Shared claim-specific concepts:</w:t>
      </w:r>
      <w:r>
        <w:t xml:space="preserve"> based, questions, causal, yet; EU scope not established. This is a provisional connection, not an outcome finding.</w:t>
      </w:r>
    </w:p>
    <w:p>
      <w:pPr>
        <w:pStyle w:val="SourceNote"/>
      </w:pPr>
      <w:r>
        <w:rPr>
          <w:b/>
        </w:rPr>
        <w:t>Available abstract (not full text):</w:t>
      </w:r>
      <w:r>
        <w:t xml:space="preserve"> In causal inference, generalization capability refers to the ability to conduct causal inference methods on new data to estimate the causal-effect between unknown phenomenon, which is crucial for expanding the boundaries of knowledge. Studies have evaluated the causal inference capabilities of Large Language Models (LLMs) concerning known phenomena, yet the generalization capabilities of LLMs concerning unseen phenomena remain unexplored. In this paper, we selected four tasks: Causal Path Discovery (CP), Backdoor Adjustment (BA), Factual Inference (FI), and Counterfactual Inference (CI) as representatives of causal inference tasks. To generate evaluation questions about previously unseen phenomena in new data on the four tasks, we propose a benchmark generation framework, which employs randomly generated graphs and node names to formulate questions within hypothetical new causal scenarios. Based on this framework, we compile a benchmark dataset of varying levels of question complexity. We extensively tested the generalization capabilities of five leading LLMs across four tasks. Experiment results reveal that while LLMs exhibit good generalization performance in solving simple CP, FI, and complex CI questions, they encounter difficulties when tackling BA questions and face obvious performance fluctuations as the problem complexity changes. Furthermore, when the names of phenomen</w:t>
      </w:r>
    </w:p>
    <w:p>
      <w:pPr/>
      <w:r>
        <w:rPr>
          <w:b/>
        </w:rPr>
        <w:t>POSSIBLE 2024:</w:t>
      </w:r>
      <w:r>
        <w:t xml:space="preserve"> Cross Modality Bias in Visual Question Answering: A Causal View With Possible Worlds VQA — https://doi.org/10.1109/tmm.2024.3380259</w:t>
      </w:r>
    </w:p>
    <w:p>
      <w:pPr/>
      <w:r>
        <w:rPr>
          <w:b/>
        </w:rPr>
        <w:t>Shared claim-specific concepts:</w:t>
      </w:r>
      <w:r>
        <w:t xml:space="preserve"> questions, causal, efforts, reduce; EU scope not established. This is a provisional connection, not an outcome finding.</w:t>
      </w:r>
    </w:p>
    <w:p>
      <w:pPr>
        <w:pStyle w:val="SourceNote"/>
      </w:pPr>
      <w:r>
        <w:rPr>
          <w:b/>
        </w:rPr>
        <w:t>Available abstract (not full text):</w:t>
      </w:r>
      <w:r>
        <w:t xml:space="preserve"> To increase the generalization capability of VQA systems, many recent studies have tried to de-bias spurious language or vision associations that shortcut the question or image to the answer. Despite these efforts, the literature fails to address the confounding effect of vision and language simultaneously. As a result, when they reduce bias learned from one modality, they usually increase bias from the other. In this paper, we first model a confounding effect that causes language and vision bias simultaneously, then propose a counterfactual inference to remove the influence of this effect. The model trained in this strategy can concurrently and efficiently reduce vision and language bias. To the best of our knowledge, this is the first work to reduce biases resulting from confounding effects of vision and language in VQA, leveraging causal explain-away relations. We accompany our method with an explain-away strategy, pushing the accuracy of the questions with numerical answers results compared to existing methods that have been an open problem. The proposed method outperforms the state-of-the-art methods in VQA-CP v2 datasets. R2: Providing brief insights into the experimental setup and results would add valuable context for readers. In response to R2, we released the code and documentation for the implementation as follows. Our codes are available at https://github.com/ali-vo</w:t>
      </w:r>
    </w:p>
    <w:p>
      <w:pPr/>
      <w:r>
        <w:rPr>
          <w:b/>
        </w:rPr>
        <w:t>POSSIBLE 2023:</w:t>
      </w:r>
      <w:r>
        <w:t xml:space="preserve"> Promoting schizophrenia research in Europe: the contribution of the European Group for Research in Schizophrenia — https://doi.org/10.1002/wps.21100</w:t>
      </w:r>
    </w:p>
    <w:p>
      <w:pPr/>
      <w:r>
        <w:rPr>
          <w:b/>
        </w:rPr>
        <w:t>Shared claim-specific concepts:</w:t>
      </w:r>
      <w:r>
        <w:t xml:space="preserve"> based, two, czech, republic; EU scope visible. This is a provisional connection, not an outcome finding.</w:t>
      </w:r>
    </w:p>
    <w:p>
      <w:pPr>
        <w:pStyle w:val="SourceNote"/>
      </w:pPr>
      <w:r>
        <w:rPr>
          <w:b/>
        </w:rPr>
        <w:t>Available abstract (not full text):</w:t>
      </w:r>
      <w:r>
        <w:t xml:space="preserve"> The European Group for Research in Schizophrenia (EGRIS) was founded in the late 1990s to develop strategies for the promotion and coordination of schizophrenia research in Europe. The founding members were W. Fleischhacker (Austria), J. Peuskens (Belgium), D. Naber (Germany), I. Bitter (Hungary), J. Gerlach (Denmark), J.-J. Lopez-Ibor (Spain), S. Galderisi (Italy), J. Libiger (Czech Republic), M. Paes de Sousa (Portugal) and T. Burns (UK). W. Fleischhacker was the chairperson of the group, and J. Peuskens the co-chair. The primary aim of the group was to encourage independent collaboration in schizophrenia research across Europe, by identifying research gaps, exploring innovative approaches, and favoring "technology transfer" across centers joining the research proj- ects designed by the group. The group met two times per year. Open as well as in-depth scientific discussions, together with a friendly and pleasant atmosphere, characterized the meetings. The group discussed drafts of research protocols prepared and presented by one or more members, sometimes enriching them or, more often, after an in-depth discussion, either tabling them until the next meeting, with some suggestions for revision, or rejecting them. Of the many protocols drafted and discussed during the meetings, very few survived the criticisms of the group members and were proposed to external bodies for fundin</w:t>
      </w:r>
    </w:p>
    <w:p>
      <w:pPr/>
      <w:r>
        <w:rPr>
          <w:b/>
        </w:rPr>
        <w:t>POSSIBLE 2023:</w:t>
      </w:r>
      <w:r>
        <w:t xml:space="preserve"> Visual Causal Scene Refinement for Video Question Answering — https://doi.org/10.1145/3581783.3611873</w:t>
      </w:r>
    </w:p>
    <w:p>
      <w:pPr/>
      <w:r>
        <w:rPr>
          <w:b/>
        </w:rPr>
        <w:t>Shared claim-specific concepts:</w:t>
      </w:r>
      <w:r>
        <w:t xml:space="preserve"> based, two, causal; EU scope not established. This is a provisional connection, not an outcome finding.</w:t>
      </w:r>
    </w:p>
    <w:p>
      <w:pPr>
        <w:pStyle w:val="SourceNote"/>
      </w:pPr>
      <w:r>
        <w:rPr>
          <w:b/>
        </w:rPr>
        <w:t>Available abstract (not full text):</w:t>
      </w:r>
      <w:r>
        <w:t xml:space="preserve"> Existing methods for video question answering (VideoQA) often suffer from spurious correlations between different modalities, leading to a failure in identifying the dominant visual evidence and the intended question. Moreover, these methods function as black boxes, making it difficult to interpret the visual scene during the QA process. In this paper, to discover critical video segments and frames that serve as the visual causal scene for generating reliable answers, we present a causal analysis of VideoQA and propose a framework for cross-modal causal relational reasoning, named Visual Causal Scene Refinement (VCSR). Particularly, a set of causal front-door intervention operations is introduced to explicitly find the visual causal scenes at both segment and frame levels. Our VCSR involves two essential modules: i) the Question-Guided Refiner (QGR) module, which refines consecutive video frames guided by the question semantics to obtain more representative segment features for causal front-door intervention; ii) the Causal Scene Separator (CSS) module, which discovers a collection of visual causal and non-causal scenes based on the visual-linguistic causal relevance and estimates the causal effect of the scene-separating intervention in a contrastive learning manner. Extensive experiments on the NExT-QA, Causal-VidQA, and MSRVTT-QA datasets demonstrate the superiority of our V</w:t>
      </w:r>
    </w:p>
    <w:p>
      <w:pPr/>
      <w:r>
        <w:rPr>
          <w:b/>
        </w:rPr>
        <w:t>POSSIBLE 2023:</w:t>
      </w:r>
      <w:r>
        <w:t xml:space="preserve"> The untapped potential of causal inference in cross-modal research — https://doi.org/10.1016/j.buildenv.2023.111074</w:t>
      </w:r>
    </w:p>
    <w:p>
      <w:pPr/>
      <w:r>
        <w:rPr>
          <w:b/>
        </w:rPr>
        <w:t>Shared claim-specific concepts:</w:t>
      </w:r>
      <w:r>
        <w:t xml:space="preserve"> based, causal, become; EU scope not established. This is a provisional connection, not an outcome finding.</w:t>
      </w:r>
    </w:p>
    <w:p>
      <w:pPr>
        <w:pStyle w:val="SourceNote"/>
      </w:pPr>
      <w:r>
        <w:rPr>
          <w:b/>
        </w:rPr>
        <w:t>Available abstract (not full text):</w:t>
      </w:r>
      <w:r>
        <w:t xml:space="preserve"> Cross-modal effects have recently become a popular topic in building science. However, studies in this area frequently neglect causal inference, leading to a lack of valid causal results. To address this problem, we specifically highlight causality and its importance to cross-modal research. We present three general guidelines, and describe them using toy examples, for appropriately conducting causal cross-modal research. The guidelines originate from the methodological framework for quantitative social science by Lundberg et al. (2021). They are as follows: i) specify the theoretical estimand as the target of causal inference; ii) specify the empirical estimand that is informative for the theoretical estimand based on causal assumptions; iii) select the estimation strategy empirically to estimate the empirical estimand. In light of these guidelines, we discuss some common methodological pitfalls in current research practices that can jeopardize causal inference. Moreover, we offer certain recommendations to avoid such pitfalls. The general objective of this paper is to promote transparent causal cross-modal research by raising the awareness of causal inference in view of appropriate causality-related methodological choices.</w:t>
      </w:r>
    </w:p>
    <w:p>
      <w:pPr/>
      <w:r>
        <w:rPr>
          <w:b/>
        </w:rPr>
        <w:t>POSSIBLE 2023:</w:t>
      </w:r>
      <w:r>
        <w:t xml:space="preserve"> Education and Fertility: A Review of Recent Research in Europe — https://doi.org/10.12765/cpos-2023-21</w:t>
      </w:r>
    </w:p>
    <w:p>
      <w:pPr/>
      <w:r>
        <w:rPr>
          <w:b/>
        </w:rPr>
        <w:t>Shared claim-specific concepts:</w:t>
      </w:r>
      <w:r>
        <w:t xml:space="preserve"> two, factors, become;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pStyle w:val="Heading2"/>
      </w:pPr>
      <w:r>
        <w:t>517.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2025:</w:t>
      </w:r>
      <w:r>
        <w:t xml:space="preserve"> The evolution of antibiotic resistance in Europe, 1998–2019 — https://doi.org/10.1371/journal.ppat.1012945</w:t>
      </w:r>
    </w:p>
    <w:p>
      <w:pPr/>
      <w:r>
        <w:rPr>
          <w:b/>
        </w:rPr>
        <w:t>Shared claim-specific concepts:</w:t>
      </w:r>
      <w:r>
        <w:t xml:space="preserve"> analyse, evolution, large; EU scope visible. This is a provisional connection, not an outcome finding.</w:t>
      </w:r>
    </w:p>
    <w:p>
      <w:pPr>
        <w:pStyle w:val="SourceNote"/>
      </w:pPr>
      <w:r>
        <w:rPr>
          <w:b/>
        </w:rPr>
        <w:t>Available abstract (not full text):</w:t>
      </w:r>
      <w:r>
        <w:t xml:space="preserve"> The evolutionary dynamics of antibiotic resistance are not well understood, particularly the long-term trajectories of resistance frequencies and their dependence on antibiotic consumption. Here, we systematically analyse resistance trajectories for 887 bug-drug-country combinations in Europe across 1998-2019, for eight bacterial species with a considerable resistance-associated public health burden. Our analyses support a model in which, after an initial increase, resistance frequencies reach a stable intermediate equilibrium. The plurality (37%) of analysed trajectories were best described as 'stable' (neither increasing nor decreasing). 21% of trajectories were best described as 'stabilising' - i.e. showing a transition from increasing frequency to a stable plateau; 21% as decreasing and 20% as increasing. The antibiotic consumption in a country predicts both the equilibrium frequency of the corresponding resistance and the speed at which this equilibrium is reached. Moreover, we find weak evidence that temporal fluctuations in resistance frequency are driven by temporal fluctuations in hospital antibiotic consumption. A large fraction of the variability in the speed of increase and the equilibrium level of resistance remains unexplained by antibiotic use, suggesting other factors may also drive resistance dynamics. Overall, our results indicate that ever increasing antibiot</w:t>
      </w:r>
    </w:p>
    <w:p>
      <w:pPr/>
      <w:r>
        <w:rPr>
          <w:b/>
        </w:rPr>
        <w:t>POSSIBLE 2025:</w:t>
      </w:r>
      <w:r>
        <w:t xml:space="preserve"> Player Transfer Market in European Football Using Machine Learning to analyse the evolution of the European football. — https://doi.org/10.63227/652.299.56</w:t>
      </w:r>
    </w:p>
    <w:p>
      <w:pPr/>
      <w:r>
        <w:rPr>
          <w:b/>
        </w:rPr>
        <w:t>Shared claim-specific concepts:</w:t>
      </w:r>
      <w:r>
        <w:t xml:space="preserve"> analyse, evolution, insights; EU scope visible. This is a provisional connection, not an outcome finding.</w:t>
      </w:r>
    </w:p>
    <w:p>
      <w:pPr>
        <w:pStyle w:val="SourceNote"/>
      </w:pPr>
      <w:r>
        <w:rPr>
          <w:b/>
        </w:rPr>
        <w:t>Available abstract (not full text):</w:t>
      </w:r>
      <w:r>
        <w:t xml:space="preserve"> The study uses machine learning to analyse the European football transfer market from 2015 to 2025, revealing patterns in transfer fees and market values influenced by player attributes, highlighting the potential of data-driven insights.</w:t>
      </w:r>
    </w:p>
    <w:p>
      <w:pPr/>
      <w:r>
        <w:rPr>
          <w:b/>
        </w:rPr>
        <w:t>POSSIBLE 2025:</w:t>
      </w:r>
      <w:r>
        <w:t xml:space="preserve"> Evolution of the Geographic Range of a European Montane Leaf Beetle in Response to Climate Changes at the End of the Quaternary — https://doi.org/10.1111/jbi.15181</w:t>
      </w:r>
    </w:p>
    <w:p>
      <w:pPr/>
      <w:r>
        <w:rPr>
          <w:b/>
        </w:rPr>
        <w:t>Shared claim-specific concepts:</w:t>
      </w:r>
      <w:r>
        <w:t xml:space="preserve"> evolution, last, two, suggest; EU scope visible. This is a provisional connection, not an outcome finding.</w:t>
      </w:r>
    </w:p>
    <w:p>
      <w:pPr>
        <w:pStyle w:val="SourceNote"/>
      </w:pPr>
      <w:r>
        <w:rPr>
          <w:b/>
        </w:rPr>
        <w:t>Available abstract (not full text):</w:t>
      </w:r>
      <w:r>
        <w:t xml:space="preserve"> ABSTRACT Aim During the past few 100,000 years, repeated cycles of glaciation and warming episodes have radically altered the range of organisms. Numerous phylogeographic studies have investigated the impact of past climate changes on the range of temperate organisms in Europe, but we know substantially less about organisms that are adapted to colder climates. Their distributions are often currently fragmented and limited to relatively high elevations in mountainous regions and to the north of Europe. Our inferences of their range during the last glaciation appear contradictory: some studies indicate a range expansion through colonisation of the lowlands, while others suggest a range contraction because they were restricted to small refugia. In this study, we wished to identify which of these two alternative hypotheses explains best the current distribution of genetic variation in a European montane leaf beetle whose current range spans several mountains. Location Four European mountain systems: Alps, Vosges, Massif Central, Pyrenees. Time Period End of the Quaternary, focusing mainly on the last glaciation and the Holocene. Taxon Gonioctena quinquepunctata [Fabricius, 1787] (Coleoptera; Chrysomelidae). Results Modelling of the potential current and last glacial maximum species distributions suggested that climatic conditions were more favourable in the lowlands during the last</w:t>
      </w:r>
    </w:p>
    <w:p>
      <w:pPr/>
      <w:r>
        <w:rPr>
          <w:b/>
        </w:rPr>
        <w:t>POSSIBLE 2025:</w:t>
      </w:r>
      <w:r>
        <w:t xml:space="preserve"> The Evolution of Hybrid Warfare — https://doi.org/10.36250/01237_06</w:t>
      </w:r>
    </w:p>
    <w:p>
      <w:pPr/>
      <w:r>
        <w:rPr>
          <w:b/>
        </w:rPr>
        <w:t>Shared claim-specific concepts:</w:t>
      </w:r>
      <w:r>
        <w:t xml:space="preserve"> analyse, evolution, last, two, like; EU scope visible. This is a provisional connection, not an outcome finding.</w:t>
      </w:r>
    </w:p>
    <w:p>
      <w:pPr>
        <w:pStyle w:val="SourceNote"/>
      </w:pPr>
      <w:r>
        <w:rPr>
          <w:b/>
        </w:rPr>
        <w:t>Available abstract (not full text):</w:t>
      </w:r>
      <w:r>
        <w:t xml:space="preserve"> Hybrid warfare has several nuances and can be referred to various tools and means. While some of them are relative new elements related to the current international system, several others represent the last evolution of a long history. This chapter aims to contextualise the notion of hybrid warfare in the broader framework of the contemporary international relations. Hence, the chapter intends to analyse two different contexts in which the notion of hybrid warfare has been used and the way in which that notion has been integrated in the EU official documents like EUGS (European Union Global Strategy) adopted in June 2016.</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evolution, last, two, decades;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2025:</w:t>
      </w:r>
      <w:r>
        <w:t xml:space="preserve"> Two species, two stories: divergent morphometric evolution of sheep and goats over the last 8000 years — https://doi.org/10.1098/rstb.2024.0514</w:t>
      </w:r>
    </w:p>
    <w:p>
      <w:pPr/>
      <w:r>
        <w:rPr>
          <w:b/>
        </w:rPr>
        <w:t>Shared claim-specific concepts:</w:t>
      </w:r>
      <w:r>
        <w:t xml:space="preserve"> evolution, last, two; EU scope not established. This is a provisional connection, not an outcome finding.</w:t>
      </w:r>
    </w:p>
    <w:p>
      <w:pPr>
        <w:pStyle w:val="SourceNote"/>
      </w:pPr>
      <w:r>
        <w:rPr>
          <w:b/>
        </w:rPr>
        <w:t>Available abstract (not full text):</w:t>
      </w:r>
      <w:r>
        <w:t xml:space="preserve"> Since their domestication about 10 500 years ago, sheep and goats have been central to human subsistence economies. Despite shared traits and frequent co-herding, these species are biologically distinct, with their uses reflecting diverse cultural practices. Advances in geometric morphometrics enable detailed analyses of their phenotypic evolution, shaped by natural and artificial selection, genetic drift and gene flow. These evolutionary mechanisms are often challenging to disentangle in archaeozoology, but patterns of morphometric variation can reveal evolutionary parallels and divergences. This study investigates the morphometric evolution of sheep and goat teeth in the northwestern Mediterranean basin over 8000 years. Dental remains, which preserve well in archaeological contexts, provide rich data for evolutionary studies, including species-level identifications. Using two-dimensional geometric morphometrics, third lower molars from 1602 sheep and 635 goats, spanning archaeological and modern specimens, were analysed. Molar size, shape and variance were compared across six chrono-cultural phases, tracing diachronic morphological changes. Distinct patterns emerge: sheep exhibit greater variability likely reflecting selective breeding for diverse purposes. Goats, in contrast, show greater uniformity. These findings underscore unique evolutionary trajectories for sheep and go</w:t>
      </w:r>
    </w:p>
    <w:p>
      <w:pPr/>
      <w:r>
        <w:rPr>
          <w:b/>
        </w:rPr>
        <w:t>POSSIBLE 2024:</w:t>
      </w:r>
      <w:r>
        <w:t xml:space="preserve"> On Farm Non-Agricultural Activities: Recent Evolution and Dynamics in Portugal — https://doi.org/10.30682/nm2404d</w:t>
      </w:r>
    </w:p>
    <w:p>
      <w:pPr/>
      <w:r>
        <w:rPr>
          <w:b/>
        </w:rPr>
        <w:t>Shared claim-specific concepts:</w:t>
      </w:r>
      <w:r>
        <w:t xml:space="preserve"> analyse, evolution, farm, insights; EU scope visible. This is a provisional connection, not an outcome finding.</w:t>
      </w:r>
    </w:p>
    <w:p>
      <w:pPr>
        <w:pStyle w:val="SourceNote"/>
      </w:pPr>
      <w:r>
        <w:rPr>
          <w:b/>
        </w:rPr>
        <w:t>Available abstract (not full text):</w:t>
      </w:r>
      <w:r>
        <w:t xml:space="preserve"> An increasing share of farmer revenues derives from on-farm non-agricultural activities (OFNAA), which constitute a complement to the farmer’s income and can function as a factor for the development of farms, enhancing the endogenous resources of the territories and contributing to the multifunctionality of rural areas. Therefore, it is important to understand the importance of these non-agriculture activities in the territory, their diversification, spatial trends at local level and the relation with farm’s orientation. This paper intends to analyse the OFNAA, using as object of study the Portuguese municipalities. In order to analyse the diversification of the OFNAA, a diversification index based on entropy is proposed. The relationships between OFNAA diversification and the farms’ technical-economic orientation (TEO) are also analysed using correlation matrixes, while the spatial patterns are studied, using the global Moran I and local Moran-LISA. The results provide important insights of the OFNAA dynamics and diversification. Therefore, this study provides an important tool for policy management and implementation.</w:t>
      </w:r>
    </w:p>
    <w:p>
      <w:pPr/>
      <w:r>
        <w:rPr>
          <w:b/>
        </w:rPr>
        <w:t>POSSIBLE 2024:</w:t>
      </w:r>
      <w:r>
        <w:t xml:space="preserve"> The eco-social aspects of the European Green Deal and the Farm to Fork — https://doi.org/10.1177/14680181241261068</w:t>
      </w:r>
    </w:p>
    <w:p>
      <w:pPr/>
      <w:r>
        <w:rPr>
          <w:b/>
        </w:rPr>
        <w:t>Shared claim-specific concepts:</w:t>
      </w:r>
      <w:r>
        <w:t xml:space="preserve"> analyse, farm, two, measures; EU scope visible. This is a provisional connection, not an outcome finding.</w:t>
      </w:r>
    </w:p>
    <w:p>
      <w:pPr>
        <w:pStyle w:val="SourceNote"/>
      </w:pPr>
      <w:r>
        <w:rPr>
          <w:b/>
        </w:rPr>
        <w:t>Available abstract (not full text):</w:t>
      </w:r>
      <w:r>
        <w:t xml:space="preserve"> With the publication of the European Green Deal (EGD) in December 2019, the European Union (EU) has recognised a link between environmental and social challenges and the need to tackle them together. A body of literature publishing under the umbrella concept of sustainable welfare and the term eco-social policies has acknowledged the environmental and social nexus and has been characterised by six prominent eco-social aspects namely, the integration between environmental and social policy goals, their link with economic growth, just transition, redistribution and compensation, citizens’ participation, and the state’s role. However, an in-depth analysis of the eco-social aspects contained in recent European policy documents that can be traced back to the eco-social literature is missing. To address this gap, this article focuses on two policy documents considered at the heart of the European ambition of achieving carbon neutrality by 2050, namely the EGD Communication and the Farm to Fork (F2F) Strategy. The article applies a document content analysis of these two documents and uses the six eco-social aspects as a heuristic to analyse and provide descriptive examples of the EGD and the F2F. The content analyses of these documents reveal several elements that advance the understanding of recent EU policies from an eco-social perspective. The study provides knowledge of envisaged </w:t>
      </w:r>
    </w:p>
    <w:p>
      <w:pPr/>
      <w:r>
        <w:rPr>
          <w:b/>
        </w:rPr>
        <w:t>POSSIBLE 2024:</w:t>
      </w:r>
      <w:r>
        <w:t xml:space="preserve"> The Evolution of Family Farms in Poland: Present Time and the Weight of the Past — https://doi.org/10.12775/eec-2016-0002</w:t>
      </w:r>
    </w:p>
    <w:p>
      <w:pPr/>
      <w:r>
        <w:rPr>
          <w:b/>
        </w:rPr>
        <w:t>Shared claim-specific concepts:</w:t>
      </w:r>
      <w:r>
        <w:t xml:space="preserve"> evolution, farm, two, decades, agricultural, cap; EU scope visible. This is a provisional connection, not an outcome finding.</w:t>
      </w:r>
    </w:p>
    <w:p>
      <w:pPr>
        <w:pStyle w:val="SourceNote"/>
      </w:pPr>
      <w:r>
        <w:rPr>
          <w:b/>
        </w:rPr>
        <w:t>Available abstract (not full text):</w:t>
      </w:r>
      <w:r>
        <w:t xml:space="preserve"> The author provides an analysis of family farming in Poland during the period 1990-2012, with special attention towards the close links of ownership and the operation of the farm by family members. The weight of various factors is given close attention, including the historical context of the farm, current conditions, and future intentions for the farm. The historical context acknowledges and stresses the importance of the late abolition of serfdom made by the partitioning powers, various agricultural reforms during the period 1919-1944, and the period 1948-1989 (when family farming was incorporated into a deficient centrally planned economy). This latter period saw family farms developing specific mechanisms of functioning, which can be seen two decades later. Analysis of the period 1990-2012 is based on data of the Central Statistical Office, the present study, and other published materials. The data series includes individual farms of more than 1 ha, based on family labour. Separated are two sub-periods: the post-communist transformation period from the early 1990s, and the period 2002-2012. The latter almost coincides with the accession to the EU. In the first period, the article outlines the process of creating duality in Polish agriculture. This describes a group of family farms where the household strongly reacted to the market and became larger and modernised (professio</w:t>
      </w:r>
    </w:p>
    <w:p>
      <w:pPr>
        <w:pStyle w:val="Heading2"/>
      </w:pPr>
      <w:r>
        <w:t>518.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2025:</w:t>
      </w:r>
      <w:r>
        <w:t xml:space="preserve"> Landscape reconstructions for Europe during the late Last Glacial (60–20 ka BP): a pollen-based REVEALS approach — https://doi.org/10.5194/essd-17-5997-2025</w:t>
      </w:r>
    </w:p>
    <w:p>
      <w:pPr/>
      <w:r>
        <w:rPr>
          <w:b/>
        </w:rPr>
        <w:t>Shared claim-specific concepts:</w:t>
      </w:r>
      <w:r>
        <w:t xml:space="preserve"> also, three, further, climate, requires, better; EU scope visible. This is a provisional connection, not an outcome finding.</w:t>
      </w:r>
    </w:p>
    <w:p>
      <w:pPr>
        <w:pStyle w:val="SourceNote"/>
      </w:pPr>
      <w:r>
        <w:rPr>
          <w:b/>
        </w:rPr>
        <w:t>Available abstract (not full text):</w:t>
      </w:r>
      <w:r>
        <w:t xml:space="preserve"> Abstract. Vegetation change during the Last Glacial period in Europe plays a crucial role in better understanding the ecosystem dynamics response to abrupt climate change. Yet, quantitative reconstructions of land-cover primarily focus on the Holocene period and aim to disentangle the impact of anthropogenic and climatic stress on the vegetation. Here, we present temporally continuous land-cover reconstructions from Europe for the latter half of the Last Glacial period (60–20 ka BP) using the “Regional Estimates of Vegetation Abundance from Large Sites” (REVEALS) model. The pollen-based REVEALS model uniquely factors in plant-specific parameters, such as relative pollen productivity (RPP) and pollen fall speed to model pollen dispersal and thus provides more accurate representation of past vegetation cover than fossil pollen data. We compiled a total of 61 datasets from Europe and its bordering regions to model land-cover estimates across 60 time steps in 1000 year increments. By grouping the 38 analysed taxa into 5 land-cover types (LCTs), we simplify the interpretation of our results and demonstrate this using three crucial periods during the Last Glacial: Greenland Interstadial 14 (GI-14), Greenland Stadial 9 (GS-9), and the Last Glacial Maximum (LGM). These periods provide insight into stadial-interstadial vegetation variability as well as extreme glacial conditions, which </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issues, challenges, among, further, improvement;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INFORMATION SECURITY OF THE EUROPEAN UNION: CHALLENGES AND TRENDS — https://doi.org/10.21564/2663-5704.66.337888</w:t>
      </w:r>
    </w:p>
    <w:p>
      <w:pPr/>
      <w:r>
        <w:rPr>
          <w:b/>
        </w:rPr>
        <w:t>Shared claim-specific concepts:</w:t>
      </w:r>
      <w:r>
        <w:t xml:space="preserve"> also, issues, challenges, union; EU scope visible. This is a provisional connection, not an outcome finding.</w:t>
      </w:r>
    </w:p>
    <w:p>
      <w:pPr>
        <w:pStyle w:val="SourceNote"/>
      </w:pPr>
      <w:r>
        <w:rPr>
          <w:b/>
        </w:rPr>
        <w:t>Available abstract (not full text):</w:t>
      </w:r>
      <w:r>
        <w:t xml:space="preserve"> The article analyzes the current challenges and threats to the information security of the European Union. It outlines the activities of European institutions responsible for addressing information security issues and examines the relevant legislative framework in this domain. The study explores the main directions of the EU leadership’s response to information-related challenges and threats. It also highlights the key features of the European cybersecurity strategy.</w:t>
      </w:r>
    </w:p>
    <w:p>
      <w:pPr/>
      <w:r>
        <w:rPr>
          <w:b/>
        </w:rPr>
        <w:t>POSSIBLE 2025:</w:t>
      </w:r>
      <w:r>
        <w:t xml:space="preserve"> Chapter Methodological challenges in European penology — https://openalex.org/W7137666023</w:t>
      </w:r>
    </w:p>
    <w:p>
      <w:pPr/>
      <w:r>
        <w:rPr>
          <w:b/>
        </w:rPr>
        <w:t>Shared claim-specific concepts:</w:t>
      </w:r>
      <w:r>
        <w:t xml:space="preserve"> also, issues, challenges, three, union, different; EU scope visible. This is a provisional connection, not an outcome finding.</w:t>
      </w:r>
    </w:p>
    <w:p>
      <w:pPr>
        <w:pStyle w:val="SourceNote"/>
      </w:pPr>
      <w:r>
        <w:rPr>
          <w:b/>
        </w:rPr>
        <w:t>Available abstract (not full text):</w:t>
      </w:r>
      <w:r>
        <w:t xml:space="preserve"> European penology, the multidisciplinary scientific study of punishment carried out on the European continent, is booming. This Handbook aims to offer an overview of the current state of the art and cutting-edge penological research in Europe, covering all the regions (north, south, east, west) and Europe’s institutional organisations – the Council of Europe and the European Union – including research that may hitherto not have been published in English. The Handbook also reflects on whether there is anything distinctive or typically (not necessarily exclusively) European in the ways penology is applied in Europe. This challenge is taken up by a team of 5 editors and 60 authors from 21 different countries, reflecting a balance of gender, early and promising career, and established researchers. After the editors’ Introduction, the book is organised into three parts: Part I: European Penology – Scientific Developments discusses theoretical and methodological developments and important issues within comparative penology. Part II: European Penality – Developments in Penal Practices focuses on transversal European developments, particular groups of offenders and specific forms of punishment. Part III offers a reflection on penal policies and practices in Europe as seen from abroad. The Handbook offers graduate and postgraduate students, postgraduate researchers, academics and other </w:t>
      </w:r>
    </w:p>
    <w:p>
      <w:pPr/>
      <w:r>
        <w:rPr>
          <w:b/>
        </w:rPr>
        <w:t>POSSIBLE 2025:</w:t>
      </w:r>
      <w:r>
        <w:t xml:space="preserve"> Chapter Methodological challenges in European penology — https://openalex.org/W7162922291</w:t>
      </w:r>
    </w:p>
    <w:p>
      <w:pPr/>
      <w:r>
        <w:rPr>
          <w:b/>
        </w:rPr>
        <w:t>Shared claim-specific concepts:</w:t>
      </w:r>
      <w:r>
        <w:t xml:space="preserve"> also, issues, challenges, three, union, different; EU scope visible. This is a provisional connection, not an outcome finding.</w:t>
      </w:r>
    </w:p>
    <w:p>
      <w:pPr>
        <w:pStyle w:val="SourceNote"/>
      </w:pPr>
      <w:r>
        <w:rPr>
          <w:b/>
        </w:rPr>
        <w:t>Available abstract (not full text):</w:t>
      </w:r>
      <w:r>
        <w:t xml:space="preserve"> European penology, the multidisciplinary scientific study of punishment carried out on the European continent, is booming. This Handbook aims to offer an overview of the current state of the art and cutting-edge penological research in Europe, covering all the regions (north, south, east, west) and Europe’s institutional organisations – the Council of Europe and the European Union – including research that may hitherto not have been published in English. The Handbook also reflects on whether there is anything distinctive or typically (not necessarily exclusively) European in the ways penology is applied in Europe. This challenge is taken up by a team of 5 editors and 60 authors from 21 different countries, reflecting a balance of gender, early and promising career, and established researchers. After the editors’ Introduction, the book is organised into three parts: Part I: European Penology – Scientific Developments discusses theoretical and methodological developments and important issues within comparative penology. Part II: European Penality – Developments in Penal Practices focuses on transversal European developments, particular groups of offenders and specific forms of punishment. Part III offers a reflection on penal policies and practices in Europe as seen from abroad. The Handbook offers graduate and postgraduate students, postgraduate researchers, academics and other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reveal, union;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2024:</w:t>
      </w:r>
      <w:r>
        <w:t xml:space="preserve"> Current issues and challenges in the european parliament — https://doi.org/10.37772/2518-1718-2024-2(46)-25</w:t>
      </w:r>
    </w:p>
    <w:p>
      <w:pPr/>
      <w:r>
        <w:rPr>
          <w:b/>
        </w:rPr>
        <w:t>Shared claim-specific concepts:</w:t>
      </w:r>
      <w:r>
        <w:t xml:space="preserve"> they, also, issues, challenges, among, union; EU scope visible. This is a provisional connection, not an outcome finding.</w:t>
      </w:r>
    </w:p>
    <w:p>
      <w:pPr>
        <w:pStyle w:val="SourceNote"/>
      </w:pPr>
      <w:r>
        <w:rPr>
          <w:b/>
        </w:rPr>
        <w:t>Available abstract (not full text):</w:t>
      </w:r>
      <w:r>
        <w:t xml:space="preserve"> Problem setting. The European Parliament is one of the main EU institutions and the only representative body of the European Union. The importance of this supranational body necessitates its smooth functioning. However, in practice, a number of issues arise that significantly complicate its work and therefore require immediate resolution. In particular, there is a practical lack of interest of EU citizens in elections to the European Parliament due to the ‘democratic deficit’. There is also the issue of the distribution of seats in the European Parliament in connection with the UK’s withdrawal from the EU, and most importantly, how the seats will be distributed in the future with the accession of new member states, since the current form of the EU Treaty limits the number of European Parliament members to a maximum of 751. An equally important issue is the reform of the existing decision-making procedure; the principle of consensus is currently too slow in the process of making crucial decisions and this needs to be addressed immediately. Analysis of recent researches and publications. Certain aspects of this problem were considered in their works by such scientists as: G.V. Hrybnyk [1] and A. V. Kulabukhova [2] highlighted the turnout statistics at the elections to the European Parliament. Among foreign scientists, Nicolai von Ondarza and Felix Schenuit studied in their work t</w:t>
      </w:r>
    </w:p>
    <w:p>
      <w:pPr>
        <w:pStyle w:val="Heading2"/>
      </w:pPr>
      <w:r>
        <w:t>519.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r>
        <w:rPr>
          <w:b/>
        </w:rPr>
        <w:t>POSSIBLE 2025:</w:t>
      </w:r>
      <w:r>
        <w:t xml:space="preserve"> Exploring the Cultural Domain of Hausa Colour Terms — https://doi.org/10.51732/njssh.v10i2.203</w:t>
      </w:r>
    </w:p>
    <w:p>
      <w:pPr/>
      <w:r>
        <w:rPr>
          <w:b/>
        </w:rPr>
        <w:t>Shared claim-specific concepts:</w:t>
      </w:r>
      <w:r>
        <w:t xml:space="preserve"> according, findings, there; EU scope not established. This is a provisional connection, not an outcome finding.</w:t>
      </w:r>
    </w:p>
    <w:p>
      <w:pPr>
        <w:pStyle w:val="SourceNote"/>
      </w:pPr>
      <w:r>
        <w:rPr>
          <w:b/>
        </w:rPr>
        <w:t>Available abstract (not full text):</w:t>
      </w:r>
      <w:r>
        <w:t xml:space="preserve">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pPr/>
      <w:r>
        <w:rPr>
          <w:b/>
        </w:rPr>
        <w:t>POSSIBLE 2025:</w:t>
      </w:r>
      <w:r>
        <w:t xml:space="preserve"> The Circular Economy in Cities and Regions of the European Union — https://doi.org/10.1787/e09c21e2-en</w:t>
      </w:r>
    </w:p>
    <w:p>
      <w:pPr/>
      <w:r>
        <w:rPr>
          <w:b/>
        </w:rPr>
        <w:t>Shared claim-specific concepts:</w:t>
      </w:r>
      <w:r>
        <w:t xml:space="preserve"> cities, policies;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2024:</w:t>
      </w:r>
      <w:r>
        <w:t xml:space="preserve"> A new perspective on balancing life domains: work–nonwork balance crafting — https://doi.org/10.1186/s12889-024-18646-z</w:t>
      </w:r>
    </w:p>
    <w:p>
      <w:pPr/>
      <w:r>
        <w:rPr>
          <w:b/>
        </w:rPr>
        <w:t>Shared claim-specific concepts:</w:t>
      </w:r>
      <w:r>
        <w:t xml:space="preserve"> work, domains, perspective, findings; EU scope visible. This is a provisional connection, not an outcome finding.</w:t>
      </w:r>
    </w:p>
    <w:p>
      <w:pPr>
        <w:pStyle w:val="SourceNote"/>
      </w:pPr>
      <w:r>
        <w:rPr>
          <w:b/>
        </w:rPr>
        <w:t>Available abstract (not full text):</w:t>
      </w:r>
      <w:r>
        <w:t xml:space="preserve"> BACKGROUND: Self-initiated and proactive changes in working conditions through crafting are essential for shaping work and improving work-related well-being. Recently, the research stream of job crafting has been extended to other life domains. The present paper aims to study a novel crafting concept-work-nonwork balance crafting-investigating the role of its antecedents and identifying relevant outcomes. Work-nonwork balance crafting is defined as individuals' unofficial techniques and activities to shape their work-nonwork balance, here considering their life domain boundary preferences. METHODS: In the study, 1,060 employees in three European countries (Austria, Germany and Switzerland) were surveyed in a longitudinal three-wave study with three-month intervals. We explored the influences of job/home demands and resources as antecedents of work-nonwork balance crafting. Important constructs for employee health and well-being (i.e., work engagement, work-related burnout, mental well-being and detachment from work) were investigated as outcomes. RESULTS: The findings suggest that resources and demands in the context of work or home are key antecedents of work-nonwork balance crafting. Work-nonwork balance crafting was also predictive for important employee health and well-being outcomes over three months, mainly in a positive and health-promoting way. CONCLUSION: This study pr</w:t>
      </w:r>
    </w:p>
    <w:p>
      <w:pPr/>
      <w:r>
        <w:rPr>
          <w:b/>
        </w:rPr>
        <w:t>POSSIBLE 2024:</w:t>
      </w:r>
      <w:r>
        <w:t xml:space="preserve"> Rights of Nature in Europe — https://doi.org/10.4324/9781003318989</w:t>
      </w:r>
    </w:p>
    <w:p>
      <w:pPr/>
      <w:r>
        <w:rPr>
          <w:b/>
        </w:rPr>
        <w:t>Shared claim-specific concepts:</w:t>
      </w:r>
      <w:r>
        <w:t xml:space="preserve"> work, domains; EU scope visible. This is a provisional connection, not an outcome finding.</w:t>
      </w:r>
    </w:p>
    <w:p>
      <w:pPr>
        <w:pStyle w:val="SourceNote"/>
      </w:pPr>
      <w:r>
        <w:rPr>
          <w:b/>
        </w:rPr>
        <w:t>Available abstract (not full text):</w:t>
      </w:r>
      <w:r>
        <w:t xml:space="preserve"> This book addresses the recognition of the Rights of Nature (RoN) in Europe, examining their conceptualisation and implementation. RoN refers to a diverse set of legal developments that seek to redefine Nature's status within the law, gradually emerging as a novel template for environmental protection. Countries like Ecuador and New Zealand, each with distinct histories and ways of dwelling in the world, have pioneered a new era in environmental governance by legally acknowledging rights or personhood for nature, ecosystems, and more-than-human populations. In recent years, Europe has witnessed growing interest in RoN, with academic, legislative, and political initiatives gaining momentum. A significant development is the September 2022 passage of a law in the Spanish Parliament, granting legal personhood and rights to the Mar Menor, a saltwater lagoon severely affected by environmental degradation. Given the diversity in interpretations and articulations of ‘Rights of Nature’, this edited volume argues that their arrival in Europe fosters different kinds of interactions across distinct areas of law, knowledge, practices, and societal domains. The book employs a multidisciplinary approach, exploring these interactions in law and policy, anthropology, Indigenous worldviews and jurisprudence, philosophy, spiritual traditions, critical theory, animal communication, psychology, and</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transport, energy, inform, policies;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Sustainable logistics and passenger transport in smart cities — https://doi.org/10.22306/al.v11i1.448</w:t>
      </w:r>
    </w:p>
    <w:p>
      <w:pPr/>
      <w:r>
        <w:rPr>
          <w:b/>
        </w:rPr>
        <w:t>Shared claim-specific concepts:</w:t>
      </w:r>
      <w:r>
        <w:t xml:space="preserve"> smart, cities, transport, urban, findings; EU scope visible. This is a provisional connection, not an outcome finding.</w:t>
      </w:r>
    </w:p>
    <w:p>
      <w:pPr>
        <w:pStyle w:val="SourceNote"/>
      </w:pPr>
      <w:r>
        <w:rPr>
          <w:b/>
        </w:rPr>
        <w:t>Available abstract (not full text):</w:t>
      </w:r>
      <w:r>
        <w:t xml:space="preserve"> The rapid growth of urban populations, coupled with the imperatives of decarbonization and the relentless march of urbanization, has thrust modern cities into a crucible of multifaceted challenges. In response, the Smart City concept has emerged as a shared paradigm for addressing these urban complexities. This transformative approach touches upon various facets of urban life, encompassing areas such as the economy, education, and governance. Among these, logistics stands out as a pivotal component of the Smart City framework, necessitating innovative and sustainable solutions. This article delves into the intricate nexus between sustainable logistics systems and the evolution of the Smart City concept. Drawing from both qualitative and quantitative research methodologies, including multivariate analysis, the study synthesizes data from primary sources collected during a series of European projects conducted from 2020 to 2023, in addition to secondary data sources. A central inquiry revolves around the symbiotic relationship between e-commerce dynamics and the sustainability of smart city logistics solutions. The findings of this investigation illuminate a compelling correlation between the profitability of logistics enterprises and the key indicators of logistics development underpinning smart cities. By unveiling these interdependencies, this research contributes to our under</w:t>
      </w:r>
    </w:p>
    <w:p>
      <w:pPr>
        <w:pStyle w:val="Heading2"/>
      </w:pPr>
      <w:r>
        <w:t>520.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r>
        <w:rPr>
          <w:b/>
        </w:rPr>
        <w:t>POSSIBLE 2025:</w:t>
      </w:r>
      <w:r>
        <w:t xml:space="preserve"> Current protected areas provide limited benefits for European river biodiversity — https://doi.org/10.1038/s41467-025-67125-5</w:t>
      </w:r>
    </w:p>
    <w:p>
      <w:pPr/>
      <w:r>
        <w:rPr>
          <w:b/>
        </w:rPr>
        <w:t>Shared claim-specific concepts:</w:t>
      </w:r>
      <w:r>
        <w:t xml:space="preserve"> current, areas; EU scope visible. This is a provisional connection, not an outcome finding.</w:t>
      </w:r>
    </w:p>
    <w:p>
      <w:pPr>
        <w:pStyle w:val="SourceNote"/>
      </w:pPr>
      <w:r>
        <w:rPr>
          <w:b/>
        </w:rPr>
        <w:t>Available abstract (not full text):</w:t>
      </w:r>
      <w:r>
        <w:t xml:space="preserve"> Protected areas are a principal conservation tool for addressing biodiversity loss. Such protection is especially needed in freshwaters, given their greater biodiversity losses compared to terrestrial and marine ecosystems. However, broad-scale evaluations of protected area effectiveness for freshwater biodiversity are lacking. Here, we provide a continental-scale analysis of the relationship between protected areas and freshwater biodiversity using 1,754 river invertebrate community time series sampled between 1986 and 2022 across ten European countries. Protected areas primarily benefited poor-quality communities (indicative of higher human impacts) that were protected, or that gained protection, across a substantial proportion of their upstream catchment. Protection had little to no influence on moderate- and high-quality communities, although high-quality communities potentially provide less scope for effect. Our results reveal the overall limited effectiveness of current protected areas for freshwater biodiversity, likely because they are typically designed and managed to achieve terrestrial conservation goals. Broadly improving effectiveness for freshwater biodiversity requires catchment-scale management approaches involving larger and more continuous upstream protection, and efforts to address remaining stressors. These approaches would also benefit connected terrestrial</w:t>
      </w:r>
    </w:p>
    <w:p>
      <w:pPr/>
      <w:r>
        <w:rPr>
          <w:b/>
        </w:rPr>
        <w:t>POSSIBLE 2024:</w:t>
      </w:r>
      <w:r>
        <w:t xml:space="preserve"> The Working of Hard Animal Tissues in Eastern and Central Europe During the Last Glacial Maximum—Current Knowledge and Perspectives — https://doi.org/10.1007/s41982-024-00198-8</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The climatically unfavourable period of the Last Glacial Maximum (LGM; ca. 26–19 ka cal bp) is held responsible for a severe demographic crisis of hunter–gatherer populations, their retreat to a few refugial areas, the disruption of wide-ranging networks, and a considerable loss of cultural complexity in Eastern and Central Europe. The latitudes above 50°N appear to have been completely depopulated. Recent research has demonstrated a continuous occupation of the Carpathian Basin and the East Carpathian region during the LGM on one hand, and an ephemeral human presence in the Middle Danube, the Middle Rhine, and the Swiss Plateau on the other. The western part of the East European Plain, in particular the East Carpathians, is known for several large, Early Epigravettian open-air sites with well-preserved artefacts of antler, bone, and mammoth ivory. For Central Europe, the assemblage from Kammern-Grubgraben in Lower Austria is of pivotal importance. As osseous industries have shown to be an essential component of Upper Palaeolithic material culture, it is the aim of this contribution to provide an overview of the current state of knowledge on the processing of hard animal tissues in Eastern and Central Europe during the LGM. Starting out with a reevaluation of one of the largest and most diverse assemblages from the site of Cosăuţi in the Republic of Moldova (ca. 23–19 </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discuss, current, knowledge, drivers;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Central and Eastern Europe in Academic Internationalization: Peripherality, Neoliberalism, and Knowledge Production — https://doi.org/10.11649/slh.3184</w:t>
      </w:r>
    </w:p>
    <w:p>
      <w:pPr/>
      <w:r>
        <w:rPr>
          <w:b/>
        </w:rPr>
        <w:t>Shared claim-specific concepts:</w:t>
      </w:r>
      <w:r>
        <w:t xml:space="preserve"> discuss, current, knowledge; EU scope visible. This is a provisional connection, not an outcome finding.</w:t>
      </w:r>
    </w:p>
    <w:p>
      <w:pPr>
        <w:pStyle w:val="SourceNote"/>
      </w:pPr>
      <w:r>
        <w:rPr>
          <w:b/>
        </w:rPr>
        <w:t>Available abstract (not full text):</w:t>
      </w:r>
      <w:r>
        <w:t xml:space="preserve"> The article reflects on knowledge production in the context of research internationalization, seen as an aspect of a broader trend in the changing higher education and other academic institutions. It focuses on Central and Eastern Europe as a post-communist and (semi)peripheral region, which has been the subject of historical and theoretical analysis often accompanied by epistemological reflection among researchers. As an introduction to the theme of the issue, the article addresses questions concerning epistemic approaches to Central and Eastern Europe via critical reflection on the “post-socialism” framework. The authors discuss major analytical responses of scholars in this research field, including the authors of articles published in this issue of Studia Litteraria et Historica, such as peripherality, postcolonialism, and rethinking of the category of the “East”. In the concluding part, they outline possible directions for further inquiry, including a spatial-temporal conceptualization informed by Wallerstein’s historical social science as well as ethical considerations in the current political context shaped by international security concerns as much as epistemic ones.</w:t>
      </w:r>
    </w:p>
    <w:p>
      <w:pPr>
        <w:pStyle w:val="Heading2"/>
      </w:pPr>
      <w:r>
        <w:t>521.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pStyle w:val="Heading2"/>
      </w:pPr>
      <w:r>
        <w:t>522.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2025:</w:t>
      </w:r>
      <w:r>
        <w:t xml:space="preserve"> Global consensus on the management of melanin hyperpigmentation disorders — https://doi.org/10.1111/jdv.70185</w:t>
      </w:r>
    </w:p>
    <w:p>
      <w:pPr/>
      <w:r>
        <w:rPr>
          <w:b/>
        </w:rPr>
        <w:t>Shared claim-specific concepts:</w:t>
      </w:r>
      <w:r>
        <w:t xml:space="preserve"> consensus, systems, leading; EU scope visible. This is a provisional connection, not an outcome finding.</w:t>
      </w:r>
    </w:p>
    <w:p>
      <w:pPr>
        <w:pStyle w:val="SourceNote"/>
      </w:pPr>
      <w:r>
        <w:rPr>
          <w:b/>
        </w:rPr>
        <w:t>Available abstract (not full text):</w:t>
      </w:r>
      <w:r>
        <w:t xml:space="preserve"> Melanin hyperpigmentation disorders (MHD) are among the most prevalent dermatologic concerns globally, affecting individuals across all skin phototypes and geographies. Despite their widespread impact on quality of life-including stigmatization, anxiety and depression-comprehensive, unified and practical clinical guidelines are lacking. This global consensus project convened 10 leading dermatologists and pigmentary disorder experts from Africa, Asia, Europe and the Americas to develop an evidence-based, internationally applicable framework for the management of common MHD, including melasma, post-inflammatory hyperpigmentation, acquired dermal macular hyperpigmentation, periorbital hyperpigmentation, chronic hyperpigmentary photodamage, freckles/ephelides and hyperpigmentation of the folds. Based on a comprehensive literature review and a structured Delphi process, the expert panel formulated consensus statements and tailored treatment algorithms that account for skin type, photobiological behaviour, disease severity and regional access to therapies. Special emphasis was placed on the role of broad-spectrum photoprotection and the challenges of tinted sunscreen availability in diverse populations. Treatment options ranged from topical lightening agents and systemic therapies (e.g. oral tranexamic acid) to procedural interventions (e.g. chemical peels, lasers and IPL) stratified</w:t>
      </w:r>
    </w:p>
    <w:p>
      <w:pPr/>
      <w:r>
        <w:rPr>
          <w:b/>
        </w:rPr>
        <w:t>POSSIBLE 2025:</w:t>
      </w:r>
      <w:r>
        <w:t xml:space="preserve"> Global Consensus Recommendations for Metabolic Dysfunction-Associated Steatotic Liver Disease and Steatohepatitis — https://doi.org/10.1053/j.gastro.2025.02.044</w:t>
      </w:r>
    </w:p>
    <w:p>
      <w:pPr/>
      <w:r>
        <w:rPr>
          <w:b/>
        </w:rPr>
        <w:t>Shared claim-specific concepts:</w:t>
      </w:r>
      <w:r>
        <w:t xml:space="preserve"> there, consensus, however; EU scope not established. This is a provisional connection, not an outcome finding.</w:t>
      </w:r>
    </w:p>
    <w:p>
      <w:pPr>
        <w:pStyle w:val="SourceNote"/>
      </w:pPr>
      <w:r>
        <w:rPr>
          <w:b/>
        </w:rPr>
        <w:t>Available abstract (not full text):</w:t>
      </w:r>
      <w:r>
        <w:t xml:space="preserve"> BACKGROUND &amp; AIMS: Metabolic dysfunction-associated steatotic liver disease (MASLD) and steatohepatitis (MASH) are associated with adverse clinical outcomes, impaired health-related quality of life, and significant economic burden. The growing burden of MASLD and MASH has led to the publication of a large number of MASLD/MASH guidelines by national and international societies. However, important differences among the recommendations have created confusion, contributing to a low implementation rate and suboptimal management of MASLD and MASH. Creating a consensus recommendation has become more important since the approval of a selective agonist of thyroid hormone β receptor (resmetirom) for MASH treatment in the United States. We built a consensus among the most recently published recommendations for MASLD/MASH. METHODS: A comprehensive search for MASLD and MASH guidelines, guidance documents, or similar publications from January 2018 to January 2025 using PubMed, Embase, Web of Science, and society websites was conducted. Each selected document was assessed across 8 specific domains with 145 variables. Variables with &lt;50% concordance were used for the Delphi statement development. A supermajority threshold of 67% was set for statement acceptance. RESULTS: There were 61 documents published from 2018 through January 2025. Four rounds of Delphi were conducted: 46 statements were g</w:t>
      </w:r>
    </w:p>
    <w:p>
      <w:pPr/>
      <w:r>
        <w:rPr>
          <w:b/>
        </w:rPr>
        <w:t>POSSIBLE 2025:</w:t>
      </w:r>
      <w:r>
        <w:t xml:space="preserve"> Data driven inventory consensus control for a supply chain system with a design change — https://doi.org/10.61822/amcs-2025-0050</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The production and supply chain system is a complex nonlinear network comprising suppliers, manufacturers, distributors, retailers, and other entities. The collaborative evolution process for such a system is vitally important, especially when the system undergoes design changes. In this paper, the data-driven inventory consensus problem for production and supply chain systems is studied while considering design changes. Firstly, the production and supply chain system is modeled as a multi-agent one and the collaborative process of the production and supply chain is formulated as the system topology structure switching. Secondly, a digraph data-driven consensus control protocol is proposed to achieve inventory level consensus tracking with respect to a predefined reference trajectory in production and supply chain systems. Thirdly, when a design change occurs, the saturation function is introduced for the protocol design, which helps address the productivity limitation problem. Lastly, with the help of the contracting mapping principle, the convergence analysis is carried out, demonstrating the effectiveness of the proposed data-driven consensus approach through a numerical simulation example.</w:t>
      </w:r>
    </w:p>
    <w:p>
      <w:pPr/>
      <w:r>
        <w:rPr>
          <w:b/>
        </w:rPr>
        <w:t>POSSIBLE 2025:</w:t>
      </w:r>
      <w:r>
        <w:t xml:space="preserve"> Consensus of Fractional-Order Fuzzy Multiagent Systems: Exploring Impulsive Security Protocols — https://doi.org/10.1109/tcns.2025.3543754</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This article investigates impulsive security protocols with the goal of achieving consensus of fractional-order fuzzy multiagent systems (FOFMASs). In contrast to multiagent systems characterized by ordinary differential equations, FOFMASs are created using Takagi–Sugeno fuzzy rules and fractional-order differential equations, which allow for nonlinearities with parameter uncertainties and also manage memory effects. Due to the potential of denial-of-service (DoS) attacks, the topology among nodes may change, and it is necessary to gain insight into the security consensus under topology switching. This article tackles the security protocol problem by designing a distributed impulsive control for each agent, relying on global delayed communications and topology switching resulting from DoS attacks. Analyzing the stability of impulse-free error systems is a salient problem. Supported by the Lyapunov method and average impulsive interval method, for two cases of self-stabilization or instability of the error system in the absence of impulse, some sufficient conditions are presented to ensure the exponential consensus of FOFMASs under distributed impulsive control with communication delays. Besides, several corollaries are provided to guarantee the consensus under distributed impulsive control without communication delays. Finally, two numerical examples are provided, and some nume</w:t>
      </w:r>
    </w:p>
    <w:p>
      <w:pPr/>
      <w:r>
        <w:rPr>
          <w:b/>
        </w:rPr>
        <w:t>POSSIBLE 2025:</w:t>
      </w:r>
      <w:r>
        <w:t xml:space="preserve"> Consensus-Based Resilience Assurance for System of Systems — https://doi.org/10.1109/access.2025.3535519</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The complexity of a System of Systems makes resilience one of its key attributes. Numerous studies have focused on the quantitative assessment of resilience by trailing indicators, yet discussions on resilience assurance through monitoring leading indicators remain scarce. Resilience assurance in SoS faces two major challenges: lack of structured argumentation work related to resilience and conflicts among multiple independent stakeholders. To address these challenges, this paper first introduces a resilience argumentation approach based on STAMP (Systems-Theoretic Accident Model and Processes), then employs cooperative consensus process model to seek consensus on resilience assurance. Additionally, under the requirements of the international standard IEC 62853 for open systems dependability, a consensus based resilience assurance framework is proposed. Within the framework, the resilient team can discuss the specific implementation details of failure response, accountability, and change accommodation based on stakeholder consensus. Finally, two SoS case studies, Microgrid and Mobility as a Service, are used to demonstrate the application of the proposed approach.</w:t>
      </w:r>
    </w:p>
    <w:p>
      <w:pPr/>
      <w:r>
        <w:rPr>
          <w:b/>
        </w:rPr>
        <w:t>POSSIBLE 2025:</w:t>
      </w:r>
      <w:r>
        <w:t xml:space="preserve"> Consensus of Open Multi-Agent Systems under Dynamic Event-Triggered Mechanisms — https://doi.org/10.1109/icaisisas64483.2025.11051790</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This paper studies the consensus problem in open multi-agent systems with time-varying agent set, where discrete control updates and intermittent communication are employed. An auxiliary dynamic variable is introduced to design an event-triggered mechanism with adaptive thresholds. To address topology changes due to agent arrivals and departures, the network is modeled as a set of switching subsystems with varying scales. Using switched system theory, we establish that exponential consensus convergence with non-Zeno behavior is guaranteed if each subsystem’s dwell time exceeds a predefined lower bound and the switching frequency remains finite. Furthermore, a self-triggered prediction method is developed to handle incomplete state information, utilizing historical data from triggering instants to achieve fully discretized communication. Numerical simulations validate the effectiveness of the proposed framework in balancing communication efficiency and consensus performance under dynamic network conditions.</w:t>
      </w:r>
    </w:p>
    <w:p>
      <w:pPr/>
      <w:r>
        <w:rPr>
          <w:b/>
        </w:rPr>
        <w:t>POSSIBLE 2024:</w:t>
      </w:r>
      <w:r>
        <w:t xml:space="preserve"> Global consensus statement on simulation-based practice in healthcare — https://doi.org/10.1186/s41077-024-00288-1</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improvement pr</w:t>
      </w:r>
    </w:p>
    <w:p>
      <w:pPr/>
      <w:r>
        <w:rPr>
          <w:b/>
        </w:rPr>
        <w:t>POSSIBLE 2024:</w:t>
      </w:r>
      <w:r>
        <w:t xml:space="preserve"> The Conceptual Definition of Sarcopenia: Delphi Consensus from the Global Leadership Initiative in Sarcopenia (GLIS) — https://doi.org/10.1093/ageing/afae052</w:t>
      </w:r>
    </w:p>
    <w:p>
      <w:pPr/>
      <w:r>
        <w:rPr>
          <w:b/>
        </w:rPr>
        <w:t>Shared claim-specific concepts:</w:t>
      </w:r>
      <w:r>
        <w:t xml:space="preserve"> consensus, however; EU scope not established. This is a provisional connection, not an outcome finding.</w:t>
      </w:r>
    </w:p>
    <w:p>
      <w:pPr>
        <w:pStyle w:val="SourceNote"/>
      </w:pPr>
      <w:r>
        <w:rPr>
          <w:b/>
        </w:rPr>
        <w:t>Available abstract (not full text):</w:t>
      </w:r>
      <w:r>
        <w:t xml:space="preserve"> IMPORTANCE: Sarcopenia, the age-related loss of muscle mass and strength/function, is an important clinical condition. However, no international consensus on the definition exists. OBJECTIVE: The Global Leadership Initiative in Sarcopenia (GLIS) aimed to address this by establishing the global conceptual definition of sarcopenia. DESIGN: The GLIS steering committee was formed in 2019-21 with representatives from all relevant scientific societies worldwide. During this time, the steering committee developed a set of statements on the topic and invited members from these societies to participate in a two-phase International Delphi Study. Between 2022 and 2023, participants ranked their agreement with a set of statements using an online survey tool (SurveyMonkey). Statements were categorised based on predefined thresholds: strong agreement (&gt;80%), moderate agreement (70-80%) and low agreement (&lt;70%). Statements with strong agreement were accepted, statements with low agreement were rejected and those with moderate agreement were reintroduced until consensus was reached. RESULTS: 107 participants (mean age: 54 ± 12 years [1 missing age], 64% men) from 29 countries across 7 continents/regions completed the Delphi survey. Twenty statements were found to have a strong agreement. These included; 6 statements on 'general aspects of sarcopenia' (strongest agreement: the prevalence of sar</w:t>
      </w:r>
    </w:p>
    <w:p>
      <w:pPr/>
      <w:r>
        <w:rPr>
          <w:b/>
        </w:rPr>
        <w:t>POSSIBLE 2024:</w:t>
      </w:r>
      <w:r>
        <w:t xml:space="preserve"> Global consensus on optimal exercise recommendations for enhancing healthy longevity in older adults (ICFSR) — https://doi.org/10.1016/j.jnha.2024.100401</w:t>
      </w:r>
    </w:p>
    <w:p>
      <w:pPr/>
      <w:r>
        <w:rPr>
          <w:b/>
        </w:rPr>
        <w:t>Shared claim-specific concepts:</w:t>
      </w:r>
      <w:r>
        <w:t xml:space="preserve"> consensus, energy, however, many, leading; EU scope not established. This is a provisional connection, not an outcome finding.</w:t>
      </w:r>
    </w:p>
    <w:p>
      <w:pPr>
        <w:pStyle w:val="SourceNote"/>
      </w:pPr>
      <w:r>
        <w:rPr>
          <w:b/>
        </w:rPr>
        <w:t>Available abstract (not full text):</w:t>
      </w:r>
      <w:r>
        <w:t xml:space="preserve"> Aging, a universal and inevitable process, is characterized by a progressive accumulation of physiological alterations and functional decline over time, leading to increased vulnerability to diseases and ultimately mortality as age advances. Lifestyle factors, notably physical activity (PA) and exercise, significantly modulate aging phenotypes. Physical activity and exercise can prevent or ameliorate lifestyle-related diseases, extend health span, enhance physical function, and reduce the burden of non-communicable chronic diseases including cardiometabolic disease, cancer, musculoskeletal and neurological conditions, and chronic respiratory diseases as well as premature mortality. Physical activity influences the cellular and molecular drivers of biological aging, slowing aging rates-a foundational aspect of geroscience. Thus, PA serves both as preventive medicine and therapeutic agent in pathological states. Sub-optimal PA levels correlate with increased disease prevalence in aging populations. Structured exercise prescriptions should therefore be customized and monitored like any other medical treatment, considering the dose-response relationships and specific adaptations necessary for intended outcomes. Current guidelines recommend a multifaceted exercise regimen that includes aerobic, resistance, balance, and flexibility training through structured and incidental (integrat</w:t>
      </w:r>
    </w:p>
    <w:p>
      <w:pPr/>
      <w:r>
        <w:rPr>
          <w:b/>
        </w:rPr>
        <w:t>POSSIBLE 2024:</w:t>
      </w:r>
      <w:r>
        <w:t xml:space="preserve"> Global consensus on disclosing inventions — https://doi.org/10.4324/9781003423003-14</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This section examines rules and regulations of disclosure across national and international patenting systems, in view of highlighting the striking consensus that exists for disclosing inventions in patents. A consensus that creates a phenomenal multilingual corpus of parallel patent texts.</w:t>
      </w:r>
    </w:p>
    <w:p>
      <w:pPr>
        <w:pStyle w:val="Heading2"/>
      </w:pPr>
      <w:r>
        <w:t>523.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2025:</w:t>
      </w:r>
      <w:r>
        <w:t xml:space="preserve"> Parliamentarism - conceptual basis of european constitutionalism — https://doi.org/10.59295/stctce2025.15</w:t>
      </w:r>
    </w:p>
    <w:p>
      <w:pPr/>
      <w:r>
        <w:rPr>
          <w:b/>
        </w:rPr>
        <w:t>Shared claim-specific concepts:</w:t>
      </w:r>
      <w:r>
        <w:t xml:space="preserve"> article, institutional, democratic; EU scope visible. This is a provisional connection, not an outcome finding.</w:t>
      </w:r>
    </w:p>
    <w:p>
      <w:pPr>
        <w:pStyle w:val="SourceNote"/>
      </w:pPr>
      <w:r>
        <w:rPr>
          <w:b/>
        </w:rPr>
        <w:t>Available abstract (not full text):</w:t>
      </w:r>
      <w:r>
        <w:t xml:space="preserve"> Parliamentarism represents one of the most significant institutional innovations in Europe's political history, playing a fundamental role in the development of European constitutionalism. This form of political organization combines the principle of representativeness with the separation of powers, providing a framework for democratic governance and the protection of citizens' rights. European constitutionalism, rooted in the supremacy of the constitution and the protection of fundamental rights, has been deeply influenced by the evolution of parliamentary institutions. The aim of this article is to explore how parliamentarism has contributed to the consolidation of European constitutionalism by examining its origins, fundamental principles, and contemporary challenges. We will analyse the relationship between these two concepts, highlighting the essential role of parliamentary institutions in advancing the rule of law and creating a political framework based on accountability and transparency.</w:t>
      </w:r>
    </w:p>
    <w:p>
      <w:pPr/>
      <w:r>
        <w:rPr>
          <w:b/>
        </w:rPr>
        <w:t>POSSIBLE 2024:</w:t>
      </w:r>
      <w:r>
        <w:t xml:space="preserve"> Gender equality: Progress, and challenges in european society — https://doi.org/10.31893/humanitj.2024005</w:t>
      </w:r>
    </w:p>
    <w:p>
      <w:pPr/>
      <w:r>
        <w:rPr>
          <w:b/>
        </w:rPr>
        <w:t>Shared claim-specific concepts:</w:t>
      </w:r>
      <w:r>
        <w:t xml:space="preserve"> article, combined, policies, different, institutional, countries; EU scope visible. This is a provisional connection, not an outcome finding.</w:t>
      </w:r>
    </w:p>
    <w:p>
      <w:pPr>
        <w:pStyle w:val="SourceNote"/>
      </w:pPr>
      <w:r>
        <w:rPr>
          <w:b/>
        </w:rPr>
        <w:t>Available abstract (not full text):</w:t>
      </w:r>
      <w:r>
        <w:t xml:space="preserve"> This article explores the dynamics of gender equality in European society, focusing on both the progress made and the ongoing challenges facing European society. The study investigates the impact of legal frameworks and rights in shaping equal opportunities for the whole of European society by excluding the possibility of differences on different grounds. Furthermore, the study assesses the impact of institutional commitment to gender equality within European legal and social contexts. The analysis covers a long-term period by examining the legal infrastructure related to gender equality: a model case of some countries in Europe. Through our findings, we will reflect the impact of the factors that have meanwhile combined the phenomenon of inequality in European society. Regarding institutional commitment, we will highlight the effectiveness of intergovernmental policies, proving this hypothesis through statistics that show the position of women in various fields.</w:t>
      </w:r>
    </w:p>
    <w:p>
      <w:pPr/>
      <w:r>
        <w:rPr>
          <w:b/>
        </w:rPr>
        <w:t>POSSIBLE 2024:</w:t>
      </w:r>
      <w:r>
        <w:t xml:space="preserve"> Gendering the floating voter: A mixed methods study of gender and undecided voters in Britain — https://doi.org/10.1177/13691481241240385</w:t>
      </w:r>
    </w:p>
    <w:p>
      <w:pPr/>
      <w:r>
        <w:rPr>
          <w:b/>
        </w:rPr>
        <w:t>Shared claim-specific concepts:</w:t>
      </w:r>
      <w:r>
        <w:t xml:space="preserve"> article, voter, choice; EU scope not established. This is a provisional connection, not an outcome finding.</w:t>
      </w:r>
    </w:p>
    <w:p>
      <w:pPr>
        <w:pStyle w:val="SourceNote"/>
      </w:pPr>
      <w:r>
        <w:rPr>
          <w:b/>
        </w:rPr>
        <w:t>Available abstract (not full text):</w:t>
      </w:r>
      <w:r>
        <w:t xml:space="preserve"> Women are more undecided than men about their vote choice, with around 20%–30% of female respondents giving a ‘don’t know’ response to vote intention survey questions in Britain. In this article, we employ a mixed methods research design to explore why women are more likely to be undecided about their vote choice than men. Using survey data, we find that the gender gap in ‘don’t know’ responses is associated with gender gaps in political engagement and perceptions of policy representation. In focus groups, we find differences between men and women in how they want to be represented, and gender differences in conflict-avoidance/conflict-seeking, both of which we expect to contribute to gender differences in making a vote choice in-between elections. Our findings contribute to our understanding of how men and women engage with politics in Britain, as well as having implications for interpreting gender differences in vote intention in surveys.</w:t>
      </w:r>
    </w:p>
    <w:p>
      <w:pPr/>
      <w:r>
        <w:rPr>
          <w:b/>
        </w:rPr>
        <w:t>POSSIBLE 2024:</w:t>
      </w:r>
      <w:r>
        <w:t xml:space="preserve"> Not so different: Comparing British MPs’ and voters’ attitudes to climate change — https://doi.org/10.1093/pa/gsae012</w:t>
      </w:r>
    </w:p>
    <w:p>
      <w:pPr/>
      <w:r>
        <w:rPr>
          <w:b/>
        </w:rPr>
        <w:t>Shared claim-specific concepts:</w:t>
      </w:r>
      <w:r>
        <w:t xml:space="preserve"> article, policies, different; EU scope not established. This is a provisional connection, not an outcome finding.</w:t>
      </w:r>
    </w:p>
    <w:p>
      <w:pPr>
        <w:pStyle w:val="SourceNote"/>
      </w:pPr>
      <w:r>
        <w:rPr>
          <w:b/>
        </w:rPr>
        <w:t>Available abstract (not full text):</w:t>
      </w:r>
      <w:r>
        <w:t xml:space="preserve"> Abstract There is a growing literature investigating the attitudes of political elites and citizens in a range of areas, and this article uses matched survey data of British MPs and voters to contribute a new comparison of their views on climate change. It finds limited evidence of systematic differences between MPs’ and voters’ attitudes to climate change: neither group is clearly more concerned about the issue than the other nor more polarized along partisan lines. However, there does appear to be incongruence between MPs’ and voters’ views on some specific climate policies. The research builds on previous analyses of British MPs’ approaches to climate change, including finding that party identity is more useful in predicting their perspectives on climate change than their perception of public attitudes.</w:t>
      </w:r>
    </w:p>
    <w:p>
      <w:pPr/>
      <w:r>
        <w:rPr>
          <w:b/>
        </w:rPr>
        <w:t>POSSIBLE 2024:</w:t>
      </w:r>
      <w:r>
        <w:t xml:space="preserve"> Backlash or Progressive Mobilization? Voter Reactions to Perceived Trajectories of Women’s Representation — https://doi.org/10.1177/00104140231223745</w:t>
      </w:r>
    </w:p>
    <w:p>
      <w:pPr/>
      <w:r>
        <w:rPr>
          <w:b/>
        </w:rPr>
        <w:t>Shared claim-specific concepts:</w:t>
      </w:r>
      <w:r>
        <w:t xml:space="preserve"> article, voter, means; EU scope visible. This is a provisional connection, not an outcome finding.</w:t>
      </w:r>
    </w:p>
    <w:p>
      <w:pPr>
        <w:pStyle w:val="SourceNote"/>
      </w:pPr>
      <w:r>
        <w:rPr>
          <w:b/>
        </w:rPr>
        <w:t>Available abstract (not full text):</w:t>
      </w:r>
      <w:r>
        <w:t xml:space="preserve"> Existing research on the effects of women’s descriptive representation on citizens’ attitudes has mainly investigated potential positive effects, namely on political engagement or the legitimacy of outcomes. However, trends in representation have rarely been theorized as potential causes of resentment among women. While a male backlash to increasing representation has been theorized, this article argues that women may also be discontent with their trajectory of representation, if they perceive it as stagnating. Using a survey experiment fielded in Germany, the results show that a stagnating representation trajectory mobilizes women to vote for a progressive party, the German Greens. In contrast, the paper demonstrates that men do not lash back against women’s increasing representation, even if they realize that this means a lower standing for themselves. This article contributes to research on political behavior by highlighting that discontent with persisting inequality is a mobilizing factor for progressive parties.</w:t>
      </w:r>
    </w:p>
    <w:p>
      <w:pPr/>
      <w:r>
        <w:rPr>
          <w:b/>
        </w:rPr>
        <w:t>POSSIBLE 2023:</w:t>
      </w:r>
      <w:r>
        <w:t xml:space="preserve"> Election Frequency and Voter Turnout — https://doi.org/10.1177/00104140231169020</w:t>
      </w:r>
    </w:p>
    <w:p>
      <w:pPr/>
      <w:r>
        <w:rPr>
          <w:b/>
        </w:rPr>
        <w:t>Shared claim-specific concepts:</w:t>
      </w:r>
      <w:r>
        <w:t xml:space="preserve"> voter, institutional, democratic; EU scope visible. This is a provisional connection, not an outcome finding.</w:t>
      </w:r>
    </w:p>
    <w:p>
      <w:pPr>
        <w:pStyle w:val="SourceNote"/>
      </w:pPr>
      <w:r>
        <w:rPr>
          <w:b/>
        </w:rPr>
        <w:t>Available abstract (not full text):</w:t>
      </w:r>
      <w:r>
        <w:t xml:space="preserve"> In recent decades, liberal democracies have considerably expanded the scope for citizen participation, calling their citizens to vote in a growing number of popular votes. This research investigates the effects of the rising election frequency on electoral participation. It expands on the voting calculus and theorizes which, when, and how past votes affect current voter turnout. We argue that all election types contribute to a common factor of election frequency, whose high values depress turnout and reduce the effectiveness of party mobilization even in the most important elections. We find support for the new theory using an original database of all significant elections and referendums held in 22 European democracies between 1939 and 2019, two natural experiments, and survey data from the Comparative Study of Electoral Systems. Our findings shed light on contemporary participation trends and have major implications for democratic citizenship and democratic institutional engineering.</w:t>
      </w:r>
    </w:p>
    <w:p>
      <w:pPr>
        <w:pStyle w:val="Heading2"/>
      </w:pPr>
      <w:r>
        <w:t>524.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r>
        <w:rPr>
          <w:b/>
        </w:rPr>
        <w:t>POSSIBLE 2024:</w:t>
      </w:r>
      <w:r>
        <w:t xml:space="preserve"> Advancing sustainable building through passive cooling with phase change materials, a comprehensive literature review — https://doi.org/10.1016/j.enbuild.2024.114164</w:t>
      </w:r>
    </w:p>
    <w:p>
      <w:pPr/>
      <w:r>
        <w:rPr>
          <w:b/>
        </w:rPr>
        <w:t>Shared claim-specific concepts:</w:t>
      </w:r>
      <w:r>
        <w:t xml:space="preserve"> building, phase, combination, different; EU scope not established. This is a provisional connection, not an outcome finding.</w:t>
      </w:r>
    </w:p>
    <w:p>
      <w:pPr>
        <w:pStyle w:val="SourceNote"/>
      </w:pPr>
      <w:r>
        <w:rPr>
          <w:b/>
        </w:rPr>
        <w:t>Available abstract (not full text):</w:t>
      </w:r>
      <w:r>
        <w:t xml:space="preserve"> Phase Change Materials (PCMs) present cutting-edge technology with substantial promise for advancing sustainable and energy-efficient cooling in buildings. These materials can absorb and release latent heat during phase transitions, facilitating thermal energy storage and temperature regulation. This comprehensive literature review explores various strategies and methods for implementing passive cooling with PCMs in buildings. The integration of PCMs enhances multiple passive cooling approaches, including solar control, ground cooling, ventilation-based heat dissipation, radiative cooling, and thermal mass-based heat modulation. The analysis delves into PCM classifications, encapsulation techniques, melting enthalpies, integration into diverse building envelopes, and performance across different climates. The findings from this comprehensive review indicated that PCM walls introduce a 2-hour delay in heat transfer and mitigate external temperature fluctuations. Windows equipped with PCM panels reduce heat transfer by 66 %. Combining PCMs with nocturnal radiative cooling leads to interior surface temperature reductions exceeding 13 °C. Natural ventilation with PCMs results in notable energy savings of up to 90 % in hot climates. The combination of free cooling and PCM thermal storage reduces charging times by 35 % while enhancing heat transfer. Simulations performed in the open </w:t>
      </w:r>
    </w:p>
    <w:p>
      <w:pPr/>
      <w:r>
        <w:rPr>
          <w:b/>
        </w:rPr>
        <w:t>POSSIBLE 2024:</w:t>
      </w:r>
      <w:r>
        <w:t xml:space="preserve"> Incorporation of Phase Change Materials in Buildings — https://doi.org/10.3390/constrmater4040037</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This review paper explores the integration of phase change materials (PCMs) in building insulation systems to enhance energy efficiency and thermal comfort. Through an extensive analysis of existing literature, the thermal performance of PCM-enhanced building envelopes is evaluated under diverse environmental conditions. This review highlights that PCMs effectively moderate indoor temperatures by absorbing and releasing heat during phase transitions, maintaining a stable indoor climate. This paper also delves into the detailed concepts of PCMs, including their classification and various applications within building insulation. It is noted that different types of PCMs have unique thermal properties and potential uses, which can be tailored to specific building requirements and climatic conditions. Furthermore, cost–benefit and environmental assessments presented in the reviewed studies suggest that incorporating PCMs into building materials offers significant potential for reducing energy consumption and mitigating environmental impacts. These assessments indicate that PCMs can lead to substantial energy savings by decreasing the reliance on heating and cooling systems, thereby lowering overall energy costs and carbon emissions. However, despite the promising outlook, this review identifies a need for further research to optimize PCM formulations and integration methods. This op</w:t>
      </w:r>
    </w:p>
    <w:p>
      <w:pPr/>
      <w:r>
        <w:rPr>
          <w:b/>
        </w:rPr>
        <w:t>POSSIBLE 2024:</w:t>
      </w:r>
      <w:r>
        <w:t xml:space="preserve"> Phase Change Materials (PCMs) for passive Cooling: Performance in urban buildings — https://doi.org/10.30574/ijsra.2024.13.1.2050</w:t>
      </w:r>
    </w:p>
    <w:p>
      <w:pPr/>
      <w:r>
        <w:rPr>
          <w:b/>
        </w:rPr>
        <w:t>Shared claim-specific concepts:</w:t>
      </w:r>
      <w:r>
        <w:t xml:space="preserve"> building, phase, combination, case; EU scope not established. This is a provisional connection, not an outcome finding.</w:t>
      </w:r>
    </w:p>
    <w:p>
      <w:pPr>
        <w:pStyle w:val="SourceNote"/>
      </w:pPr>
      <w:r>
        <w:rPr>
          <w:b/>
        </w:rPr>
        <w:t>Available abstract (not full text):</w:t>
      </w:r>
      <w:r>
        <w:t xml:space="preserve"> The intersection of urbanization, climate change, and escalating cooling demands has underscored the urgent need for passive thermal regulation strategies in buildings. Among these, Phase Change Materials (PCMs) stand out due to their latent heat storage capabilities, offering the ability to passively regulate indoor temperatures by leveraging thermodynamic phase transitions. This paper provides an in-depth analysis of phase change materials (PCMs) in the context of passive cooling for urban environments, with a particular emphasis on their applications in building envelopes, such as walls and roofs. Through a combination of material science fundamentals, thermal modeling, building simulation studies, lifecycle analysis, and empirical case data, we elucidate the performance thresholds, integration mechanisms, and long-term viability of PCM-based systems. The study concludes that PCM-enhanced designs can lead to reductions in HVAC energy consumption by 15–40%, flatten diurnal temperature fluctuations, and contribute significantly toward net-zero energy building objectives.</w:t>
      </w:r>
    </w:p>
    <w:p>
      <w:pPr/>
      <w:r>
        <w:rPr>
          <w:b/>
        </w:rPr>
        <w:t>POSSIBLE 2024:</w:t>
      </w:r>
      <w:r>
        <w:t xml:space="preserve"> Building design with artificial intelligence : Evaluation of AI tools for building design optimization during earlyplanning phases — https://openalex.org/W7112955944</w:t>
      </w:r>
    </w:p>
    <w:p>
      <w:pPr/>
      <w:r>
        <w:rPr>
          <w:b/>
        </w:rPr>
        <w:t>Shared claim-specific concepts:</w:t>
      </w:r>
      <w:r>
        <w:t xml:space="preserve"> building, combination, alternative; EU scope not established. This is a provisional connection, not an outcome finding.</w:t>
      </w:r>
    </w:p>
    <w:p>
      <w:pPr>
        <w:pStyle w:val="SourceNote"/>
      </w:pPr>
      <w:r>
        <w:rPr>
          <w:b/>
        </w:rPr>
        <w:t>Available abstract (not full text):</w:t>
      </w:r>
      <w:r>
        <w:t xml:space="preserve"> Purpose: The purpose of this study was to explore how AI tools affect the working processes withinthe construction industry during the early planning phases of a building project and to identifypotential challenges. Method: A combination of literature studies and interviews were conducted. The literature studyprovides a theoretical framework while the interviews offered a more practice-based perspective.Results: Both the literature and interviews indicated that AI tools can streamline the design process inthe early phases by automating generation of alternative solutions. However, challenges include theimplementation process, users' learning curve, costs and integration issues.Conclusions: When properly implemented, AI tools have the potential to facilitate a more creative,efficient and integrated way of working in the early planning stages through accelerated conceptdevelopment and improved access to competence and data connections. Keywords: Artificial intelligence, construction industry, early planning phases, working processes,opportunities, challenges</w:t>
      </w:r>
    </w:p>
    <w:p>
      <w:pPr/>
      <w:r>
        <w:rPr>
          <w:b/>
        </w:rPr>
        <w:t>POSSIBLE 2024:</w:t>
      </w:r>
      <w:r>
        <w:t xml:space="preserve"> The Evolution and Future Directions of Green Buildings Research: A Scientometric Analysis — https://doi.org/10.3390/buildings14020345</w:t>
      </w:r>
    </w:p>
    <w:p>
      <w:pPr/>
      <w:r>
        <w:rPr>
          <w:b/>
        </w:rPr>
        <w:t>Shared claim-specific concepts:</w:t>
      </w:r>
      <w:r>
        <w:t xml:space="preserve"> phase, trends, two; EU scope not established. This is a provisional connection, not an outcome finding.</w:t>
      </w:r>
    </w:p>
    <w:p>
      <w:pPr>
        <w:pStyle w:val="SourceNote"/>
      </w:pPr>
      <w:r>
        <w:rPr>
          <w:b/>
        </w:rPr>
        <w:t>Available abstract (not full text):</w:t>
      </w:r>
      <w:r>
        <w:t xml:space="preserve"> Economic development and urbanization naturally give rise to expanding demand for new buildings, whose construction and operation inevitably lead to significant increases in energy consumption and greenhouse gas emissions. To better conserve resources and protect the environment, technologies for green buildings have evolved significantly in the past two decades. In this study, a scientometric analysis of green buildings research from 2003 to 2023 was performed using CiteSpace. A total of 1986 articles retrieved from the Web of Science (WoS) core collection database were used as the data source for an in-depth analysis of research trends, hotspots, and future directions, showing changes in publication numbers, core journals, key countries, and institutions that have made remarkable contributions in this field. The results showed that the field of green buildings research is in a phase of rapid growth. The current research hotspots include the adoption of the green buildings paradigm, rating systems, energy performance, greenhouse gas emissions, indoor environmental quality, and green roofs/walls. Based on the keywords citation bursts and literature review, we believe that government promotion measures, use of renewable energy, integration with plants, and application of artificial intelligence (AI) in green buildings will be the most promising development directions in the futu</w:t>
      </w:r>
    </w:p>
    <w:p>
      <w:pPr/>
      <w:r>
        <w:rPr>
          <w:b/>
        </w:rPr>
        <w:t>POSSIBLE 2024:</w:t>
      </w:r>
      <w:r>
        <w:t xml:space="preserve"> Design Frameworks for Circular Buildings: Circular Principles, Building Lifecycle Phases and Design Strategies — https://doi.org/10.1007/978-3-031-73490-8_6</w:t>
      </w:r>
    </w:p>
    <w:p>
      <w:pPr/>
      <w:r>
        <w:rPr>
          <w:b/>
        </w:rPr>
        <w:t>Shared claim-specific concepts:</w:t>
      </w:r>
      <w:r>
        <w:t xml:space="preserve"> building, business, case; EU scope not established. This is a provisional connection, not an outcome finding.</w:t>
      </w:r>
    </w:p>
    <w:p>
      <w:pPr>
        <w:pStyle w:val="SourceNote"/>
      </w:pPr>
      <w:r>
        <w:rPr>
          <w:b/>
        </w:rPr>
        <w:t>Available abstract (not full text):</w:t>
      </w:r>
      <w:r>
        <w:t xml:space="preserve"> Abstract This chapter explored the current theory and practices on circular building design to provide an overview of what a circular building is and how a circular building has been implemented by design through a literature review. Until now, the circular economy in the built environment has mainly been implemented through technological innovation focusing on materials, products, business models and industrial systems. Design for a circular economy in the built environment has progressively expanded from single products and components to building and urban systems. The enlargement of the design scope has entailed a shift from insular to system innovation. Besides a technocentric approach focused on circulating resources through economic and technical innovation, a holistic vision has emerged in the literature that sees circularity as a transformation which integrates technological, social, organizational and institutional considerations of circularity to promote systemic changes in large urban social-technical systems. This study initially investigated the current understanding of the circular building concept, and then analysed design frameworks applied to develop circular buildings by reviewing the literature. Finally, it defined propositions for evaluating the current level of implementation of circular buildings This exploration provided an overview of the current body of</w:t>
      </w:r>
    </w:p>
    <w:p>
      <w:pPr/>
      <w:r>
        <w:rPr>
          <w:b/>
        </w:rPr>
        <w:t>POSSIBLE 2023:</w:t>
      </w:r>
      <w:r>
        <w:t xml:space="preserve"> Building Envelope Design With PHASE-CHANGEMATERIALS (PCM). — https://doi.org/10.21203/rs.3.rs-3307843/v1</w:t>
      </w:r>
    </w:p>
    <w:p>
      <w:pPr/>
      <w:r>
        <w:rPr>
          <w:b/>
        </w:rPr>
        <w:t>Shared claim-specific concepts:</w:t>
      </w:r>
      <w:r>
        <w:t xml:space="preserve"> building, phase, combination, alternative; EU scope not established. This is a provisional connection, not an outcome finding.</w:t>
      </w:r>
    </w:p>
    <w:p>
      <w:pPr>
        <w:pStyle w:val="SourceNote"/>
      </w:pPr>
      <w:r>
        <w:rPr>
          <w:b/>
        </w:rPr>
        <w:t>Available abstract (not full text):</w:t>
      </w:r>
      <w:r>
        <w:t xml:space="preserve"> Abstract Building is one of the most energy consuming and CO2 producing sectors in the world. In Morocco, this sector currently accounts for 33% of total consumption nationwide. The new thermal regulation in Morocco aims at introducing energy efficient practices in this sector to reduce these consumptions. Indeed, in the Mediterranean region, the architecture of the building has a major impact on its energy and thermal performance. In addition, the integration of passive techniques and the use of local materials, phase change materials MCP could significantly reduce energy consumption in the building sector.Depending on the properties of the thermal zone where we are, it is therefore possible to integrate PCM and optimize their parameters in order to favorably diphase the energy consumption peaks and energy consumption and, by the same token, significantly reducing the use of the HC system. Consequently, the integration of this PCM in the envelopes of new buildings or in renovation would contribute to reduce the energy bill in the building sector in Morocco. So the (PCM) represents a sustainable alternative to reduce energy consumption for this a thermal dynamic simulation was realized with TRNSYS 204. Since PCM involves large latent heat at small temperature phase changes, PCM is used for temperature stabilization and for storing heat with large energy densities and capacity t</w:t>
      </w:r>
    </w:p>
    <w:p>
      <w:pPr>
        <w:pStyle w:val="Heading2"/>
      </w:pPr>
      <w:r>
        <w:t>525.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2025:</w:t>
      </w:r>
      <w:r>
        <w:t xml:space="preserve"> Anti-Inflammatory Activity of Thymol and Thymol-Rich Essential Oils: Mechanisms, Applications, and Recent Findings — https://doi.org/10.3390/molecules30112450</w:t>
      </w:r>
    </w:p>
    <w:p>
      <w:pPr/>
      <w:r>
        <w:rPr>
          <w:b/>
        </w:rPr>
        <w:t>Shared claim-specific concepts:</w:t>
      </w:r>
      <w:r>
        <w:t xml:space="preserve"> findings, recent, shown, activities, systems; EU scope not established. This is a provisional connection, not an outcome finding.</w:t>
      </w:r>
    </w:p>
    <w:p>
      <w:pPr>
        <w:pStyle w:val="SourceNote"/>
      </w:pPr>
      <w:r>
        <w:rPr>
          <w:b/>
        </w:rPr>
        <w:t>Available abstract (not full text):</w:t>
      </w:r>
      <w:r>
        <w:t xml:space="preserve"> Thymol, a monoterpenoid phenol present in the essential oils of several aromatic plants, has attracted considerable attention for its anti-inflammatory effects, often in combination with other bioactive compounds. This work explores the mechanisms behind the anti-inflammatory activity of thymol and thymol-rich essential oils, summarizing recent experimental findings. Inflammation, a key factor in numerous chronic diseases, can be modulated by targeting essential molecular pathways, such as MAPK, NF-κB, JAK/STAT, and arachidonic acid signaling. Thymol has been shown to influence these pathways, reducing the production of pro-inflammatory cytokines and mediators. Beyond its anti-inflammatory effects, thymol also exhibits a broad range of biological activities, including antimicrobial, antioxidant, and anticancer properties. The applications of thymol and thymol-containing essential oils in therapeutic formulations, food additives, and veterinary medicine are also reviewed. Despite promising preclinical results, challenges such as low bioavailability and toxicity at high doses limit their clinical use. Recent developments in drug delivery systems, such as encapsulation in micro- and nanoparticles, are suggested as strategies to enhance efficacy. Additionally, the synergistic effects of thymol with other natural products are examined, offering the potential for improved therapeutic</w:t>
      </w:r>
    </w:p>
    <w:p>
      <w:pPr/>
      <w:r>
        <w:rPr>
          <w:b/>
        </w:rPr>
        <w:t>POSSIBLE 2025:</w:t>
      </w:r>
      <w:r>
        <w:t xml:space="preserve"> Aging and HIV: Recent Findings in Contributing Factors — https://doi.org/10.1155/arat/8814760</w:t>
      </w:r>
    </w:p>
    <w:p>
      <w:pPr/>
      <w:r>
        <w:rPr>
          <w:b/>
        </w:rPr>
        <w:t>Shared claim-specific concepts:</w:t>
      </w:r>
      <w:r>
        <w:t xml:space="preserve"> findings, recent, science; EU scope not established. This is a provisional connection, not an outcome finding.</w:t>
      </w:r>
    </w:p>
    <w:p>
      <w:pPr>
        <w:pStyle w:val="SourceNote"/>
      </w:pPr>
      <w:r>
        <w:rPr>
          <w:b/>
        </w:rPr>
        <w:t>Available abstract (not full text):</w:t>
      </w:r>
      <w:r>
        <w:t xml:space="preserve"> Background: Aging among people living with HIV (PLWH) presents multifaceted challenges influenced by antiretroviral therapy (ART), chronic inflammation, viral coinfections, stigma, multimorbidity, and immunosuppression. Methods: This review synthesizes recent research findings to outline factors contributing to aging with HIV. A comprehensive literature search was done using electronic databases including PubMed, Web of Science, Google Scholar, and CINAHL with keywords “HIV,” “Aging,” “Elderly,” “Geriatrics,” “Older Adults,” “HIV Infections,” and “HIV/AIDS. Results: Addressing age‐related comorbidities, cognitive impairment, and non‐AIDS events is imperative as older PLWH face increased morbidity and mortality rates compounded by coinfections such as HCV, HPV, TB, HSV, and bacterial infections. While ART is vital for viral suppression, it introduces challenges such as mitochondrial toxicity, metabolic disorders, and decreased CD4 cell counts, accelerating the aging process. Lifestyle factors, including smoking, substance abuse, malnutrition, sedentary behavior, and mental health conditions, further exacerbate aging in PLWH. Conclusions: This study emphasizes the necessity of holistic approaches to meet the unique healthcare needs of older PLWH, with insights into immunosenescence, coinfections, disease progression, ART exposure, and lifestyle factors. Understanding these dynami</w:t>
      </w:r>
    </w:p>
    <w:p>
      <w:pPr/>
      <w:r>
        <w:rPr>
          <w:b/>
        </w:rPr>
        <w:t>POSSIBLE 2025:</w:t>
      </w:r>
      <w:r>
        <w:t xml:space="preserve"> Deep Learning Model in Science Learning: Bibliometric Analysis — https://doi.org/10.30736/seaj.v7i1.1160</w:t>
      </w:r>
    </w:p>
    <w:p>
      <w:pPr/>
      <w:r>
        <w:rPr>
          <w:b/>
        </w:rPr>
        <w:t>Shared claim-specific concepts:</w:t>
      </w:r>
      <w:r>
        <w:t xml:space="preserve"> findings, recent, science, learning; EU scope not established. This is a provisional connection, not an outcome finding.</w:t>
      </w:r>
    </w:p>
    <w:p>
      <w:pPr>
        <w:pStyle w:val="SourceNote"/>
      </w:pPr>
      <w:r>
        <w:rPr>
          <w:b/>
        </w:rPr>
        <w:t>Available abstract (not full text):</w:t>
      </w:r>
      <w:r>
        <w:t xml:space="preserve"> The deep learning model is one of the learning models that can be applied in science learning. Research related to deep learning has grown very rapidly in recent years. Research on deep learning models has produced many theoretical and empirical findings. Many trends have emerged to highlight the complexity and dynamics of deep learning models in science learning. This study aims to discover the latest trends in deep learning model research in science learning. This study uses a bibliometric approach of analysis based on the Google Scholar database. Based on this study's title, abstract, and keywords, it produced 872 studies from 2015-2024. The results of this study show that the deep learning model in this learning has increased significantly in 2022. The increase in research on deep learning models shows the importance of applying deep learning models in learning.</w:t>
      </w:r>
    </w:p>
    <w:p>
      <w:pPr/>
      <w:r>
        <w:rPr>
          <w:b/>
        </w:rPr>
        <w:t>POSSIBLE 2025:</w:t>
      </w:r>
      <w:r>
        <w:t xml:space="preserve"> Bridging the Gap: Enhancing Science Learning for Social Science Students — https://doi.org/10.62386/jised.v3i4.173</w:t>
      </w:r>
    </w:p>
    <w:p>
      <w:pPr/>
      <w:r>
        <w:rPr>
          <w:b/>
        </w:rPr>
        <w:t>Shared claim-specific concepts:</w:t>
      </w:r>
      <w:r>
        <w:t xml:space="preserve"> findings, recent, science, learning, activities, students; EU scope not established. This is a provisional connection, not an outcome finding.</w:t>
      </w:r>
    </w:p>
    <w:p>
      <w:pPr>
        <w:pStyle w:val="SourceNote"/>
      </w:pPr>
      <w:r>
        <w:rPr>
          <w:b/>
        </w:rPr>
        <w:t>Available abstract (not full text):</w:t>
      </w:r>
      <w:r>
        <w:t xml:space="preserve"> Many social science students at the Instituto Católico para a Formação de Professores (ICFP) Baucau, Timor-Leste, face difficulties when studying natural science in their second year because of their different academic backgrounds. This study aims to explore strategies that make natural science learning more accessible and engaging for these students. Using a literature review of recent research, the paper examines teaching methods that enhance motivation and understanding. Key approaches include hands-on experiments, clear explanations, interactive activities, and the use of real-life examples connected to students’ social and cultural contexts. The findings show that when science lessons are simplified, contextualized, and linked to practical experiences, students become more motivated and confident in their learning. These strategies not only improve comprehension but also make science more meaningful for learners from non-science backgrounds. The study provides recommendations for teachers at ICFP Baucau to design inclusive and engaging lessons that support social science students in successfully learning natural science</w:t>
      </w:r>
    </w:p>
    <w:p>
      <w:pPr/>
      <w:r>
        <w:rPr>
          <w:b/>
        </w:rPr>
        <w:t>POSSIBLE 2025:</w:t>
      </w:r>
      <w:r>
        <w:t xml:space="preserve"> The Effect of Size of Deep Learning Models in Science Learning — https://doi.org/10.31004/riggs.v4i2.947</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The study found out the influence of the deep learning model in science learning. This research is a type of quantitative research with a meta-analysis approach. The source of research data is 12 national journals indexed by SINTA, DOAJ or EBSCO. The eligibility criteria are that the research must be a quantitative method, the experimental method, the journal is published in 2022-2025, the research must be relevant, the participants come from elementary, junior high, high school and college students. Data analysis is quantitative analysis with the help of JASP applications. The results of this study can be concluded that there is a significant influence of the deep learning model in science learning with an effect size value of 0.915 in the high effect size category. These findings explain that the deep learning model is effectively applied at the elementary school to university education levels.</w:t>
      </w:r>
    </w:p>
    <w:p>
      <w:pPr/>
      <w:r>
        <w:rPr>
          <w:b/>
        </w:rPr>
        <w:t>POSSIBLE 2024:</w:t>
      </w:r>
      <w:r>
        <w:t xml:space="preserve"> Inflammation and Cancer: The Most Recent Findings — https://doi.org/10.31584/jhsmr.20241082</w:t>
      </w:r>
    </w:p>
    <w:p>
      <w:pPr/>
      <w:r>
        <w:rPr>
          <w:b/>
        </w:rPr>
        <w:t>Shared claim-specific concepts:</w:t>
      </w:r>
      <w:r>
        <w:t xml:space="preserve"> findings, recent; EU scope not established. This is a provisional connection, not an outcome finding.</w:t>
      </w:r>
    </w:p>
    <w:p>
      <w:pPr>
        <w:pStyle w:val="SourceNote"/>
      </w:pPr>
      <w:r>
        <w:rPr>
          <w:b/>
        </w:rPr>
        <w:t>Available abstract (not full text):</w:t>
      </w:r>
      <w:r>
        <w:t xml:space="preserve"> An in-depth investigation into the complicated relationship between inflammation and cancer provided new findings. We explored new developments that shone a light on the involvement of inflammation in the emergence of many cancers in this study. What we know of this complex interaction has been shaped over time by historical observations that have transformed into molecular mechanistic findings. Understanding the importance of the invasion of immune cells in tumor micro-surroundings, gaining knowledge of the signaling mechanisms that control inflammation-induced carcinogenesis, and identifying inflammatory agents as possible biomarkers for diagnosis and the outlook may lead to novel therapeutic strategies and improved patient outcomes. The combination of immunotherapies and other treatment techniques offers a promising way to enhance therapeutic effects. The development of novel therapies like adoptive T-cell therapy and oncolytic viral therapy further emphasizes how far we have come. The need to manage immune evasion mechanisms and improve these therapeutic approaches further are still problems. We describe the intriguing possibility of using inflammation as a tool for targeted treatment for cancer in this investigation, with possibilities for better patient outcomes and alternative treatment methods.</w:t>
      </w:r>
    </w:p>
    <w:p>
      <w:pPr/>
      <w:r>
        <w:rPr>
          <w:b/>
        </w:rPr>
        <w:t>POSSIBLE 2024:</w:t>
      </w:r>
      <w:r>
        <w:t xml:space="preserve"> Recent findings in methanotrophs: genetics, molecular ecology, and biopotential — https://doi.org/10.1007/s00253-023-12978-3</w:t>
      </w:r>
    </w:p>
    <w:p>
      <w:pPr/>
      <w:r>
        <w:rPr>
          <w:b/>
        </w:rPr>
        <w:t>Shared claim-specific concepts:</w:t>
      </w:r>
      <w:r>
        <w:t xml:space="preserve"> findings, recent; EU scope not established. This is a provisional connection, not an outcome finding.</w:t>
      </w:r>
    </w:p>
    <w:p>
      <w:pPr>
        <w:pStyle w:val="SourceNote"/>
      </w:pPr>
      <w:r>
        <w:rPr>
          <w:b/>
        </w:rPr>
        <w:t>Available abstract (not full text):</w:t>
      </w:r>
      <w:r>
        <w:t xml:space="preserve"> ) is particularly significant in driving alterations to the worldwide climate. Methanotrophic bacteria possess the distinctive ability to employ methane as both as source of carbon and energy. These bacteria show great potential as exceptional biocatalysts in advancing C1 bioconversion technology. The present review describes recent findings in methanotrophs including aerobic and anaerobic methanotroph bacteria, phenotypic characteristics, biotechnological potential, their physiology, ecology, and native multi-carbon utilizing pathways, and their molecular biology. The existing understanding of methanogenesis and methanotrophy in soil, as well as anaerobic methane oxidation and methanotrophy in temperate and extreme environments, is also covered in this discussion. New types of methanogens and communities of methanotrophic bacteria have been identified from various ecosystems and thoroughly examined for a range of biotechnological uses. Grasping the processes of methanogenesis and methanotrophy holds significant importance in the development of innovative agricultural techniques and industrial procedures that contribute to a more favorable equilibrium of GHG. This current review centers on the diversity of emerging methanogen and methanotroph species and their effects on the environment. By amalgamating advanced genetic analysis with ecological insights, this study pioneers a h</w:t>
      </w:r>
    </w:p>
    <w:p>
      <w:pPr/>
      <w:r>
        <w:rPr>
          <w:b/>
        </w:rPr>
        <w:t>POSSIBLE 2024:</w:t>
      </w:r>
      <w:r>
        <w:t xml:space="preserve"> Students' situational engagement profiles in formal and informal science learning environments — https://doi.org/10.1002/tea.22017</w:t>
      </w:r>
    </w:p>
    <w:p>
      <w:pPr/>
      <w:r>
        <w:rPr>
          <w:b/>
        </w:rPr>
        <w:t>Shared claim-specific concepts:</w:t>
      </w:r>
      <w:r>
        <w:t xml:space="preserve"> findings, recent, science, learning, involving, students; EU scope not established. This is a provisional connection, not an outcome finding.</w:t>
      </w:r>
    </w:p>
    <w:p>
      <w:pPr>
        <w:pStyle w:val="SourceNote"/>
      </w:pPr>
      <w:r>
        <w:rPr>
          <w:b/>
        </w:rPr>
        <w:t>Available abstract (not full text):</w:t>
      </w:r>
      <w:r>
        <w:t xml:space="preserve"> Abstract Student engagement is widely considered to be a multidimensional construct consisting of behavioral, cognitive, and affective components. Recent research has examined student engagement in science learning contexts using holistic approaches that account for multidimensionality through the identification of engagement profiles. However, it is not yet clear whether identified science engagement profiles are consistent across different samples, different learning environments, or different modes of measurement. Using data from three extant datasets involving middle‐ and high‐school aged youth, we explored the consistency of students' situational engagement profiles across science learning environments (formal and informal) and modes of measurement (experience sampling and end‐of‐class reports). Results from latent profile analyses of students' behavioral, cognitive, and affective engagement identified four common profiles across the three datasets, though each dataset had its own unique profile solution (ranging from five to seven profiles). Consistent profiles across the three datasets included universally low, moderate, recreational, and full engagement. Three additional engagement profiles were identified (rational, purposeful, and busy engagement), though they emerged inconsistently across the samples. Findings speak to the applicability of conceptual frameworks of en</w:t>
      </w:r>
    </w:p>
    <w:p>
      <w:pPr/>
      <w:r>
        <w:rPr>
          <w:b/>
        </w:rPr>
        <w:t>POSSIBLE 2024:</w:t>
      </w:r>
      <w:r>
        <w:t xml:space="preserve"> Empowering student self‐regulated learning and science education through ChatGPT : A pioneering pilot study — https://doi.org/10.1111/bjet.13454</w:t>
      </w:r>
    </w:p>
    <w:p>
      <w:pPr/>
      <w:r>
        <w:rPr>
          <w:b/>
        </w:rPr>
        <w:t>Shared claim-specific concepts:</w:t>
      </w:r>
      <w:r>
        <w:t xml:space="preserve"> findings, recent, shown, science, learning, students; EU scope not established. This is a provisional connection, not an outcome finding.</w:t>
      </w:r>
    </w:p>
    <w:p>
      <w:pPr>
        <w:pStyle w:val="SourceNote"/>
      </w:pPr>
      <w:r>
        <w:rPr>
          <w:b/>
        </w:rPr>
        <w:t>Available abstract (not full text):</w:t>
      </w:r>
      <w:r>
        <w:t xml:space="preserve"> In recent years, AI technologies have been developed to promote students' self‐regulated learning (SRL) and proactive learning in digital learning environments. This paper discusses a comparative study between generative AI‐based (SRLbot) and rule‐based AI chatbots (Nemobot) in a 3‐week science learning experience with 74 Secondary 4 students in Hong Kong. The experimental group used SRLbot to maintain a regular study habit and facilitate their SRL, while the control group utilized rule‐based AI chatbots. Results showed that SRLbot effectively enhanced students' science knowledge, behavioural engagement and motivation. Quantile regression analysis indicated that the number of interactions significantly predicted variations in SRL. Students appreciated the personalized recommendations and flexibility of SRLbot, which adjusted responses based on their specific learning and SRL scenarios. The ChatGPT‐enhanced instructional design reduced learning anxiety and promoted learning performance, motivation and sustained learning habits. Students' feedback on learning challenges, psychological support and self‐regulation behaviours provided insights into their progress and experience with this technology. SRLbot's adaptability and personalized approach distinguished it from rule‐based chatbots. The findings offer valuable evidence for AI developers and educators to consider generative AI </w:t>
      </w:r>
    </w:p>
    <w:p>
      <w:pPr>
        <w:pStyle w:val="Heading2"/>
      </w:pPr>
      <w:r>
        <w:t>526.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time, temperature, measures, increase,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TDM and AI Training in the European Union – From ‘ LAION ’ to Possible Ways Ahead? — https://doi.org/10.1093/grurint/ikaf114</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Abstract The first judgments have been rendered in the European Union that directly or indirectly deal with AI training, and the corresponding applicability, conditions and scope of the European exception to copyright for commercial text and data mining (TDM). These judgments serve as important impulses for the future interpretation of the provision and the current legal and policy debate on AI training and TDM in the EU. The most pressing question is how to define the requirements for a machine-readable opt-out pursuant to Art. 4(3) DSM Directive, even more so since Art. 53(1)(c) AI Act obliges providers of general-purpose AI models to put in place a policy to identify and comply with corresponding reservations of rights during the training process – even when carried out in a third country outside the EU. This is not only relevant from a doctrinal point of view. Rather, the interpretation and specification of and the interplay between Art. 4(3) DSM Directive and Art. 53(1)(c) AI Act are of key importance for future global AI training practice. At the same time, these provisions constitute the main anchoring point in EU copyright law for reflecting on the possible development of licensing markets for AI training material and/or possible de lege ferenda options under a legal policy perspective.</w:t>
      </w:r>
    </w:p>
    <w:p>
      <w:pPr/>
      <w:r>
        <w:rPr>
          <w:b/>
        </w:rPr>
        <w:t>POSSIBLE 2025:</w:t>
      </w:r>
      <w:r>
        <w:t xml:space="preserve"> Updated monthly homogenized precipitation analysis HOMPRA Europe 2 online — https://doi.org/10.5194/ems2025-682</w:t>
      </w:r>
    </w:p>
    <w:p>
      <w:pPr/>
      <w:r>
        <w:rPr>
          <w:b/>
        </w:rPr>
        <w:t>Shared claim-specific concepts:</w:t>
      </w:r>
      <w:r>
        <w:t xml:space="preserve"> same, time, possible, minimum; EU scope visible. This is a provisional connection, not an outcome finding.</w:t>
      </w:r>
    </w:p>
    <w:p>
      <w:pPr>
        <w:pStyle w:val="SourceNote"/>
      </w:pPr>
      <w:r>
        <w:rPr>
          <w:b/>
        </w:rPr>
        <w:t>Available abstract (not full text):</w:t>
      </w:r>
      <w:r>
        <w:t xml:space="preserve"> Reliable data is essential for robust precipitation trend analyses. However, long time series in particular often contain artificial changes due to changes in the measurement conditions (e.g. instrument changes or relocations). These can lead to an artificial signal in the data and mask the actual changes in the time series. In order to perform long-term precipitation change analyses, the monthly grid product HOMPRA Europe 2 (HOMogenized PRecipitation Analysis of European in-situ data) was developed at the Global Precipitation Climatology Centre (GPCC) and is available for the period 1951-2015 with 0.5°, 1.0° and 2.5° spatial resolution. The database consists of monthly time series carefully selected from the GPCC's data archive with less than 20% missing values. All data have already passed the GPCC's semi-automatic quality control. Compared to its predecessor, the number of incoming stations has increased from 5373 to 7916 and the data set has been extended from 2005 to 2015. The selected time series have been homogenized. This process recognizes and corrects the artificial influences as far as possible while retaining the natural changes. The actual algorithm is essentially based on three steps (Rustemeier et al., 2017): Selection of overlapping station networks located in the same precipitation regime, based on rank correlation and Ward's method of minimum variance. The nat</w:t>
      </w:r>
    </w:p>
    <w:p>
      <w:pPr/>
      <w:r>
        <w:rPr>
          <w:b/>
        </w:rPr>
        <w:t>POSSIBLE 2025:</w:t>
      </w:r>
      <w:r>
        <w:t xml:space="preserve"> A Possible Way to Enhance European Competitiveness — https://doi.org/10.34190/ecie.20.1.3930</w:t>
      </w:r>
    </w:p>
    <w:p>
      <w:pPr/>
      <w:r>
        <w:rPr>
          <w:b/>
        </w:rPr>
        <w:t>Shared claim-specific concepts:</w:t>
      </w:r>
      <w:r>
        <w:t xml:space="preserve"> possible, increase, area;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Shorter and Warmer Winters Expand the Hibernation Area of Bats in Europe — https://doi.org/10.1111/ele.70119</w:t>
      </w:r>
    </w:p>
    <w:p>
      <w:pPr/>
      <w:r>
        <w:rPr>
          <w:b/>
        </w:rPr>
        <w:t>Shared claim-specific concepts:</w:t>
      </w:r>
      <w:r>
        <w:t xml:space="preserve"> winter, temperature, climate, area; EU scope visible. This is a provisional connection, not an outcome finding.</w:t>
      </w:r>
    </w:p>
    <w:p>
      <w:pPr>
        <w:pStyle w:val="SourceNote"/>
      </w:pPr>
      <w:r>
        <w:rPr>
          <w:b/>
        </w:rPr>
        <w:t>Available abstract (not full text):</w:t>
      </w:r>
      <w:r>
        <w:t xml:space="preserve"> Predicting species range shifts in response to environmental change requires the determination of regions where individuals maintain a positive energy budget. For hibernating animals, this budget depends on two physiological states (normothermy and torpor) that alternate in response to ambient temperature. To study range shifts of hibernators like the common noctule (Nyctalus noctula), we developed an ecophysiological approach that integrates metabolic rates, physiological states, and environmental conditions. Our model accurately hindcasted the northward range shift of this migratory bat over the past 50 years. Under climate change forecasts SSP1-2.6, SSP2-4.5, SSP3-7.0, and SSP5-8.5, for which winters will shorten by 1.4-41 days and warm by 0.11°C-2.3°C, the hibernation area is predicted to shift by 78-732 km and expand north-eastward by 5.8%-14% by 2100. Mean ambient temperature and winter duration prove sufficient to approximate the hibernation niche and may be used to predict changes in hibernation areas where collecting physiological measurements is difficult.</w:t>
      </w:r>
    </w:p>
    <w:p>
      <w:pPr/>
      <w:r>
        <w:rPr>
          <w:b/>
        </w:rPr>
        <w:t>POSSIBLE 2025:</w:t>
      </w:r>
      <w:r>
        <w:t xml:space="preserve"> Winter stratospheric extreme events impact European storm damage — https://doi.org/10.1038/s43247-025-02431-w</w:t>
      </w:r>
    </w:p>
    <w:p>
      <w:pPr/>
      <w:r>
        <w:rPr>
          <w:b/>
        </w:rPr>
        <w:t>Shared claim-specific concepts:</w:t>
      </w:r>
      <w:r>
        <w:t xml:space="preserve"> winter, increase, climate; EU scope visible. This is a provisional connection, not an outcome finding.</w:t>
      </w:r>
    </w:p>
    <w:p>
      <w:pPr>
        <w:pStyle w:val="SourceNote"/>
      </w:pPr>
      <w:r>
        <w:rPr>
          <w:b/>
        </w:rPr>
        <w:t>Available abstract (not full text):</w:t>
      </w:r>
      <w:r>
        <w:t xml:space="preserve"> Extreme stratospheric events, such as sudden stratospheric warmings or strong polar vortex events, can have a persistent influence on winter surface weather. While these changes often lead to shifts in extratropical cyclone tracks and increased risk of extreme winds, flooding, or heavy snowfall, there has been no systematic effort to quantify their associated impacts with respect to stratospheric forcing. Here we establish the connection between stratospheric extreme events and midlatitude storms in the Euro-Atlantic region using reanalysis of the European Centre for Medium-Range Weather Forecasts and impact datasets. We show that storm-related hazards in northern Europe occur more frequently following strong vortex events than after sudden stratospheric warmings. Moreover, stratospheric forcing shapes the geographic pattern of storm impacts. Quantifying these connections - from precursors to hazards and impacts - can enable earlier warnings for society and for decision-makers in sectors such as emergency preparedness, public health, energy, and water management. Stratospheric extremes might contribute to an increase in the total counts of storm-related disasters in Europe during winter, according to analysis of climate reanalysis dataset as well as impact and disaster records.</w:t>
      </w:r>
    </w:p>
    <w:p>
      <w:pPr/>
      <w:r>
        <w:rPr>
          <w:b/>
        </w:rPr>
        <w:t>POSSIBLE 2025:</w:t>
      </w:r>
      <w:r>
        <w:t xml:space="preserve"> Multidecadal variability of the ENSO early-winter teleconnection to Europe and implications for seasonal forecasting — https://doi.org/10.1038/s41612-025-01160-3</w:t>
      </w:r>
    </w:p>
    <w:p>
      <w:pPr/>
      <w:r>
        <w:rPr>
          <w:b/>
        </w:rPr>
        <w:t>Shared claim-specific concepts:</w:t>
      </w:r>
      <w:r>
        <w:t xml:space="preserve"> temperature, climate, sea; EU scope visible. This is a provisional connection, not an outcome finding.</w:t>
      </w:r>
    </w:p>
    <w:p>
      <w:pPr>
        <w:pStyle w:val="SourceNote"/>
      </w:pPr>
      <w:r>
        <w:rPr>
          <w:b/>
        </w:rPr>
        <w:t>Available abstract (not full text):</w:t>
      </w:r>
      <w:r>
        <w:t xml:space="preserve"> Abstract The impacts of the El Niño-Southern Oscillation (ENSO) on the climate of the North Atlantic and Europe (NAE) are season-dependent and, in some cases, neither symmetric nor stationary. Generally, ENSO teleconnections involve different tropospheric mechanisms, depending on the ocean background state. However, the impacts and mechanisms of the ENSO teleconnection to NAE in early-winter (November-December) remain unclear. Here, the teleconnection is analysed for different sea surface temperature background states of the Pacific Ocean. Using gridded reanalysis and observational datasets, the results reveal that the teleconnection is not stationary and has changed with the Pacific Decadal Oscillation (PDO) phase, leading to distinct impacts on the surface climate in Europe. The SEAS5 dynamical seasonal prediction model from ECMWF accurately captures ENSO as a source of early-winter predictability over Europe. Moreover, the model's teleconnection and predictive capability show multi-decadal variability. This implies the emergence of windows of opportunity for seasonal forecasting, where predictability may be higher than initially expected.</w:t>
      </w:r>
    </w:p>
    <w:p>
      <w:pPr/>
      <w:r>
        <w:rPr>
          <w:b/>
        </w:rPr>
        <w:t>POSSIBLE 2024:</w:t>
      </w:r>
      <w:r>
        <w:t xml:space="preserve"> The possible future of electric road systems in Europe—time to decide and act — https://doi.org/10.1088/2634-4505/ad3576</w:t>
      </w:r>
    </w:p>
    <w:p>
      <w:pPr/>
      <w:r>
        <w:rPr>
          <w:b/>
        </w:rPr>
        <w:t>Shared claim-specific concepts:</w:t>
      </w:r>
      <w:r>
        <w:t xml:space="preserve"> time, possible, climate; EU scope visible. This is a provisional connection, not an outcome finding.</w:t>
      </w:r>
    </w:p>
    <w:p>
      <w:pPr>
        <w:pStyle w:val="SourceNote"/>
      </w:pPr>
      <w:r>
        <w:rPr>
          <w:b/>
        </w:rPr>
        <w:t>Available abstract (not full text):</w:t>
      </w:r>
      <w:r>
        <w:t xml:space="preserve"> Abstract Electrification of road transport is crucial to limit global warming. Battery electric vehicles with stationary charging infrastructure have received considerable attention in the scientific literature for both cars and trucks, while dynamic charging via electric road systems (ERS) has received much less attention and their future role in low-carbon road transport is uncertain. Here, we envision three potential scenarios for the future of ERS in European low-carbon transport. We sketch a potential European ERS network and discuss the political, technological, and market steps needed to realize these. We argue that existing field trials, tests, and research projects have collected sufficient evidence to make the next step: Decide and act. Decision-makers will never have perfect information about all aspects of ERS or competing technologies, but the urgency of the climate crisis requires a commitment one way or the other. A clear decision with respect to ERS would send a clear directive and would help focus time, effort, and money on the necessary infrastructure and policies to implement ambitious GHG abatement targets in road transport.</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decrease, winter, increase, climate;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pStyle w:val="Heading2"/>
      </w:pPr>
      <w:r>
        <w:t>527.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2024:</w:t>
      </w:r>
      <w:r>
        <w:t xml:space="preserve"> Evaluation of an automated decision aid for the further referral of emergency room patients — https://doi.org/10.3238/arztebl.m2024.0191</w:t>
      </w:r>
    </w:p>
    <w:p>
      <w:pPr/>
      <w:r>
        <w:rPr>
          <w:b/>
        </w:rPr>
        <w:t>Shared claim-specific concepts:</w:t>
      </w:r>
      <w:r>
        <w:t xml:space="preserve"> there, room, further, application; EU scope visible. This is a provisional connection, not an outcome finding.</w:t>
      </w:r>
    </w:p>
    <w:p>
      <w:pPr>
        <w:pStyle w:val="SourceNote"/>
      </w:pPr>
      <w:r>
        <w:rPr>
          <w:b/>
        </w:rPr>
        <w:t>Available abstract (not full text):</w:t>
      </w:r>
      <w:r>
        <w:t xml:space="preserve">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r>
        <w:rPr>
          <w:b/>
        </w:rPr>
        <w:t>POSSIBLE 2024:</w:t>
      </w:r>
      <w:r>
        <w:t xml:space="preserve"> MODELING THE ENTRY OF AIR CONTAMINANTS INTO A ROOM — https://doi.org/10.31650/2618-0650-2024-6-2-58-76</w:t>
      </w:r>
    </w:p>
    <w:p>
      <w:pPr/>
      <w:r>
        <w:rPr>
          <w:b/>
        </w:rPr>
        <w:t>Shared claim-specific concepts:</w:t>
      </w:r>
      <w:r>
        <w:t xml:space="preserve"> room, carbon, possible; EU scope not established. This is a provisional connection, not an outcome finding.</w:t>
      </w:r>
    </w:p>
    <w:p>
      <w:pPr>
        <w:pStyle w:val="SourceNote"/>
      </w:pPr>
      <w:r>
        <w:rPr>
          <w:b/>
        </w:rPr>
        <w:t>Available abstract (not full text):</w:t>
      </w:r>
      <w:r>
        <w:t xml:space="preserve"> A mathematical model of air contaminant (products of human activity) inflow into the isolated air space has been developed. On the basis of the formula modified by us the simulation of human respiration with carbon dioxide, water vapor and heat emission is implemented. The model also takes into account the heat input from the human body through clothing. Applying numerical modelling ANSYS CFD (Computational Fluid Dynamics) on the basis of continuity equations and Reynolds-Averaged Navier-Stokes equations "RANS" (Reynolds-Averaged Navier-Stokes) the following results on air medium state change in the isolated space were obtained: - the human respiratory cycle is modelled at simultaneous heat transfer from the body surface through clothes into the studied air space; - the exponential equation of the trend line of concentration to observation time was obtained; - monitoring and rendering (visualization) of changes in concentration, temperature and relative humidity in the space under study by time along the room height was performed. These results and regularities served as initial data for solving a number of model non-stationary problems on aerodynamics and heat and mass transfer in the room. The inverse problem of general exchange ventilation was to be solved. Changes in the state of the air environment initially contaminated with carbon dioxide, heat and water vapors were stud</w:t>
      </w:r>
    </w:p>
    <w:p>
      <w:pPr/>
      <w:r>
        <w:rPr>
          <w:b/>
        </w:rPr>
        <w:t>POSSIBLE 2024:</w:t>
      </w:r>
      <w:r>
        <w:t xml:space="preserve"> Modelling potential distribution of the invasive box tree moth across Asia, Europe, and North America — https://doi.org/10.1371/journal.pone.0302259</w:t>
      </w:r>
    </w:p>
    <w:p>
      <w:pPr/>
      <w:r>
        <w:rPr>
          <w:b/>
        </w:rPr>
        <w:t>Shared claim-specific concepts:</w:t>
      </w:r>
      <w:r>
        <w:t xml:space="preserve"> further, possible; EU scope visible. This is a provisional connection, not an outcome finding.</w:t>
      </w:r>
    </w:p>
    <w:p>
      <w:pPr>
        <w:pStyle w:val="SourceNote"/>
      </w:pPr>
      <w:r>
        <w:rPr>
          <w:b/>
        </w:rPr>
        <w:t>Available abstract (not full text):</w:t>
      </w:r>
      <w:r>
        <w:t xml:space="preserve"> The box tree moth Cydalima perspectalis (Walker) (Lepidoptera: Crambidae) (BTM) is a native moth throughout eastern Asia, having recently become invasive in Europe (2007) where it feeds on boxwood (= box tree), Buxus spp. The moth rapidly spread across Europe and the Caucasus causing damage to both ornamental and wild Buxus. In 2018, C. perspectalis was found in Toronto, ON, Canada, and has since spread south into the US. To better predict where the moth will establish and have significant impact on ornamental trade in North America, we used most recent scientific literature and distribution points to update the temperature and diapause indices of an existing ecoclimatic CLIMEX model. The model parameters provided a good fit for the potential distribution of BTM compared to its known distribution across eastern Asia and in Europe. Interestingly, our results suggest that the current native distribution in Asia is incomplete and that further expansion is also possible in its introduced range, especially in northern Europe, along the Mediterranean coast of Africa, and eastward to central Russia. In North America, the model predicts that most of North America should be climatically suitable for the moth's establishment, with the exception of Alaska and the northern territories of Canada, as well as higher elevations in the Rocky Mountains and southern hot and dry areas. Our study h</w:t>
      </w:r>
    </w:p>
    <w:p>
      <w:pPr/>
      <w:r>
        <w:rPr>
          <w:b/>
        </w:rPr>
        <w:t>POSSIBLE 2023:</w:t>
      </w:r>
      <w:r>
        <w:t xml:space="preserve"> Hyper-resolution PCR-GLOBWB: opportunities and challenges from refining model spatial resolution to 1 km over the European continent — https://doi.org/10.5194/hess-27-1383-2023</w:t>
      </w:r>
    </w:p>
    <w:p>
      <w:pPr/>
      <w:r>
        <w:rPr>
          <w:b/>
        </w:rPr>
        <w:t>Shared claim-specific concepts:</w:t>
      </w:r>
      <w:r>
        <w:t xml:space="preserve"> application, applied; EU scope visible. This is a provisional connection, not an outcome finding.</w:t>
      </w:r>
    </w:p>
    <w:p>
      <w:pPr>
        <w:pStyle w:val="SourceNote"/>
      </w:pPr>
      <w:r>
        <w:rPr>
          <w:b/>
        </w:rPr>
        <w:t>Available abstract (not full text):</w:t>
      </w:r>
      <w:r>
        <w:t xml:space="preserve"> Abstract. The quest for hydrological hyper-resolution modelling is already on-going for more than a decade. While global hydrological models (GHMs) have seen a reduction in grid size, thus far they never have been consistently applied at hyper-resolution (&lt;= 1km) at the large scale. Here, we present the first application of the GHM PCR-GLOBWB at 1 km over Europe. We thoroughly evaluated simulated discharge, evaporation, soil moisture, and terrestrial water storage anomalies, and subsequently compared results with the ‘established’ 10 km and 50 km resolutions of PCR-GLOBWB. Subsequently, we could assess the added value of this first hyper-resolution version of PCR-GLOBWB as well as understand model and data requirements for future improvements. We found that for most variables epistemic uncertainty is still large. Merely for simulated discharge we can confidently state that model output at hyper-resolution improves over coarser resolutions. This first large-scale hyper-resolution modelling attempt shows that applying a GHM consistently is by now feasible with improved data availability and computer power. Also, simulated discharge improves due to better representation of the river network at 1 km. However, currently available observations are not yet widely available at hyper-resolution or lack sufficiently long timeseries, which makes it difficult to assess the performance of t</w:t>
      </w:r>
    </w:p>
    <w:p>
      <w:pPr/>
      <w:r>
        <w:rPr>
          <w:b/>
        </w:rPr>
        <w:t>POSSIBLE 2023:</w:t>
      </w:r>
      <w:r>
        <w:t xml:space="preserve"> Pricing and Optimization Model of European Options — https://doi.org/10.54097/hbem.v21i.14412</w:t>
      </w:r>
    </w:p>
    <w:p>
      <w:pPr/>
      <w:r>
        <w:rPr>
          <w:b/>
        </w:rPr>
        <w:t>Shared claim-specific concepts:</w:t>
      </w:r>
      <w:r>
        <w:t xml:space="preserve"> application, applied, improve; EU scope visible. This is a provisional connection, not an outcome finding.</w:t>
      </w:r>
    </w:p>
    <w:p>
      <w:pPr>
        <w:pStyle w:val="SourceNote"/>
      </w:pPr>
      <w:r>
        <w:rPr>
          <w:b/>
        </w:rPr>
        <w:t>Available abstract (not full text):</w:t>
      </w:r>
      <w:r>
        <w:t xml:space="preserve"> Financial market forecasts are gradually gaining the attention of investors. The options market is an integral and important part. Commonly used analysis methods include traditional BS formula and CRR model. This article obtained the transaction data of SP&amp;500 from February 2013 to February 2018, used the data of the first 4 years to train the model, and finally explored the actual price and predicted value of the European call option. To forecast the stock price, a hidden Markov model (HMM) is first applied. And on this basis, improve the parameter estimation in the traditional method BS-CRR, and compare each model with the actual value of the option. Compared with the traditional model, to some extent, the Hidden Markov Model can predict the state of the stock market., get rid of the limitations of the BS model assumptions, predict the direction of the price trend, and verify the feasibility of its application in the financial field.</w:t>
      </w:r>
    </w:p>
    <w:p>
      <w:pPr>
        <w:pStyle w:val="Heading2"/>
      </w:pPr>
      <w:r>
        <w:t>528.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r>
        <w:rPr>
          <w:b/>
        </w:rPr>
        <w:t>POSSIBLE 2024:</w:t>
      </w:r>
      <w:r>
        <w:t xml:space="preserve"> scEpiAge: an age predictor highlighting single-cell ageing heterogeneity in mouse blood — https://doi.org/10.1038/s41467-024-51833-5</w:t>
      </w:r>
    </w:p>
    <w:p>
      <w:pPr/>
      <w:r>
        <w:rPr>
          <w:b/>
        </w:rPr>
        <w:t>Shared claim-specific concepts:</w:t>
      </w:r>
      <w:r>
        <w:t xml:space="preserve"> predict, single, develop; EU scope not established. This is a provisional connection, not an outcome finding.</w:t>
      </w:r>
    </w:p>
    <w:p>
      <w:pPr>
        <w:pStyle w:val="SourceNote"/>
      </w:pPr>
      <w:r>
        <w:rPr>
          <w:b/>
        </w:rPr>
        <w:t>Available abstract (not full text):</w:t>
      </w:r>
      <w:r>
        <w:t xml:space="preserve"> Ageing is the accumulation of changes and decline of function of organisms over time. The concept and biomarkers of biological age have been established, notably DNA methylation-based clocks. The emergence of single-cell DNA methylation profiling methods opens the possibility of studying the biological age of individual cells. Here, we generate a large single-cell DNA methylation and transcriptome dataset from mouse peripheral blood samples, spanning a broad range of ages. The number of genes expressed increases with age, but gene-specific changes are small. We next develop scEpiAge, a single-cell DNA methylation age predictor, which can accurately predict age in (very sparse) publicly available datasets, and also in single cells. DNA methylation age distribution is wider than technically expected, indicating epigenetic age heterogeneity and functional differences. Our work provides a foundation for single-cell and sparse data epigenetic age predictors, validates their functionality and highlights epigenetic heterogeneity during ageing.</w:t>
      </w:r>
    </w:p>
    <w:p>
      <w:pPr/>
      <w:r>
        <w:rPr>
          <w:b/>
        </w:rPr>
        <w:t>POSSIBLE 2024:</w:t>
      </w:r>
      <w:r>
        <w:t xml:space="preserve"> Predictive coding with spiking neurons and feedforward gist signaling — https://doi.org/10.3389/fncom.2024.1338280</w:t>
      </w:r>
    </w:p>
    <w:p>
      <w:pPr/>
      <w:r>
        <w:rPr>
          <w:b/>
        </w:rPr>
        <w:t>Shared claim-specific concepts:</w:t>
      </w:r>
      <w:r>
        <w:t xml:space="preserve"> uses, alternative, plausible; EU scope not established. This is a provisional connection, not an outcome finding.</w:t>
      </w:r>
    </w:p>
    <w:p>
      <w:pPr>
        <w:pStyle w:val="SourceNote"/>
      </w:pPr>
      <w:r>
        <w:rPr>
          <w:b/>
        </w:rPr>
        <w:t>Available abstract (not full text):</w:t>
      </w:r>
      <w:r>
        <w:t xml:space="preserve"> Abstract Predictive coding (PC) is an influential theory in neuroscience, which suggests the existence of a cortical architecture that is constantly generating and updating predictive representations of sensory inputs. Owing to its hierarchical and generative nature, PC has inspired many computational models of perception in the literature. However, the biological plausibility of existing models has not been sufficiently explored due to their use of artificial neural network features such as a non-linear, continuous, and clock-driven function approximator as basic unit of computation. Therefore, we have developed a spiking neural network for predictive coding (SNN-PC), in which neurons communicate using event-driven and asynchronous spikes. While adopting the hierarchical structure and Hebbian learning algorithms from previous PC neural network models, SNN-PC introduces two novel features: 1) a fast feedforward sweep from the input to higher areas, which generates a spatially reduced and abstract representation of input (i.e., a neural code for the gist of a scene) and provides a neurobiological alternative to an arbitrary choice of priors; and 2) a separation of positive and negative error-computing neurons, which counters the biological implausibility of a bi-directional error neuron with a very high basal firing rate. After training with the MNIST handwritten digit dataset, </w:t>
      </w:r>
    </w:p>
    <w:p>
      <w:pPr/>
      <w:r>
        <w:rPr>
          <w:b/>
        </w:rPr>
        <w:t>POSSIBLE 2024:</w:t>
      </w:r>
      <w:r>
        <w:t xml:space="preserve"> Biased expectations about future choice options predict sequential economic decisions — https://doi.org/10.1038/s44271-024-00172-8</w:t>
      </w:r>
    </w:p>
    <w:p>
      <w:pPr/>
      <w:r>
        <w:rPr>
          <w:b/>
        </w:rPr>
        <w:t>Shared claim-specific concepts:</w:t>
      </w:r>
      <w:r>
        <w:t xml:space="preserve"> predict, version, several; EU scope not established. This is a provisional connection, not an outcome finding.</w:t>
      </w:r>
    </w:p>
    <w:p>
      <w:pPr>
        <w:pStyle w:val="SourceNote"/>
      </w:pPr>
      <w:r>
        <w:rPr>
          <w:b/>
        </w:rPr>
        <w:t>Available abstract (not full text):</w:t>
      </w:r>
      <w:r>
        <w:t xml:space="preserve"> Considerable research has shown that people make biased decisions in "optimal stopping problems", where options are encountered sequentially, and there is no opportunity to recall rejected options or to know upcoming options in advance (e.g. when flat hunting or choosing a spouse). Here, we used computational modelling to identify the mechanisms that best explain decision bias in the context of an especially realistic version of this problem: the full-information problem. We eliminated a number of factors as potential instigators of bias. Then, we examined sequence length and payoff scheme: two manipulations where an optimality model recommends adjusting the sampling rate. Here, participants were more reluctant to increase their sampling rates when it was optimal to do so, leading to increased undersampling bias. Our comparison of several computational models of bias demonstrates that many participants maintain these relatively low sampling rates because of suboptimally pessimistic expectations about the quality of future options (i.e. a mis-specified prior distribution). These results support a new theory about how humans solve full information problems. Understanding the causes of decision error could enhance how we conduct real world sequential searches for options, for example how online shopping or dating applications present options to users.</w:t>
      </w:r>
    </w:p>
    <w:p>
      <w:pPr>
        <w:pStyle w:val="Heading2"/>
      </w:pPr>
      <w:r>
        <w:t>529.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2025:</w:t>
      </w:r>
      <w:r>
        <w:t xml:space="preserve"> The Types Of Illocutionary Found In The Main Character’s Utterances In Alladin Movie — https://doi.org/10.22334/traverse.v6i1.169</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pPr/>
      <w:r>
        <w:rPr>
          <w:b/>
        </w:rPr>
        <w:t>POSSIBLE 2025:</w:t>
      </w:r>
      <w:r>
        <w:t xml:space="preserve"> Prevalence of main soybean seed pathogens according to phytosanitary expertise results — https://doi.org/10.31073/kormovyrobnytstvo2025100-08</w:t>
      </w:r>
    </w:p>
    <w:p>
      <w:pPr/>
      <w:r>
        <w:rPr>
          <w:b/>
        </w:rPr>
        <w:t>Shared claim-specific concepts:</w:t>
      </w:r>
      <w:r>
        <w:t xml:space="preserve"> found, main, necessary; EU scope not established. This is a provisional connection, not an outcome finding.</w:t>
      </w:r>
    </w:p>
    <w:p>
      <w:pPr>
        <w:pStyle w:val="SourceNote"/>
      </w:pPr>
      <w:r>
        <w:rPr>
          <w:b/>
        </w:rPr>
        <w:t>Available abstract (not full text):</w:t>
      </w:r>
      <w:r>
        <w:t xml:space="preserve">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pPr/>
      <w:r>
        <w:rPr>
          <w:b/>
        </w:rPr>
        <w:t>POSSIBLE 2025:</w:t>
      </w:r>
      <w:r>
        <w:t xml:space="preserve"> The Illocutionary Acts Found in Main Characters’ Conversation of the Maleficent Movie — https://doi.org/10.24256/ideas.v12i2.5457</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pPr/>
      <w:r>
        <w:rPr>
          <w:b/>
        </w:rPr>
        <w:t>POSSIBLE 2025:</w:t>
      </w:r>
      <w:r>
        <w:t xml:space="preserve"> Changes in Ageism and LGBTIA Clinical Competency Following an LGBTIA Older Adult Competency Training — https://doi.org/10.1093/geroni/igaf122.3728</w:t>
      </w:r>
    </w:p>
    <w:p>
      <w:pPr/>
      <w:r>
        <w:rPr>
          <w:b/>
        </w:rPr>
        <w:t>Shared claim-specific concepts:</w:t>
      </w:r>
      <w:r>
        <w:t xml:space="preserve"> found, lack, skills, necessary; EU scope not established. This is a provisional connection, not an outcome finding.</w:t>
      </w:r>
    </w:p>
    <w:p>
      <w:pPr>
        <w:pStyle w:val="SourceNote"/>
      </w:pPr>
      <w:r>
        <w:rPr>
          <w:b/>
        </w:rPr>
        <w:t>Available abstract (not full text):</w:t>
      </w:r>
      <w:r>
        <w:t xml:space="preserve"> Abstract Lesbian, gay, bisexual, transgender, intersex, agender/asexual, and other sexual and gender minority (LGBTIA) older adults face health disparities relative to the general population (Lampe et al., 2023), due in part to unmet health needs through available healthcare and aging services (Gibson et al., 2019). Lack of culturally competent services emerged in a community needs assessment as a concern among LGBTIA older adults (Winberry, 2023). To address this, we conducted an LGBTIA older adult cultural competency training focused on preparing healthcare and other service providers with the knowledge and skills necessary to meet the needs of this population. Using paired sample t-tests, we examined how the training impacted ageist attitudes and LGBTIA clinical competency among participants (n = 43). The training reduced ageist attitudes among participants, t(33) = -3.94, p &lt; .001 with a moderate effect size (d = .47; Cohen, 1988). We also found that the training improved self-perceived clinical competency for working with LGBTQ+ individuals among participants, t(37) = 7.64, p &lt; .001 with a moderate effect size (d = .58; Cohen, 1988). We found similar results for clinical preparedness, t(39) = 2.57, p = .014 with a moderate effect size (d = .53; Cohen, 1988); attitudes toward LGBTIA individuals, t(39) = 2.57, p = .014 with a small effect size (d = .22; Cohen, 1988); and kno</w:t>
      </w:r>
    </w:p>
    <w:p>
      <w:pPr/>
      <w:r>
        <w:rPr>
          <w:b/>
        </w:rPr>
        <w:t>POSSIBLE 2025:</w:t>
      </w:r>
      <w:r>
        <w:t xml:space="preserve"> Overcoming virtual distance: a systematic review of leadership competencies for managing performance in telework — https://doi.org/10.3389/forgp.2024.1499248</w:t>
      </w:r>
    </w:p>
    <w:p>
      <w:pPr/>
      <w:r>
        <w:rPr>
          <w:b/>
        </w:rPr>
        <w:t>Shared claim-specific concepts:</w:t>
      </w:r>
      <w:r>
        <w:t xml:space="preserve"> found, lack, competencies; EU scope not established. This is a provisional connection, not an outcome finding.</w:t>
      </w:r>
    </w:p>
    <w:p>
      <w:pPr>
        <w:pStyle w:val="SourceNote"/>
      </w:pPr>
      <w:r>
        <w:rPr>
          <w:b/>
        </w:rPr>
        <w:t>Available abstract (not full text):</w:t>
      </w:r>
      <w:r>
        <w:t xml:space="preserve"> Introduction Leadership in organizations is facing important challenges related to technological and social developments. The widespread use of teleworking and remote work requires organizations to identify and develop leadership competencies adapted to this work context. This structured literature review explores empirical evidence on theleadership competencies that facilitate telework and how they contribute to achieving high levels of performance in teleworkers. Methods We analyzed 22 quantitative and 15 qualitative empirical articles (2000–2024) following PRISMA guidelines. We selected only research that concentrates on specific leadership competencies. Results The review shows that competencies oriented to decrease operational and social distance at work are positively related to individual and team task performance in organizations. There is some evidence of the relationship of those competencies with other dimensions of performance such as innovative performance or OCB. Leaders' digital communication emerges as the foremost competency, along with goal management, support and empowerment. To some extent, mechanisms such as trust, autonomy, and media usage have been found as intervening mechanisms. Moderators such as teleworkers' self-management and geographical distance have been identified. Discussion Substantial gaps in the literature were identified, including the lack</w:t>
      </w:r>
    </w:p>
    <w:p>
      <w:pPr/>
      <w:r>
        <w:rPr>
          <w:b/>
        </w:rPr>
        <w:t>POSSIBLE 2025:</w:t>
      </w:r>
      <w:r>
        <w:t xml:space="preserve"> Reflection on Indonesia's PISA Scores and the 2024 Madrasah Teacher Competency Assessment Results: Challenges in Enhancing Teacher Competence — https://doi.org/10.37630/jpi.v15i1.2559</w:t>
      </w:r>
    </w:p>
    <w:p>
      <w:pPr/>
      <w:r>
        <w:rPr>
          <w:b/>
        </w:rPr>
        <w:t>Shared claim-specific concepts:</w:t>
      </w:r>
      <w:r>
        <w:t xml:space="preserve"> found, main, lack, skills, teachers; EU scope not established. This is a provisional connection, not an outcome finding.</w:t>
      </w:r>
    </w:p>
    <w:p>
      <w:pPr>
        <w:pStyle w:val="SourceNote"/>
      </w:pPr>
      <w:r>
        <w:rPr>
          <w:b/>
        </w:rPr>
        <w:t>Available abstract (not full text):</w:t>
      </w:r>
      <w:r>
        <w:t xml:space="preserve"> The low score of Programme for International Student Assessment (PISA) of Indonesian students in 2022 is a serious concern in education. PISA results show that Indonesian students' literacy, numeracy and science skills are still below the international average. One of the factors contributing to this problem is the suboptimal quality of teachers. Based on the results of the Assessment of the Competence of Madrasah Teachers and Education Personnel in 2024, it was found that many teachers still have limitations in pedagogic, literacy and numeracy aspects. This study aims to analyse the relationship between the low PISA scores of Indonesian students and the quality of teacher competence through a descriptive approach. Using a descriptive quantitative approach, this study processes secondary data from the results of teacher competency assessments covering pedagogic, professional, social, and personality aspects. The results show that there is a significant relationship between low teacher competence and student academic achievement. Some of the main points found were weak mastery of higher-order thinking skills (HOTS)-based learning concepts, lack of innovation in learning methods, and minimal utilisation of technology in the teaching process. In addition, many teachers do not have effective strategies to improve students' literacy and numeracy skills. Efforts to improve the qualit</w:t>
      </w:r>
    </w:p>
    <w:p>
      <w:pPr/>
      <w:r>
        <w:rPr>
          <w:b/>
        </w:rPr>
        <w:t>POSSIBLE 2025:</w:t>
      </w:r>
      <w:r>
        <w:t xml:space="preserve"> Teaching competencies according to The TPACK model for chemistry teachers in Iraq — https://doi.org/10.53894/ijirss.v8i2.6071</w:t>
      </w:r>
    </w:p>
    <w:p>
      <w:pPr/>
      <w:r>
        <w:rPr>
          <w:b/>
        </w:rPr>
        <w:t>Shared claim-specific concepts:</w:t>
      </w:r>
      <w:r>
        <w:t xml:space="preserve"> found, lack, competencies, teachers; EU scope not established. This is a provisional connection, not an outcome finding.</w:t>
      </w:r>
    </w:p>
    <w:p>
      <w:pPr>
        <w:pStyle w:val="SourceNote"/>
      </w:pPr>
      <w:r>
        <w:rPr>
          <w:b/>
        </w:rPr>
        <w:t>Available abstract (not full text):</w:t>
      </w:r>
      <w:r>
        <w:t xml:space="preserve"> The research aims to identify the degree of availability of teaching competencies according to the TPACK model among chemistry teachers in secondary schools in Iraq. The study used a descriptive correlational research method, with 300 teachers from day and evening secondary schools in Baghdad Al-Rusafa Governorate selected randomly for the 2022-2023 academic year. The TPACK model was used to assess teaching competencies, which consisted of 45 items across seven domains: content knowledge, educational knowledge, technological knowledge, content and educational knowledge, technology and content knowledge, technology and educational knowledge, and technology, education, and content knowledge. The results of the research showed that there is a weakness in the degree of availability of teaching competencies according to the TPACK model among chemistry teachers. The questionnaire as a whole indicated this, as shown by the results. The study found a lack of availability in areas of teaching competencies such as educational knowledge, technological knowledge, knowledge of technology and content, and knowledge of technology and education. However, the field of content knowledge was available. The researchers recommended in-service teacher training programs to integrate technology, education, and content knowledge.</w:t>
      </w:r>
    </w:p>
    <w:p>
      <w:pPr/>
      <w:r>
        <w:rPr>
          <w:b/>
        </w:rPr>
        <w:t>POSSIBLE 2025:</w:t>
      </w:r>
      <w:r>
        <w:t xml:space="preserve"> Disaster Responder Competencies for Emergency Medical Teams: A Scoping Review — https://doi.org/10.1017/s1049023x2500041x</w:t>
      </w:r>
    </w:p>
    <w:p>
      <w:pPr/>
      <w:r>
        <w:rPr>
          <w:b/>
        </w:rPr>
        <w:t>Shared claim-specific concepts:</w:t>
      </w:r>
      <w:r>
        <w:t xml:space="preserve"> found, lack, competencies, time; EU scope not established. This is a provisional connection, not an outcome finding.</w:t>
      </w:r>
    </w:p>
    <w:p>
      <w:pPr>
        <w:pStyle w:val="SourceNote"/>
      </w:pPr>
      <w:r>
        <w:rPr>
          <w:b/>
        </w:rPr>
        <w:t>Available abstract (not full text):</w:t>
      </w:r>
      <w:r>
        <w:t xml:space="preserve"> Background/Introduction: Historically, medical response efforts to large-scale disaster events have highlighted significant variability in the capabilities of responding medical providers and emergency medical teams (EMTs). Analysis of the 2010 Haiti earthquake response found that a number of medical teams were poorly prepared, inexperienced, or lacked the competencies to provide the level of medical care required, highlighting the need for medical team standards. The World Health Organization (WHO) EMT initiative that followed created minimum team standards for responding international EMTs to improve the quality and timeliness of medical services. At the present time however, there remains a lack of globally recognized minimum competency standards at the level of the individual disaster medical responder, allowing for continued variability in patient care. Objectives: This study examines existing competencies for physicians, nurses, and paramedics who are members of deployable disaster response teams. Method/Description: A scoping review of published English-language articles on existing competencies for physicians, nurses, and paramedics who are members of deployable disaster response teams was performed in Ovid MEDLINE, Ovid Embase, CINAHL, Scopus, and Web of Science Core Collection. A total of 3,474 articles will be reviewed. Results/Outcomes: Data to be analyzed by Octobe</w:t>
      </w:r>
    </w:p>
    <w:p>
      <w:pPr/>
      <w:r>
        <w:rPr>
          <w:b/>
        </w:rPr>
        <w:t>POSSIBLE 2025:</w:t>
      </w:r>
      <w:r>
        <w:t xml:space="preserve"> Managerial Competencies and Performance of Small and Medium Enterprises in Yangon, Myanmar — https://doi.org/10.35912/ijfam.v7i1.2669</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Purpose: This study explores the effect of managerial competencies on the performance of SMEs in Yangon, Myanmar. Methods: A mixed-method approach was employed, combining qualitative and quantitative data. A structured questionnaire was distributed to 370 SMEs in Yangon, selected through a stratified random sampling technique, and regression analysis was used for quantitative data. In addition, 10 participants were interviewed for the qualitative portion, and thematic analysis was applied to the qualitative data. Results: The quantitative findings indicate that managerial skills positively impact SME performance, although the influence of certain competencies on business outcomes differs depending on the firm's size. Qualitative analysis revealed that while most SMEs acknowledged the significance of conceptual and technological skills, they were less aware of the importance of human competencies. Furthermore, respondents highlighted the necessity of significant investment to promote business growth and innovation, but these requirements were largely neglected by the government. Conclusions: This study found that managerial competencies significantly influence SME performance in Yangon, with technical skills being crucial for small businesses and broader competencies for medium-sized businesses. Many SME owners lack awareness of human competencies and face ongoing challenges, pa</w:t>
      </w:r>
    </w:p>
    <w:p>
      <w:pPr>
        <w:pStyle w:val="Heading2"/>
      </w:pPr>
      <w:r>
        <w:t>530.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2025:</w:t>
      </w:r>
      <w:r>
        <w:t xml:space="preserve"> From symbolic violence to structural exclusion: The multidimensional nature of Islamophobia in Europe — https://doi.org/10.1016/j.ijintrel.2025.102327</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pPr/>
      <w:r>
        <w:rPr>
          <w:b/>
        </w:rPr>
        <w:t>POSSIBLE 2025:</w:t>
      </w:r>
      <w:r>
        <w:t xml:space="preserve"> Measuring and targeting energy poverty in Europe using a multidimensional approach — https://doi.org/10.1016/j.enpol.2025.114518</w:t>
      </w:r>
    </w:p>
    <w:p>
      <w:pPr/>
      <w:r>
        <w:rPr>
          <w:b/>
        </w:rPr>
        <w:t>Shared claim-specific concepts:</w:t>
      </w:r>
      <w:r>
        <w:t xml:space="preserve"> multidimensional, approach, increase; EU scope visible. This is a provisional connection, not an outcome finding.</w:t>
      </w:r>
    </w:p>
    <w:p>
      <w:pPr>
        <w:pStyle w:val="SourceNote"/>
      </w:pPr>
      <w:r>
        <w:rPr>
          <w:b/>
        </w:rPr>
        <w:t>Available abstract (not full text):</w:t>
      </w:r>
      <w:r>
        <w:t xml:space="preserve">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pPr/>
      <w:r>
        <w:rPr>
          <w:b/>
        </w:rPr>
        <w:t>POSSIBLE 2025:</w:t>
      </w:r>
      <w:r>
        <w:t xml:space="preserve"> Demographic Drivers of Epidemic Outcomes: Sensitivity Analysis of Multidimensional Parameters in the Covasim Model — https://doi.org/10.1101/2025.10.14.25328629</w:t>
      </w:r>
    </w:p>
    <w:p>
      <w:pPr/>
      <w:r>
        <w:rPr>
          <w:b/>
        </w:rPr>
        <w:t>Shared claim-specific concepts:</w:t>
      </w:r>
      <w:r>
        <w:t xml:space="preserve"> multidimensional, demographic, approach, age; EU scope not established. This is a provisional connection, not an outcome finding.</w:t>
      </w:r>
    </w:p>
    <w:p>
      <w:pPr>
        <w:pStyle w:val="SourceNote"/>
      </w:pPr>
      <w:r>
        <w:rPr>
          <w:b/>
        </w:rPr>
        <w:t>Available abstract (not full text):</w:t>
      </w:r>
      <w:r>
        <w:t xml:space="preserve"> Abstract Background Sensitivity analysis is a key tool for identifying which model inputs most strongly influence model outputs thereby informing data collection priorities. In agent-based models, these inputs include demographic parameters used to construct synthetic populations. Such parameters — age distributions, household size distributions, and contact matrices — are critical in shaping transmission dynamics. However, most established sensitivity analysis methods are designed for scalar inputs and cannot readily accommodate multidimensional demographic data. We introduce a novel sampling approach to assess the influence of such parameters on model outputs, addressing a key gap in sensitivity analysis of epidemiological agent-based models. Methods The Covasim model of COVID-19 transmission was used as the case study in this work. An autoencoder neural network was trained on country-level demographic datasets to generate realistic samples of high-dimensional inputs of the model. These sampled inputs were coupled with Sobol’ sensitivity indices to quantify their influence on cumulative infections and deaths. Results Non-scalar parameters were found to exert a major influence on model outputs. Household size distribution was the most important parameter for cumulative number of infectious cases, while age distribution had the largest effect on cumulative deaths. These finding</w:t>
      </w:r>
    </w:p>
    <w:p>
      <w:pPr/>
      <w:r>
        <w:rPr>
          <w:b/>
        </w:rPr>
        <w:t>POSSIBLE 2025:</w:t>
      </w:r>
      <w:r>
        <w:t xml:space="preserve"> De welvaartsstaat hervormen in de 21e eeuw: Publieke steun en de politieke haalbaarheid van voorstellen voor een basisinkomen — https://openalex.org/W7113667282</w:t>
      </w:r>
    </w:p>
    <w:p>
      <w:pPr/>
      <w:r>
        <w:rPr>
          <w:b/>
        </w:rPr>
        <w:t>Shared claim-specific concepts:</w:t>
      </w:r>
      <w:r>
        <w:t xml:space="preserve"> approach, microsimulation, project, labour, traditional, increase; EU scope visible. This is a provisional connection, not an outcome finding.</w:t>
      </w:r>
    </w:p>
    <w:p>
      <w:pPr>
        <w:pStyle w:val="SourceNote"/>
      </w:pPr>
      <w:r>
        <w:rPr>
          <w:b/>
        </w:rPr>
        <w:t>Available abstract (not full text):</w:t>
      </w:r>
      <w:r>
        <w:t xml:space="preserve"> A basic income (BI) differs radically from traditional public benefits because it breaks the link between contribution and benefit on the one hand and between need and benefit on the other. Although a BI is often presented as a simple idea, discussing concrete policy proposals quickly ends in a Tower of Babel-like argument. In many of these debates, it appears that proponents, and respectively opponents, often have different types of BI schemes in mind when advocating or criticizing the idea. However, it is quite clear that the actual outcomes of a BI will depend largely on the concrete policy design in terms of eligibility, eligibility criteria, benefit levels, financing, and implementation modalities. These aspects will have a major impact on the extent to which a BI will encourage or discourage paid work or any work at all, increase or decrease gender inequality in work and care, and end the myriad problems associated with income-dependent welfare benefits. Unfortunately, we lack empirical research on many of these outcomes. This is the main focus of the BAsic income in BELgium (BABEL) project. The BABEL project aims to close the gap between dream and deed regarding basic income. The project has several objectives. First, it aims to investigate the actual labour supply effects of BI. To this end, a quasi-experimental approach is applied, where we use administrative data to e</w:t>
      </w:r>
    </w:p>
    <w:p>
      <w:pPr/>
      <w:r>
        <w:rPr>
          <w:b/>
        </w:rPr>
        <w:t>POSSIBLE 2024:</w:t>
      </w:r>
      <w:r>
        <w:t xml:space="preserve"> Multidimensionality Matters: The Implications of Educational Hierarchy and Differentiation for Intergenerational Mobility in Europe — https://doi.org/10.1086/729572</w:t>
      </w:r>
    </w:p>
    <w:p>
      <w:pPr/>
      <w:r>
        <w:rPr>
          <w:b/>
        </w:rPr>
        <w:t>Shared claim-specific concepts:</w:t>
      </w:r>
      <w:r>
        <w:t xml:space="preserve"> multidimensional, age, educational, attainment; EU scope visible. This is a provisional connection, not an outcome finding.</w:t>
      </w:r>
    </w:p>
    <w:p>
      <w:pPr>
        <w:pStyle w:val="SourceNote"/>
      </w:pPr>
      <w:r>
        <w:rPr>
          <w:b/>
        </w:rPr>
        <w:t>Available abstract (not full text):</w:t>
      </w:r>
      <w:r>
        <w:t xml:space="preserve">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pPr/>
      <w:r>
        <w:rPr>
          <w:b/>
        </w:rPr>
        <w:t>POSSIBLE 2024:</w:t>
      </w:r>
      <w:r>
        <w:t xml:space="preserve"> Monitoring socioeconomic readiness for the demographic transition: Introducing the Senior Economy Tracker — https://doi.org/10.1016/j.strueco.2024.08.007</w:t>
      </w:r>
    </w:p>
    <w:p>
      <w:pPr/>
      <w:r>
        <w:rPr>
          <w:b/>
        </w:rPr>
        <w:t>Shared claim-specific concepts:</w:t>
      </w:r>
      <w:r>
        <w:t xml:space="preserve"> multidimensional, demographic; EU scope visible. This is a provisional connection, not an outcome finding.</w:t>
      </w:r>
    </w:p>
    <w:p>
      <w:pPr>
        <w:pStyle w:val="SourceNote"/>
      </w:pPr>
      <w:r>
        <w:rPr>
          <w:b/>
        </w:rPr>
        <w:t>Available abstract (not full text):</w:t>
      </w:r>
      <w:r>
        <w:t xml:space="preserve"> Aging constitutes the dominant demographic challenge globally. The demographic transition entails a paradigm shift in the economic model to accommodate economic structures to life-expectancy gains. The socioeconomic implications from this transition remain largely undefined conceptually from an integrated perspective and unrecognized in official statistics. This study introduces a multidimensional and multi-actor reference framework, and a composite indicator, the Senior Economy Tracker (SET), to measure national readiness and progress in adapting to the demographic transition, over time and across countries. We apply our indicator to 27 European countries in 2010-2021. Our study reveals crucial differences in pathways and stages of maturity in addressing the socioeconomic impacts of aging. The proposed indicator aims to guide action to adapt economic structures to longer life spans, assist organizational and individual decision making, facilitate the development of effective policy interventions and raise awareness of the demographic transition.</w:t>
      </w:r>
    </w:p>
    <w:p>
      <w:pPr/>
      <w:r>
        <w:rPr>
          <w:b/>
        </w:rPr>
        <w:t>POSSIBLE 2024:</w:t>
      </w:r>
      <w:r>
        <w:t xml:space="preserve"> Multidimensional comparative analysis of the number of students in Poland with the view to the demographic crisis and its impact on social security — https://doi.org/10.13166/jms/199491</w:t>
      </w:r>
    </w:p>
    <w:p>
      <w:pPr/>
      <w:r>
        <w:rPr>
          <w:b/>
        </w:rPr>
        <w:t>Shared claim-specific concepts:</w:t>
      </w:r>
      <w:r>
        <w:t xml:space="preserve"> multidimensional, demographic, compared, age, educational; EU scope visible. This is a provisional connection, not an outcome finding.</w:t>
      </w:r>
    </w:p>
    <w:p>
      <w:pPr>
        <w:pStyle w:val="SourceNote"/>
      </w:pPr>
      <w:r>
        <w:rPr>
          <w:b/>
        </w:rPr>
        <w:t>Available abstract (not full text):</w:t>
      </w:r>
      <w:r>
        <w:t xml:space="preserve"> Objectives The article presents the original multidimensional comparative analysis of the number of students in terms of their population in Poland with the view to the demographic crisis and its impact on the acceptable level of social security. The demographic low in Poland is one of the largest in the European Union and the largest after the Second World War. Material and methods The research would be based mainly on the analysis of available studies and materials enabling the review and organization of information concerning the demographic crisis, the transformation of the family model and the reorganization of the education system. Primary research focused on statistical analyzes of total fertility rate, including births and deaths, marriages and divorces, and the number of children in educational institutions. Results Primary data on the number of students were grouped into voivodeships, school types and compared with the population in particular age groups. Additionally, the human population was divided into two groups of dependent variables: the number of people in cities and rural areas - men and women in particular age groups. The lack of a symmetrical distribution between the number of women and men in Poland is particularly visible in the group over 62 years of age. Conclusions The visible decline in the number of students in particular age groups from 0 to 19 year</w:t>
      </w:r>
    </w:p>
    <w:p>
      <w:pPr>
        <w:pStyle w:val="Heading2"/>
      </w:pPr>
      <w:r>
        <w:t>531.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2025:</w:t>
      </w:r>
      <w:r>
        <w:t xml:space="preserve"> Investigating stone materials from some European cultural heritage sites for predicting future decay — https://doi.org/10.1007/s12210-024-01298-x</w:t>
      </w:r>
    </w:p>
    <w:p>
      <w:pPr/>
      <w:r>
        <w:rPr>
          <w:b/>
        </w:rPr>
        <w:t>Shared claim-specific concepts:</w:t>
      </w:r>
      <w:r>
        <w:t xml:space="preserve"> primarily, predicting, processes, heritage; EU scope visible. This is a provisional connection, not an outcome finding.</w:t>
      </w:r>
    </w:p>
    <w:p>
      <w:pPr>
        <w:pStyle w:val="SourceNote"/>
      </w:pPr>
      <w:r>
        <w:rPr>
          <w:b/>
        </w:rPr>
        <w:t>Available abstract (not full text):</w:t>
      </w:r>
      <w:r>
        <w:t xml:space="preserve"> Abstract The preservation of Europe’s stone-built heritage is crucial for safeguarding our cultural legacy. This study investigates twelve distinct stones used in historical monuments across Italy, Spain, Greece, and Norway, including marbles (Carrara and Macael), limestones (Botticino, Red Verona, Costozza, Istrian, Sfouggaria, Santa Pudia), a carbonate-dominated sandstone (Lartios), volcanic rocks (Euganean trachyte and Tønsberg latite), and an intrusive igneous rock (Tønsbergite). Through comprehensive analysis of mineralogical composition, porosity, water interactions, and accelerated ageing tests, this research establishes a framework for assessing these materials susceptibility to decay mechanisms. The results demonstrate significant variability in durability and decay response among the stone types, primarily determined by pore abundance and distribution. This study enhances the understanding of stone materials behaviour under stressed conditions, offering valuable insights for mitigating future decay processes and protecting European cultural heritage. The stones examined were chosen for their significant presence at the four pilot sites of the European Hyperion project: Venice (Italy), Granada (Spain), Rhodes (Greece), and Tønsberg (Norway). Graphic abstract</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anticipating, not, methods, management, based,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predicting, methods, identify, affect, based, several;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Species traits and invasion history as predictors of freshwater fish invasion success in Europe — https://doi.org/10.3391/mbi.2025.16.1.16</w:t>
      </w:r>
    </w:p>
    <w:p>
      <w:pPr/>
      <w:r>
        <w:rPr>
          <w:b/>
        </w:rPr>
        <w:t>Shared claim-specific concepts:</w:t>
      </w:r>
      <w:r>
        <w:t xml:space="preserve"> primarily, management, established; EU scope visible. This is a provisional connection, not an outcome finding.</w:t>
      </w:r>
    </w:p>
    <w:p>
      <w:pPr>
        <w:pStyle w:val="SourceNote"/>
      </w:pPr>
      <w:r>
        <w:rPr>
          <w:b/>
        </w:rPr>
        <w:t>Available abstract (not full text):</w:t>
      </w:r>
      <w:r>
        <w:t xml:space="preserve"> Despite the growing literature on the topic of freshwater fish invasions, few studies have employed a comprehensive analysis of the stages characterizing the invasion process with reference to the invasion pathway.There is therefore a need to understand more fully invasion pathways to avoid incomplete and biased conclusions and to support adequate management strategies.This study aims to provide a complete analysis of the species traits and invasion history that are associated with the successful passage of an alien freshwater fish species through the invasion pathway stages in European river basins.To predict how likely a freshwater fish species moves from each stage of the invasion pathway (release, establishment, spread and impact) to the next, generalized linear mixed models were run, using 23 species traits and seven variables describing introduction history as predictors for 127 established alien freshwater fish species in Europe.The results showed that the release and spread stages were driven primarily by variables related to invasion history (i.e. the type and number of causes of introduction).The establishment stage was driven mainly by functional and ecological traits, while the impact stage was driven both by functional and ecological traits and invasion history.Identifying the main drivers of alien species success at each invasion stage is key to designing stage-sp</w:t>
      </w:r>
    </w:p>
    <w:p>
      <w:pPr/>
      <w:r>
        <w:rPr>
          <w:b/>
        </w:rPr>
        <w:t>POSSIBLE 2023:</w:t>
      </w:r>
      <w:r>
        <w:t xml:space="preserve"> A Lexicographic Practice Map of Europe — https://doi.org/10.1093/ijl/ecad023</w:t>
      </w:r>
    </w:p>
    <w:p>
      <w:pPr/>
      <w:r>
        <w:rPr>
          <w:b/>
        </w:rPr>
        <w:t>Shared claim-specific concepts:</w:t>
      </w:r>
      <w:r>
        <w:t xml:space="preserve"> identify, affect, based, trends; EU scope visible. This is a provisional connection, not an outcome finding.</w:t>
      </w:r>
    </w:p>
    <w:p>
      <w:pPr>
        <w:pStyle w:val="SourceNote"/>
      </w:pPr>
      <w:r>
        <w:rPr>
          <w:b/>
        </w:rPr>
        <w:t>Available abstract (not full text):</w:t>
      </w:r>
      <w:r>
        <w:t xml:space="preserve">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pPr/>
      <w:r>
        <w:rPr>
          <w:b/>
        </w:rPr>
        <w:t>POSSIBLE 2023:</w:t>
      </w:r>
      <w:r>
        <w:t xml:space="preserve"> Integration of migrant and refugee data in health information systems in Europe: advancing evidence, policy and practice — https://doi.org/10.1016/j.lanepe.2023.100744</w:t>
      </w:r>
    </w:p>
    <w:p>
      <w:pPr/>
      <w:r>
        <w:rPr>
          <w:b/>
        </w:rPr>
        <w:t>Shared claim-specific concepts:</w:t>
      </w:r>
      <w:r>
        <w:t xml:space="preserve"> about, not, methods, management, based; EU scope visible. This is a provisional connection, not an outcome finding.</w:t>
      </w:r>
    </w:p>
    <w:p>
      <w:pPr>
        <w:pStyle w:val="SourceNote"/>
      </w:pPr>
      <w:r>
        <w:rPr>
          <w:b/>
        </w:rPr>
        <w:t>Available abstract (not full text):</w:t>
      </w:r>
      <w:r>
        <w:t xml:space="preserve"> Coverage of migrant and refugee data is incomplete and of insufficient quality in European health information systems. This is not because we lack the knowledge or technology. Rather, it is due to various political factors at local, national and European levels, which hinder the implementation of existing knowledge and guidelines. This reflects the low political priority given to the topic, and also complex governance challenges associated with migration and displacement. We review recent evidence, guidelines, and policies to propose four approaches that will advance science, policy, and practice. First, we call for strategies that ensure that data is collected, analyzed and disseminated systematically. Second, we propose methods to safeguard privacy while combining data from multiple sources. Third, we set out how to enable survey methods that take account of the groups' diversity. Fourth, we emphasize the need to engage migrants and refugees in decisions about their own health data. Based on these approaches, we propose a change management approach that narrows the gap between knowledge and action to create healthcare policies and practices that are truly inclusive of migrants and refugees. We thereby offer an agenda that will better serve public health needs, including those of migrants and refugees and advance equity in European health systems. Funding: No specific funding </w:t>
      </w:r>
    </w:p>
    <w:p>
      <w:pPr/>
      <w:r>
        <w:rPr>
          <w:b/>
        </w:rPr>
        <w:t>POSSIBLE 2023:</w:t>
      </w:r>
      <w:r>
        <w:t xml:space="preserve"> Spatial assessment of topsoil zinc concentrations in Europe — https://doi.org/10.1016/j.scitotenv.2023.164512</w:t>
      </w:r>
    </w:p>
    <w:p>
      <w:pPr/>
      <w:r>
        <w:rPr>
          <w:b/>
        </w:rPr>
        <w:t>Shared claim-specific concepts:</w:t>
      </w:r>
      <w:r>
        <w:t xml:space="preserve"> showing, identify, developed; EU scope visible. This is a provisional connection, not an outcome finding.</w:t>
      </w:r>
    </w:p>
    <w:p>
      <w:pPr>
        <w:pStyle w:val="SourceNote"/>
      </w:pPr>
      <w:r>
        <w:rPr>
          <w:b/>
        </w:rPr>
        <w:t>Available abstract (not full text):</w:t>
      </w:r>
      <w:r>
        <w:t xml:space="preserve"> Zinc (Zn) is essential to sustain crop production and human health, while it can be toxic when present in excess. In this manuscript, we applied a machine learning model on 21,682 soil samples from the Land Use and Coverage Area frame Survey (LUCAS) topsoil database of 2009/2012 to assess the spatial distribution in Europe of topsoil Zn concentrations measured by aqua regia extraction, and to identify the influence of natural drivers and anthropogenic sources on topsoil Zn concentrations. As a result, a map was produced showing topsoil Zn concentrations in Europe at a resolution of 250 m. The mean predicted Zn concentration in Europe was 41 mg kg−1, with a root mean squared error of around 40 mg kg−1 calculated for independent soil samples. We identified clay content as the most important factor explaining the overall distribution of soil Zn in Europe, with lower Zn concentrations in coarser soils. Next to texture, low Zn concentrations were found in soils with low pH (e.g. Podzols), as well as in soils with pH above 8 (i.e., Calcisols). The presence of deposits and mining activities mainly explained the occurrence of relatively high Zn concentrations above 167 mg kg−1 (the one percentile highest concentrations) within 10 km from these sites. In addition, the relatively higher Zn levels found in grasslands in regions with high livestock density may point to manure as a signific</w:t>
      </w:r>
    </w:p>
    <w:p>
      <w:pPr/>
      <w:r>
        <w:rPr>
          <w:b/>
        </w:rPr>
        <w:t>POSSIBLE 2023:</w:t>
      </w:r>
      <w:r>
        <w:t xml:space="preserve"> Modeled Multidecadal Trends of Lightning and (Very) Large Hail in Europe and North America (1950–2021) — https://doi.org/10.1175/jamc-d-22-0195.1</w:t>
      </w:r>
    </w:p>
    <w:p>
      <w:pPr/>
      <w:r>
        <w:rPr>
          <w:b/>
        </w:rPr>
        <w:t>Shared claim-specific concepts:</w:t>
      </w:r>
      <w:r>
        <w:t xml:space="preserve"> primarily, trends, developed; EU scope visible. This is a provisional connection, not an outcome finding.</w:t>
      </w:r>
    </w:p>
    <w:p>
      <w:pPr>
        <w:pStyle w:val="SourceNote"/>
      </w:pPr>
      <w:r>
        <w:rPr>
          <w:b/>
        </w:rPr>
        <w:t>Available abstract (not full text):</w:t>
      </w:r>
      <w:r>
        <w:t xml:space="preserve">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pPr>
        <w:pStyle w:val="Heading2"/>
      </w:pPr>
      <w:r>
        <w:t>532.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2025:</w:t>
      </w:r>
      <w:r>
        <w:t xml:space="preserve"> The urgent need for climate protection as reflected in supreme court rulings in the European Union — https://doi.org/10.46941/2025.se1.17</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Convection‐permitting dynamical downscaling of ERA5 for Europe and the Mediterranean basin — https://doi.org/10.1002/qj.5014</w:t>
      </w:r>
    </w:p>
    <w:p>
      <w:pPr/>
      <w:r>
        <w:rPr>
          <w:b/>
        </w:rPr>
        <w:t>Shared claim-specific concepts:</w:t>
      </w:r>
      <w:r>
        <w:t xml:space="preserve"> urgent, need, climate, mitigation; EU scope visible. This is a provisional connection, not an outcome finding.</w:t>
      </w:r>
    </w:p>
    <w:p>
      <w:pPr>
        <w:pStyle w:val="SourceNote"/>
      </w:pPr>
      <w:r>
        <w:rPr>
          <w:b/>
        </w:rPr>
        <w:t>Available abstract (not full text):</w:t>
      </w:r>
      <w:r>
        <w:t xml:space="preserve">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pPr/>
      <w:r>
        <w:rPr>
          <w:b/>
        </w:rPr>
        <w:t>POSSIBLE 2025:</w:t>
      </w:r>
      <w:r>
        <w:t xml:space="preserve"> Europe as a subject and object of epistemic reflection — https://doi.org/10.30574/wjarr.2025.27.1.2547</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Review of: "The Limitations and Challenges of Researching Mass Casualty Incidents and Disasters in Europe" — https://doi.org/10.32388/9sm5gm</w:t>
      </w:r>
    </w:p>
    <w:p>
      <w:pPr/>
      <w:r>
        <w:rPr>
          <w:b/>
        </w:rPr>
        <w:t>Shared claim-specific concepts:</w:t>
      </w:r>
      <w:r>
        <w:t xml:space="preserve"> recognizing, urgent, need, concrete, information, pathways; EU scope visible. This is a provisional connection, not an outcome finding.</w:t>
      </w:r>
    </w:p>
    <w:p>
      <w:pPr>
        <w:pStyle w:val="SourceNote"/>
      </w:pPr>
      <w:r>
        <w:rPr>
          <w:b/>
        </w:rPr>
        <w:t>Available abstract (not full text):</w:t>
      </w:r>
      <w:r>
        <w:t xml:space="preserve"> The article "The Limitations and Challenges of Researching Mass Casualty Incidents and Disasters in Europe" offers an outstanding overview of the main methodological, technological, and organizational barriers affecting research and management of mass casualty incidents in Europe, providing a thorough and constructive approach to the subject.The paper excels at presenting a detailed and well-referenced review of regulatory obstacles, the lack of a consensual de nition of mass casualty incidents, and the fragmentation in data collection systems and methodologies.This contextualized analysis, supported by multiple European projects and studies, enhances the understanding of the urgent need for coordinated and evidence-based solutions.A key strength of the article is its emphasis on interoperability between emergency services and the urgent need for the development of minimum data sets.The authors highlight cross-border initiatives and speci c examples, such as IDIRA and VALKYRIES, that have begun to overcome technical and language barriers, showing viable pathways toward harmonizing protocols and information formats in Europe.The discussion on adopting new technologies-drones, GIS, arti cial intelligence, and mobile platforms-is both critical and pragmatic, recognizing their real impact on improving situational awareness and operational coordination.Furthermore, the article rigor</w:t>
      </w:r>
    </w:p>
    <w:p>
      <w:pPr/>
      <w:r>
        <w:rPr>
          <w:b/>
        </w:rPr>
        <w:t>POSSIBLE 2025:</w:t>
      </w:r>
      <w:r>
        <w:t xml:space="preserve"> Antibiotic Use in Livestock Production and Progress Made with Regulations in Europe and Africa: Implications for Illness Prevention and Health Promotion — https://doi.org/10.1007/978-981-97-0821-5_104-1</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Antibiotic misuse in livestock production poses a significant threat to public health, contributing to antimicrobial resistance and illness. This chapter delves into the progress made in regulating antibiotic use in food animals, with a focus on Europe and Africa as representatives of developed and developing regions. While European countries have implemented stringent regulations and achieved substantial reductions in antibiotic use, many African nations lack robust regulatory frameworks and enforcement mechanisms. The One Health approach emerges as a crucial strategy in addressing this complex issue, recognizing the interconnectedness of human, animal, and environmental health. The implications of antibiotic regulation in food animal production extend beyond antimicrobial resistance, influencing animal welfare, environmental health, and global health equity. Notably, these regulations have spurred innovations in animal husbandry practices, potentially reducing the transmission of resistant bacteria from animals to humans. However, challenges remain in balancing the need for antibiotic reduction with ensuring appropriate therapeutic use and addressing potential economic impacts on farmers. The chapter underscores the importance of interdisciplinary collaboration in health promotion efforts and the need for improved surveillance systems to guide evidence-based policies. It also</w:t>
      </w:r>
    </w:p>
    <w:p>
      <w:pPr/>
      <w:r>
        <w:rPr>
          <w:b/>
        </w:rPr>
        <w:t>POSSIBLE 2025:</w:t>
      </w:r>
      <w:r>
        <w:t xml:space="preserve"> Fast Fashion Sector: Business Models, Supply Chains, and European Sustainability Standards — https://doi.org/10.3390/systems13060405</w:t>
      </w:r>
    </w:p>
    <w:p>
      <w:pPr/>
      <w:r>
        <w:rPr>
          <w:b/>
        </w:rPr>
        <w:t>Shared claim-specific concepts:</w:t>
      </w:r>
      <w:r>
        <w:t xml:space="preserve"> climate, decarbonization, emissions; EU scope visible. This is a provisional connection, not an outcome finding.</w:t>
      </w:r>
    </w:p>
    <w:p>
      <w:pPr>
        <w:pStyle w:val="SourceNote"/>
      </w:pPr>
      <w:r>
        <w:rPr>
          <w:b/>
        </w:rPr>
        <w:t>Available abstract (not full text):</w:t>
      </w:r>
      <w:r>
        <w:t xml:space="preserve"> One of the core objectives of the European Green Deal in pursuing climate neutrality and sustainable development is the decarbonization of high-impact sectors. Among the most polluting is the fast fashion industry, driven by linear business models that must urgently transition to circular economy frameworks and decarbonized supply chains. Fast fashion poses significant environmental and social challenges due to its high greenhouse gas emissions, excessive resource consumption, and substantial waste generation. To foster greater sustainability within the sector, this study examines environmental indicators defined by the European Sustainability Reporting Standards (ESRS), in accordance with the EU’s Corporate Sustainability Reporting Directive (CSRD) 2022/2464. Aligned with the Global Reporting Initiative (GRI), these standards aim to harmonize sustainability disclosures and enable better decision-making across environmental, social, and governance (ESG) dimensions throughout Europe. This research focuses on five key environmental aspects—climate change, pollution, water resource management, biodiversity, and circular economy/resource use—across four leading fast fashion brands: Mango, Zara, H&amp;M, and Shein. Using an exploratory web-based methodology, this study evaluates how these companies disclose and implement ESG strategies in their supply chains. The central aim is to asses</w:t>
      </w:r>
    </w:p>
    <w:p>
      <w:pPr/>
      <w:r>
        <w:rPr>
          <w:b/>
        </w:rPr>
        <w:t>POSSIBLE 2024:</w:t>
      </w:r>
      <w:r>
        <w:t xml:space="preserve"> The urgency of hydrogen: environmental issues and the need for change — https://doi.org/10.55670/fpll.fusus.2.2.5</w:t>
      </w:r>
    </w:p>
    <w:p>
      <w:pPr/>
      <w:r>
        <w:rPr>
          <w:b/>
        </w:rPr>
        <w:t>Shared claim-specific concepts:</w:t>
      </w:r>
      <w:r>
        <w:t xml:space="preserve"> need, climate, decarbonization; EU scope not established. This is a provisional connection, not an outcome finding.</w:t>
      </w:r>
    </w:p>
    <w:p>
      <w:pPr>
        <w:pStyle w:val="SourceNote"/>
      </w:pPr>
      <w:r>
        <w:rPr>
          <w:b/>
        </w:rPr>
        <w:t>Available abstract (not full text):</w:t>
      </w:r>
      <w:r>
        <w:t xml:space="preserve"> While hydrogen adoption is progressing in different industries, challenges remain. The availability of a well-developed hydrogen infrastructure, including production, storage, and distribution, is a prerequisite for broader adoption. Additionally, cost reduction through technological advancements and economies of scale is essential to make hydrogen competitive with existing energy sources. Collaborative efforts between industry, governments, and research institutions are necessary to address these challenges. Hydrogen has the potential to play a significant role in achieving decarbonization goals and transitioning to a sustainable energy future. By completely changing to a hydrogen model, the rise in global temperatures would start to revert to a normal stage after multiple years. In light of these considerations, this article aims to comprehensively review the imperative need to transition to hydrogen fuel as a pivotal component of our sustainable energy future. Furthermore, it seeks to scrutinize and dissect the unique challenges that different regions across the globe face in embracing hydrogen as a clean energy solution. By shedding light on these challenges and emphasizing the collaborative efforts required between industry, governments, and research institutions, this article aims to contribute to the discourse on harnessing hydrogen's potential to combat climate change a</w:t>
      </w:r>
    </w:p>
    <w:p>
      <w:pPr/>
      <w:r>
        <w:rPr>
          <w:b/>
        </w:rPr>
        <w:t>POSSIBLE 2024:</w:t>
      </w:r>
      <w:r>
        <w:t xml:space="preserve"> We urgently need data for equitable personalized medicine — https://doi.org/10.1146/knowable-011724-1</w:t>
      </w:r>
    </w:p>
    <w:p>
      <w:pPr/>
      <w:r>
        <w:rPr>
          <w:b/>
        </w:rPr>
        <w:t>Shared claim-specific concepts:</w:t>
      </w:r>
      <w:r>
        <w:t xml:space="preserve"> need, information, focusing; EU scope visible. This is a provisional connection, not an outcome finding.</w:t>
      </w:r>
    </w:p>
    <w:p>
      <w:pPr>
        <w:pStyle w:val="SourceNote"/>
      </w:pPr>
      <w:r>
        <w:rPr>
          <w:b/>
        </w:rPr>
        <w:t>Available abstract (not full text):</w:t>
      </w:r>
      <w:r>
        <w:t xml:space="preserve"> Warfarin is a powerful blood thinner and a leading drug for cardiovascular disease worldwide. But in South Africa, it is among the top four drug varieties leading to hospitalization from adverse drug reactions. It’s reasonable to suppose that the drug has similar problematic effects farther across sub-Saharan Africa, though the national data needed to show it are lacking.The fact that warfarin is riskier in some populations than others isn’t a surprise. Different geographic regions tend to host people with slightly different genetic makeups, and sometimes those genetic differences lead to radically different reactions to drugs. For certain people, a higher dosage of warfarin is fine; for others, it’s dangerous. Researchers have known this for decades.The problem is that the majority of medical research, including genetic research, is still done mainly on one subset of the world’s population: men of Northern European origin. This means that negative drug-gene interactions in other, less well-studied populations can fly beneath the radar. In the case of warfarin, one study concluded that using someone’s genetic information to help guide their drug dosing would benefit 18 percent to 24 percent of people categorized as white, but have no benefit for people identified as Black, Chinese or Japanese. YOU MAY ALSO LIKE Health &amp; Disease Genes and heart disease: Finally making the link H</w:t>
      </w:r>
    </w:p>
    <w:p>
      <w:pPr>
        <w:pStyle w:val="Heading2"/>
      </w:pPr>
      <w:r>
        <w:t>533.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2025:</w:t>
      </w:r>
      <w:r>
        <w:t xml:space="preserve"> EMA – Eighth European Medicines Agency (EMA) and Medicines for Europe bilateral meeting - 15 December 2025 — https://doi.org/10.58079/15bvb</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meeting between European Medicines Agency (EMA) and Medicines for Europe is organised in the context of the EMA annual bilateral meetings with industry stakeholder organisations. The purpose of the meeting is to exchange views and promote dialogue on topics of common interest. More information on the EMA Website.</w:t>
      </w:r>
    </w:p>
    <w:p>
      <w:pPr/>
      <w:r>
        <w:rPr>
          <w:b/>
        </w:rPr>
        <w:t>POSSIBLE 2025:</w:t>
      </w:r>
      <w:r>
        <w:t xml:space="preserve"> Insights from the European Medicines Agency on digital health technology derived endpoints — https://doi.org/10.1016/j.drudis.2025.104388</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study evaluates the use of digital health technologies (DHTs) for endpoint measurement in clinical trials, as documented in the Qualification Opinions, Qualification Advice, and Scientific Advice procedures issued by the European Medicines Agency (EMA) between 2013 and 2022. Accelerometers are the most proposed DHTs, followed by glucose monitors and smartphones. Accelerometers are often proposed for nervous system diseases to support mobility measures and objective testing. Most DHTs were proposed for efficacy endpoints. The feedback provided by EMA emphasizes the importance of validation, precision, and a clearly defined context of use. The EMA's recent action plan further supports advancing DHT methodologies in clinical trials.</w:t>
      </w:r>
    </w:p>
    <w:p>
      <w:pPr/>
      <w:r>
        <w:rPr>
          <w:b/>
        </w:rPr>
        <w:t>POSSIBLE 2025:</w:t>
      </w:r>
      <w:r>
        <w:t xml:space="preserve"> Populations Addressed in Vaccines Approved via the European Medicines Agency — https://doi.org/10.1002/cpt.3694</w:t>
      </w:r>
    </w:p>
    <w:p>
      <w:pPr/>
      <w:r>
        <w:rPr>
          <w:b/>
        </w:rPr>
        <w:t>Shared claim-specific concepts:</w:t>
      </w:r>
      <w:r>
        <w:t xml:space="preserve"> medicines, agency; EU scope visible. This is a provisional connection, not an outcome finding.</w:t>
      </w:r>
    </w:p>
    <w:p>
      <w:pPr>
        <w:pStyle w:val="SourceNote"/>
      </w:pPr>
      <w:r>
        <w:rPr>
          <w:b/>
        </w:rPr>
        <w:t>Available abstract (not full text):</w:t>
      </w:r>
      <w:r>
        <w:t xml:space="preserve"> Therapeutic and prophylactic agents require robust evidence before patient use. Randomized controlled trials are essential for evaluating safety and efficacy but often exclude specific populations that are also targets for the intervention. This study assessed which populations are included in vaccine registration studies and/or addressed in label indications, and if special populations are considered at any point in the regulatory life cycle of vaccines approved in the European Union. We analyzed product labels, pivotal studies, risk management plans, and post-authorization studies for all vaccines centrally approved via the European Medicines Agency between 2012 and 2022. For the 31 vaccines approved, we identified 90 pivotal studies supporting initial marketing authorizations and 46 studies supporting product revisions. At the end of our follow-up, 27 vaccines (87%) were approved for adults, 19 (68%) for pediatric patients, 3 (11%) were recommended for pregnant populations, 4 (14%) for breastfeeding populations, and 7 (23%) for immunocompromised populations. Pregnant, breastfeeding, and immunocompromised individuals were rarely included in studies supporting regulatory actions. We observed a slight increase in the inclusion of special populations in post-marketing studies, yet this had limited impact on product indications or information availability on labels. Pivotal studi</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context, medicines, agency, early, discussed;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2025:</w:t>
      </w:r>
      <w:r>
        <w:t xml:space="preserve"> Review on organ-on-chips for medicines safety assessment: A European regulatory perspective — https://doi.org/10.14573/altex.2502061</w:t>
      </w:r>
    </w:p>
    <w:p>
      <w:pPr/>
      <w:r>
        <w:rPr>
          <w:b/>
        </w:rPr>
        <w:t>Shared claim-specific concepts:</w:t>
      </w:r>
      <w:r>
        <w:t xml:space="preserve"> context, medicines, agency, relevant, medicinal, products; EU scope visible. This is a provisional connection, not an outcome finding.</w:t>
      </w:r>
    </w:p>
    <w:p>
      <w:pPr>
        <w:pStyle w:val="SourceNote"/>
      </w:pPr>
      <w:r>
        <w:rPr>
          <w:b/>
        </w:rPr>
        <w:t>Available abstract (not full text):</w:t>
      </w:r>
      <w:r>
        <w:t xml:space="preserve">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pPr/>
      <w:r>
        <w:rPr>
          <w:b/>
        </w:rPr>
        <w:t>POSSIBLE 2025:</w:t>
      </w:r>
      <w:r>
        <w:t xml:space="preserve"> Capability Development in the European Medicines Regulatory Network—A European Learning Needs Analysis and Survey Study — https://doi.org/10.1002/cpt.70158</w:t>
      </w:r>
    </w:p>
    <w:p>
      <w:pPr/>
      <w:r>
        <w:rPr>
          <w:b/>
        </w:rPr>
        <w:t>Shared claim-specific concepts:</w:t>
      </w:r>
      <w:r>
        <w:t xml:space="preserve"> medicines, agency, technological, medicinal, products, challenges; EU scope visible. This is a provisional connection, not an outcome finding.</w:t>
      </w:r>
    </w:p>
    <w:p>
      <w:pPr>
        <w:pStyle w:val="SourceNote"/>
      </w:pPr>
      <w:r>
        <w:rPr>
          <w:b/>
        </w:rPr>
        <w:t>Available abstract (not full text):</w:t>
      </w:r>
      <w:r>
        <w:t xml:space="preserve"> The European Medicines Regulatory Network plays a critical role in safeguarding public health through the assessment and supervision of human medicines. However, rapid scientific and technological advancements have exposed capability deficits across the network, threatening timely and effective regulatory decision-making. To identify the most critical learning needs within the European Medicines Regulatory Network-specifically those related to capability gaps-the EU4Health Joint Action, IncreaseNET, conducted a learning needs analysis. This study presents a learning needs analysis conducted via two complementary approaches: stakeholder collaboration with European Medicines Agency expert committees and a network-wide survey of National Competent Authorities. The analysis identified six priority subject areas requiring urgent capability development: Advanced Therapy Medicinal Products, Biologically Active Substances, Clinical Trials, Modeling and Simulation, Pharmacokinetics, and Statistics. Additional training needs-such as Environmental Risk Assessment and Radiopharmaceuticals-were highlighted through the National Competent Authority survey. Key barriers to capability development include uneven distribution of expertise, limited time for training due to high workloads, and recruitment challenges. The study also revealed methodological variation in how learning needs analyses ar</w:t>
      </w:r>
    </w:p>
    <w:p>
      <w:pPr/>
      <w:r>
        <w:rPr>
          <w:b/>
        </w:rPr>
        <w:t>POSSIBLE 2025:</w:t>
      </w:r>
      <w:r>
        <w:t xml:space="preserve"> Review on organ-on-chips for medicines safety assessment: A European regulatory perspective_suppl1 — https://doi.org/10.14573/altex.2502061s1</w:t>
      </w:r>
    </w:p>
    <w:p>
      <w:pPr/>
      <w:r>
        <w:rPr>
          <w:b/>
        </w:rPr>
        <w:t>Shared claim-specific concepts:</w:t>
      </w:r>
      <w:r>
        <w:t xml:space="preserve"> context, medicines, agency, relevant, medicinal, products; EU scope visible. This is a provisional connection, not an outcome finding.</w:t>
      </w:r>
    </w:p>
    <w:p>
      <w:pPr>
        <w:pStyle w:val="SourceNote"/>
      </w:pPr>
      <w:r>
        <w:rPr>
          <w:b/>
        </w:rPr>
        <w:t>Available abstract (not full text):</w:t>
      </w:r>
      <w:r>
        <w:t xml:space="preserve">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pPr/>
      <w:r>
        <w:rPr>
          <w:b/>
        </w:rPr>
        <w:t>POSSIBLE 2025:</w:t>
      </w:r>
      <w:r>
        <w:t xml:space="preserve"> Horizon Scanning Methods for Identification of New and Repurposed Medicines for Stakeholders in the United Kingdom — https://doi.org/10.1002/ffo2.210</w:t>
      </w:r>
    </w:p>
    <w:p>
      <w:pPr/>
      <w:r>
        <w:rPr>
          <w:b/>
        </w:rPr>
        <w:t>Shared claim-specific concepts:</w:t>
      </w:r>
      <w:r>
        <w:t xml:space="preserve"> medicines, horizon, scanning, early, innovation; EU scope not established. This is a provisional connection, not an outcome finding.</w:t>
      </w:r>
    </w:p>
    <w:p>
      <w:pPr>
        <w:pStyle w:val="SourceNote"/>
      </w:pPr>
      <w:r>
        <w:rPr>
          <w:b/>
        </w:rPr>
        <w:t>Available abstract (not full text):</w:t>
      </w:r>
      <w:r>
        <w:t xml:space="preserve"> ABSTRACT Horizon scanning (HS) is a method for the identification of emerging change through systematic analysis of trusted sources using a defined scope and prespecified methods. In health research, it can provide early awareness of potential developments ahead of market access. Within the medicines space, HS is supported by international requirements for clinical trial registration, conduct and reporting, and by transparent regulatory processes. Potential changes can be identified at different stages of development, emerging, transitional, and imminent to launch. This paper delineates a comprehensive methodological approach for medicines HS within the transitional horizon from a national HS center, the National Institute for Health and Care Research Innovation Observatory (IO) in the United Kingdom. The UK single‐payer healthcare system supports access to medicines approved by the National Institute for Health and Care Excellence (NICE); the assessment process for this requires an early awareness program ahead of regulatory approval. We report an expansive step‐by‐step HS process at the IO that has been tailored to meet stakeholder requirements. Manual and automated methods are used in tandem to extract and sift data from clinical trial registries, industry databases and medical databases. Intensive industry engagement and news media sources are used to supplement data collec</w:t>
      </w:r>
    </w:p>
    <w:p>
      <w:pPr>
        <w:pStyle w:val="Heading2"/>
      </w:pPr>
      <w:r>
        <w:t>534.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2025:</w:t>
      </w:r>
      <w:r>
        <w:t xml:space="preserve"> Unravelling potential plant health threats for the European Union: application of horizon scanning methodology — https://doi.org/10.5194/we-25-189-2025</w:t>
      </w:r>
    </w:p>
    <w:p>
      <w:pPr/>
      <w:r>
        <w:rPr>
          <w:b/>
        </w:rPr>
        <w:t>Shared claim-specific concepts:</w:t>
      </w:r>
      <w:r>
        <w:t xml:space="preserve"> horizon, actions, areas, efsa, preparedness, challenges; EU scope visible. This is a provisional connection, not an outcome finding.</w:t>
      </w:r>
    </w:p>
    <w:p>
      <w:pPr>
        <w:pStyle w:val="SourceNote"/>
      </w:pPr>
      <w:r>
        <w:rPr>
          <w:b/>
        </w:rPr>
        <w:t>Available abstract (not full text):</w:t>
      </w:r>
      <w:r>
        <w:t xml:space="preserve"> The European Food Safety Authority (EFSA) has been conducting horizon scanning (HS) activity in the field of plant health, in collaboration with the EC Joint Research Centre (JRC) and the French Agency for Food, Environmental and Occupational Health and Safety (ANSES), since 2017. As of 2024, this activity has produced 130 reports, named newsletters. The aim of this activity is to capture signals from the web about potential threats caused by plant pests from all around the world and to convey them to European Union risk managers in support of their preparedness and timely reactions. The tool used was the Medical Information System (MedISys), a public health surveillance system that continuously monitors the content of more than 3200 scientific and media sources worldwide. The items selected for inclusion in the monthly newsletters are reviewed and validated by a team of experts, while another team carries out further analysis on specific “not-listed” pests. This analysis, PeMoScoring (short for pest and monitoring scoring), is a fast procedure based on a ranking system that warns risk managers of the potential new threats by unknown or not-listed pests. These signals can then trigger actions by risk managers: requests for more assessments by EFSA or facilitation of preventive measures. Recently, a series of workshops and webinars have been organised to foster collaboration amo</w:t>
      </w:r>
    </w:p>
    <w:p>
      <w:pPr>
        <w:pStyle w:val="Heading2"/>
      </w:pPr>
      <w:r>
        <w:t>535.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2025:</w:t>
      </w:r>
      <w:r>
        <w:t xml:space="preserve"> Thinking in trade-offs — https://openalex.org/W7134102523</w:t>
      </w:r>
    </w:p>
    <w:p>
      <w:pPr/>
      <w:r>
        <w:rPr>
          <w:b/>
        </w:rPr>
        <w:t>Shared claim-specific concepts:</w:t>
      </w:r>
      <w:r>
        <w:t xml:space="preserve"> between, objectives, all, progress; EU scope not established. This is a provisional connection, not an outcome finding.</w:t>
      </w:r>
    </w:p>
    <w:p>
      <w:pPr>
        <w:pStyle w:val="SourceNote"/>
      </w:pPr>
      <w:r>
        <w:rPr>
          <w:b/>
        </w:rPr>
        <w:t>Available abstract (not full text):</w:t>
      </w:r>
      <w:r>
        <w:t xml:space="preserve"> Every day, people face decisions that involve multiple, often conflicting objectives: balancing cost against quality, safety against speed, or personal benefit against social responsibility.These trade-offs rarely admit a single "right" answer, and they become even more challenging when other decision-makers are involved.Reinforcement learning offers a powerful framework for constructing artificial agents that act autonomously in complex, uncertain environments, learning through trial and error how to make effective decisions.Yet, most existing approaches focus on a single objective, assuming away the trade-offs that are intrinsic to real decision-making.This thesis addresses that gap directly.Its central theme is how to design agents that can think in trade-offs, that is, agents that can reason about multiple objectives and act optimally under uncertainty.The contributions unfold in three parts that build on one another.First, we bridge singleand multi-objective reinforcement learning by showing how decomposition techniques allow well-established single-objective methods to be extended to learning the Pareto front, a classical solution set that captures efficient trade-offs for certain decision-makers.Building on this foundation, we then introduce and analyse alternative solution concepts that more directly reflect decision-makers' preferences, developing rigorous theoretical </w:t>
      </w:r>
    </w:p>
    <w:p>
      <w:pPr/>
      <w:r>
        <w:rPr>
          <w:b/>
        </w:rPr>
        <w:t>POSSIBLE 2025:</w:t>
      </w:r>
      <w:r>
        <w:t xml:space="preserve"> Family matters: the role of trade-offs in shaping human life-histories and health — https://doi.org/10.33612/diss.1419980082</w:t>
      </w:r>
    </w:p>
    <w:p>
      <w:pPr/>
      <w:r>
        <w:rPr>
          <w:b/>
        </w:rPr>
        <w:t>Shared claim-specific concepts:</w:t>
      </w:r>
      <w:r>
        <w:t xml:space="preserve"> evident, between, all, little; EU scope visible. This is a provisional connection, not an outcome finding.</w:t>
      </w:r>
    </w:p>
    <w:p>
      <w:pPr>
        <w:pStyle w:val="SourceNote"/>
      </w:pPr>
      <w:r>
        <w:rPr>
          <w:b/>
        </w:rPr>
        <w:t>Available abstract (not full text):</w:t>
      </w:r>
      <w:r>
        <w:t xml:space="preserve"> All organisms are born and die, but the parts in between are incredibly varied. Evolutionary life-history theory tells us that this diversity across species is partly shaped by trade-offs, because organisms cannot, for example, maximize both their reproduction and lifespan. However, how well these trade-offs shape some of the most important outcomes in our own lives, such as how long we live for, is less well understood. To this end, I applied a diversity of approaches to data from three unique human datasets. First, using Swiss historical data, I found little evidence for these life-history trade-offs limiting overall family sizes, despite the high birth-rates present in this preindustrial population and no strong findings of cooperation amongst siblings. However, analyzing historical data from Finland suggested that family size may trade-off against a mother’s own lifespan, at least during challenging environmental conditions, revealing one potential factor shaping human lifespan. Whether these trade-offs remain important in more contemporary populations was less evident. Using European genomic data, I found that genetic factors shaping time to maturity and first childbirth, and fertility were not associated with genetic predispositions to breast cancer, suggesting that life-history trade-offs have not led to genes underlying this particular disease. More work must be done to</w:t>
      </w:r>
    </w:p>
    <w:p>
      <w:pPr/>
      <w:r>
        <w:rPr>
          <w:b/>
        </w:rPr>
        <w:t>POSSIBLE 2025:</w:t>
      </w:r>
      <w:r>
        <w:t xml:space="preserve"> Navigating trade-offs: Energy dependency, geopolitical shocks, and sustainability in European parliamentary debates — https://doi.org/10.1016/j.erss.2025.104198</w:t>
      </w:r>
    </w:p>
    <w:p>
      <w:pPr/>
      <w:r>
        <w:rPr>
          <w:b/>
        </w:rPr>
        <w:t>Shared claim-specific concepts:</w:t>
      </w:r>
      <w:r>
        <w:t xml:space="preserve"> between, objectives, countries, sdgs, goals, attention; EU scope visible. This is a provisional connection, not an outcome finding.</w:t>
      </w:r>
    </w:p>
    <w:p>
      <w:pPr>
        <w:pStyle w:val="SourceNote"/>
      </w:pPr>
      <w:r>
        <w:rPr>
          <w:b/>
        </w:rPr>
        <w:t>Available abstract (not full text):</w:t>
      </w:r>
      <w:r>
        <w:t xml:space="preserve"> This study examines the evolution of energy and sustainability debates in European parliaments from 2014 to 2022, focusing on how national energy dependency moderates responses to geopolitical shocks, specifically, the Russian invasion of Ukraine. The research uses quantitative text analysis via the BERTopic model to compare the allocation of parliamentary attention between immediate energy security concerns and long-term sustainability objectives. The analysis finds that, following the escalation of the conflict, countries with a higher reliance on imported energy allocate a comparatively smaller share of their debates to sustainability issues, as evidenced by decreased legislative engagement with the Sustainable Development Goals. This pattern suggests that structural vulnerabilities in energy supply might restrict legislative capacity to uphold long-term sustainability commitments as short-term security imperatives increase. It highlights the importance of policy approaches that effectively combine immediate energy security measures with long-term sustainability strategies to strengthen national resilience. • EU parliamentary debates reveal energy security vs. sustainability trade-offs. • Energy dependency moderates sustainability legislative focus post-geopolitical shock. • Higher energy dependency correlates with reduced SDGs focus. • Integrated policies needed to balance </w:t>
      </w:r>
    </w:p>
    <w:p>
      <w:pPr/>
      <w:r>
        <w:rPr>
          <w:b/>
        </w:rPr>
        <w:t>POSSIBLE 2025:</w:t>
      </w:r>
      <w:r>
        <w:t xml:space="preserve"> Export Controls and the Green Agenda in the European Union — https://doi.org/10.1017/s0020589325000119</w:t>
      </w:r>
    </w:p>
    <w:p>
      <w:pPr/>
      <w:r>
        <w:rPr>
          <w:b/>
        </w:rPr>
        <w:t>Shared claim-specific concepts:</w:t>
      </w:r>
      <w:r>
        <w:t xml:space="preserve"> evident, trade, between, agenda, objectives, progress; EU scope visible. This is a provisional connection, not an outcome finding.</w:t>
      </w:r>
    </w:p>
    <w:p>
      <w:pPr>
        <w:pStyle w:val="SourceNote"/>
      </w:pPr>
      <w:r>
        <w:rPr>
          <w:b/>
        </w:rPr>
        <w:t>Available abstract (not full text):</w:t>
      </w:r>
      <w:r>
        <w:t xml:space="preserve"> Abstract This article argues that critical and emerging technologies, evolving geopolitical dynamics and the urgent need to pursue the green agenda are changing the traditional approach of the European Union (EU) and its Member States towards their trade and security strategies, and this is particularly evident in the domain of export controls. In search of a balance between green energy, security and technological progress, this article explores the potential for a more cohesive and comprehensive regulatory framework for export controls at the EU level. It takes the debate beyond a technical level of export control lists to discuss geopolitical and strategic assumptions surrounding inter-State cooperation on the regulation of critical and emerging technologies and their components. The article underscores, in particular, the potential unintended repercussions of controls for the EU's technological future and the prospects of the green transition in Europe and beyond. Finally, it advocates for what is often overlooked in discussions: the necessity for the EU to set clear, long-term objectives for its export controls and to align them with the purposes and objectives of other EU economic instruments.</w:t>
      </w:r>
    </w:p>
    <w:p>
      <w:pPr/>
      <w:r>
        <w:rPr>
          <w:b/>
        </w:rPr>
        <w:t>POSSIBLE 2025:</w:t>
      </w:r>
      <w:r>
        <w:t xml:space="preserve"> Green Economy, Trade, and Consumers – Interactions in European Green Transition — https://doi.org/10.7494/geom.2025.19.2.25</w:t>
      </w:r>
    </w:p>
    <w:p>
      <w:pPr/>
      <w:r>
        <w:rPr>
          <w:b/>
        </w:rPr>
        <w:t>Shared claim-specific concepts:</w:t>
      </w:r>
      <w:r>
        <w:t xml:space="preserve"> trade, achieving, all, interactions, goals, achieve;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Market Power Europe and the research agenda on geopoliticisation and economic security — https://doi.org/10.1080/23745118.2025.2576708</w:t>
      </w:r>
    </w:p>
    <w:p>
      <w:pPr/>
      <w:r>
        <w:rPr>
          <w:b/>
        </w:rPr>
        <w:t>Shared claim-specific concepts:</w:t>
      </w:r>
      <w:r>
        <w:t xml:space="preserve"> between, agenda, objectives, all; EU scope visible. This is a provisional connection, not an outcome finding.</w:t>
      </w:r>
    </w:p>
    <w:p>
      <w:pPr>
        <w:pStyle w:val="SourceNote"/>
      </w:pPr>
      <w:r>
        <w:rPr>
          <w:b/>
        </w:rPr>
        <w:t>Available abstract (not full text):</w:t>
      </w:r>
      <w:r>
        <w:t xml:space="preserve"> The global system is experiencing a geopolitical turn, which is encouraging coercive policy responses from governments while fuelling the emergence of a new scholarly research agenda. To understand these changes and their potential effects on European Union (EU) institutions and policies, this article employs the conceptual framework of Market Power Europe (MPE). Guided by three central characteristics that MPE draws from the Comparative and International Political Economy literature – market size, institutional capacity and domestic interest contestation – the article undertakes a qualitative content analysis of the design and objectives of the EU's 2023 European Economic Security Strategy. The evidence shows that these three characteristics help to shape the EU's exercise of power in a geopoliticising environment and reveal the important role of external factors and increasing linkages between market and security objectives. The findings reinforce the analytical importance of considering all three characteristics of MPE, which complements the propositions raised in this Special Issue and contributes to the emerging research agenda on the new challenges of geopoliticisation and economic security.</w:t>
      </w:r>
    </w:p>
    <w:p>
      <w:pPr/>
      <w:r>
        <w:rPr>
          <w:b/>
        </w:rPr>
        <w:t>POSSIBLE 2025:</w:t>
      </w:r>
      <w:r>
        <w:t xml:space="preserve"> The Impact of European Union's Free Trade Agreements on Türkiye’s Foreign Trade: Trade Diversion — https://doi.org/10.25295/fsecon.1677273</w:t>
      </w:r>
    </w:p>
    <w:p>
      <w:pPr/>
      <w:r>
        <w:rPr>
          <w:b/>
        </w:rPr>
        <w:t>Shared claim-specific concepts:</w:t>
      </w:r>
      <w:r>
        <w:t xml:space="preserve"> trade, between, countries; EU scope visible. This is a provisional connection, not an outcome finding.</w:t>
      </w:r>
    </w:p>
    <w:p>
      <w:pPr>
        <w:pStyle w:val="SourceNote"/>
      </w:pPr>
      <w:r>
        <w:rPr>
          <w:b/>
        </w:rPr>
        <w:t>Available abstract (not full text):</w:t>
      </w:r>
      <w:r>
        <w:t xml:space="preserve"> This study investigates the trade diversion effects stemming from the European Union’s (EU) Free Trade Agreements (FTAs) with third countries—particularly Canada and Algeria—on Türkiye’s import structure. As a non-EU member bound by the EU–Türkiye Customs Union, Türkiye is compelled to align with the Common External Tariff but is systematically excluded from the EU’s bilateral trade negotiations. This institutional asymmetry creates the potential for both direct and indirect trade diversion, whereby third-country exporters route goods through the EU to exploit tariff advantages. Using detailed trade data from 2004 to 2023 and disaggregated product-level analysis across HS chapters (notably Chapters 10, 27, 28, 29, 72, 79, and 84), this study demonstrates that trade diversion is both sector-specific and tariff-sensitive. Empirical findings show strong diversionary patterns in energy-related and agricultural commodities, whereas capital goods and chemical sectors show limited or no diversion. The analysis is supported by a comparative assessment of customs duty structures and trade flows between Türkiye, Canada, and Algeria vis-à-vis the EU. Panel gravity model estimations using Poisson Pseudo Maximum Likelihood (PPML) reveal statistically significant diversion effects, confirming that Türkiye’s exclusion from the EU FTAs with Canada and Algeria has a measurable negative impact o</w:t>
      </w:r>
    </w:p>
    <w:p>
      <w:pPr/>
      <w:r>
        <w:rPr>
          <w:b/>
        </w:rPr>
        <w:t>POSSIBLE 2025:</w:t>
      </w:r>
      <w:r>
        <w:t xml:space="preserve"> Trade and Sustainable Development Between the European Union and New Zealand — https://doi.org/10.53465/ceecbe.2025.9788022552257.303-314</w:t>
      </w:r>
    </w:p>
    <w:p>
      <w:pPr/>
      <w:r>
        <w:rPr>
          <w:b/>
        </w:rPr>
        <w:t>Shared claim-specific concepts:</w:t>
      </w:r>
      <w:r>
        <w:t xml:space="preserve"> trade, between, agenda, objectives, goals; EU scope visible. This is a provisional connection, not an outcome finding.</w:t>
      </w:r>
    </w:p>
    <w:p>
      <w:pPr>
        <w:pStyle w:val="SourceNote"/>
      </w:pPr>
      <w:r>
        <w:rPr>
          <w:b/>
        </w:rPr>
        <w:t>Available abstract (not full text):</w:t>
      </w:r>
      <w:r>
        <w:t xml:space="preserve"> The bilateral Free Trade Agreement (FTA) between the European Union (EU) and New Zealand, concluded in May 2024, represents a significant advancement in their trade and economic relations. Both partners prioritize social, economic, and environmental objectives as integral components of their trade policies, reflecting shared values and a commitment to balanced growth. The paper assesses how trade policies can support environmental objectives and strengthen circular economy principles. A particular emphasis is placed on Chapter 19 of the EU-New Zealand FTA, titled "Trade and Sustainable Development" (T&amp;SD), which addresses the interface between trade policy and the goals of environmental protection and labour rights. The article evaluates the alignment of the FTA with the broader global agenda for sustainable trade.</w:t>
      </w:r>
    </w:p>
    <w:p>
      <w:pPr/>
      <w:r>
        <w:rPr>
          <w:b/>
        </w:rPr>
        <w:t>POSSIBLE 2025:</w:t>
      </w:r>
      <w:r>
        <w:t xml:space="preserve"> Curbing the European Union’s global deforestation footprint through trade — https://doi.org/10.1080/1523908x.2025.2480696</w:t>
      </w:r>
    </w:p>
    <w:p>
      <w:pPr/>
      <w:r>
        <w:rPr>
          <w:b/>
        </w:rPr>
        <w:t>Shared claim-specific concepts:</w:t>
      </w:r>
      <w:r>
        <w:t xml:space="preserve"> trade, between, objectives, extent, achieve; EU scope visible. This is a provisional connection, not an outcome finding.</w:t>
      </w:r>
    </w:p>
    <w:p>
      <w:pPr>
        <w:pStyle w:val="SourceNote"/>
      </w:pPr>
      <w:r>
        <w:rPr>
          <w:b/>
        </w:rPr>
        <w:t>Available abstract (not full text):</w:t>
      </w:r>
      <w:r>
        <w:t xml:space="preserve"> Notwithstanding their vital role in sustaining human life and well-being on Earth, there is mounting evidence that the world’s forests are under serious threat, mainly due to illegal logging and agricultural expansion. The European Union (EU), as a major importer of forest-risk commodities, bears significant responsibility for this trend of global deforestation and forest degradation. However, the EU has recently taken a first step towards addressing its consumption-driven contribution to global forest destruction by adopting the Forest Due Diligence Regulation in May 2023. This contribution provides an assessment of the new regulation, which attempts to achieve environmental conservation objectives through trade, as a novel case study of the EU’s management of the environment-trade nexus. More specifically, it enquires into the extent to which the EU has been effective in promoting environmental protection through trade under the Forest Due Diligence Regulation, considering both its institutional effectiveness and its (potential) impact effectiveness. The key finding of this analysis is that while the regulation seeks to strike a balance between environmental and trade objectives, it does not quite yet strike an appropriate balance between them.</w:t>
      </w:r>
    </w:p>
    <w:p>
      <w:pPr>
        <w:pStyle w:val="Heading2"/>
      </w:pPr>
      <w:r>
        <w:t>536.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2024:</w:t>
      </w:r>
      <w:r>
        <w:t xml:space="preserve"> Projection of the number of new lymphoma cases in the world — https://doi.org/10.1093/jjco/hyae147</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lymphoma cases including both Hodgkin and non-Hodgkin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and the USA (graph on the far left and second to the left) are to be interpreted with reference to the right Y-axis, by contrast with results for all other countries, given with reference to the left Y-axis of each graph. Figure 1 shows the trend in the estimated numbers of lymphoma cases for males. Estimated number of new Hodgkin and non-Hodgkin lymphoma cases from 2022 to 2050 (male). In 2022, the highest number of new cases were found in the USA (48 249), Chi</w:t>
      </w:r>
    </w:p>
    <w:p>
      <w:pPr/>
      <w:r>
        <w:rPr>
          <w:b/>
        </w:rPr>
        <w:t>POSSIBLE 2024:</w:t>
      </w:r>
      <w:r>
        <w:t xml:space="preserve"> Projection of the number of new cases of ovarian cancer in the world — https://doi.org/10.1093/jjco/hyad191</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ovarian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number of cases by 2040 prediction relative to the number of cases in 2020 for each country. Figure 1 illustrates the projected trends in the estimated number of ovarian cancer cases for females in 2020 and 2040. Notice that results for China (shown in the leftmost graph) and for the USA (shown in the second graph from the left) are represented on the right Y axis, by contrast with all other numbers represented on the left Y axis of each graph. This differentiation is attributed to the considerably higher number of cases in these two countries compared to the rest. In 2020, the highest number of new cases o</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estimated, number, cases, between;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Projection of the number of new brain and central nervous system cancer cases in the world — https://doi.org/10.1093/jjco/hyae165</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new brain and central nervous system cancer cases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the USA and Brazil (graph on the far left and second to the left) are to be interpreted with reference to the right Y-axis, by contrast with results for all other countries, given with reference to the left Y-axis of each graph. Figure 1 shows the trend in the estimated numbers of new brain and central nervous system cancer cases for males. In 2022, the largest number of new cases were found in China (42’398) followed by the USA (14 034) and Brazil (6381). Europe s</w:t>
      </w:r>
    </w:p>
    <w:p>
      <w:pPr/>
      <w:r>
        <w:rPr>
          <w:b/>
        </w:rPr>
        <w:t>POSSIBLE 2024:</w:t>
      </w:r>
      <w:r>
        <w:t xml:space="preserve"> Ammonia emission estimates using CrIS satellite observations over Europe — https://doi.org/10.5194/acp-24-10583-2024</w:t>
      </w:r>
    </w:p>
    <w:p>
      <w:pPr/>
      <w:r>
        <w:rPr>
          <w:b/>
        </w:rPr>
        <w:t>Shared claim-specific concepts:</w:t>
      </w:r>
      <w:r>
        <w:t xml:space="preserve"> number, use; EU scope visible. This is a provisional connection, not an outcome finding.</w:t>
      </w:r>
    </w:p>
    <w:p>
      <w:pPr>
        <w:pStyle w:val="SourceNote"/>
      </w:pPr>
      <w:r>
        <w:rPr>
          <w:b/>
        </w:rPr>
        <w:t>Available abstract (not full text):</w:t>
      </w:r>
      <w:r>
        <w:t xml:space="preserve"> Over the past century, ammonia (NH 3 ) emissions have increased with the growth of livestock and fertilizer usage. The abundant NH 3 emissions lead to secondary fine particulate matter (PM 2.5 ) pollution, climate change, and a reduction in biodiversity, and they affect human health. Up-to-date and spatially and temporally resolved information on NH 3 emissions is essential to better quantify their impact. In this study we applied the existing Daily Emissions Constrained by Satellite Observations (DECSO) algorithm to NH 3 observations from the Cross-track Infrared Sounder (CrIS) to estimate NH 3 emissions. Because NH 3 in the atmosphere is influenced by nitrogen oxides (NO x ), we implemented DECSO to estimate NO x and NH 3 emissions simultaneously. The emissions are derived over Europe for 2020 on a spatial resolution of 0.2 ° ×0.2 ° using daily observations from both CrIS and the TROPOspheric Monitoring Instrument (TROPOMI; on the Sentinel-5 Precursor (S5P) satellite). Due to the limited number of daily satellite observations of NH 3 , monthly emissions of NH 3 are reported. The total NH 3 emissions derived from observations are about 8 Tg yr −1 , with a precision of about 5 %–17 % per grid cell per year over the European domain (35–55° N, 10° W–30° E). The comparison of the satellite-derived NH 3 emissions from DECSO with independent bottom-up inventories and in situ observa</w:t>
      </w:r>
    </w:p>
    <w:p>
      <w:pPr/>
      <w:r>
        <w:rPr>
          <w:b/>
        </w:rPr>
        <w:t>POSSIBLE 2024:</w:t>
      </w:r>
      <w:r>
        <w:t xml:space="preserve"> Projection of the number of new cases of prostate cancer in the world — https://doi.org/10.1093/jjco/hyae030</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prostate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predicted percentage increase in the number of cases by 2040 relative to the number of cases in 2020 for each country. Figure 1 illustrates the projected trends in the estimated number of prostate cancer cases for males between 2020 and 2040. In 2020, the highest number of new cases of prostate cancer was estimated in the USA (209512), China (115426), Japan (106139) and Brazil (97278). Estimated numbers of cases were also high in European countries, ranging from 56 780 in the UK to 67 959 in Germany. In all other countries included in this report, numbers of cases of prostate cancer were much lower, with the lowest numbers estimated</w:t>
      </w:r>
    </w:p>
    <w:p>
      <w:pPr/>
      <w:r>
        <w:rPr>
          <w:b/>
        </w:rPr>
        <w:t>POSSIBLE 2024:</w:t>
      </w:r>
      <w:r>
        <w:t xml:space="preserve"> Estimating the Effective Size of European Wolf Populations — https://doi.org/10.1111/eva.70021</w:t>
      </w:r>
    </w:p>
    <w:p>
      <w:pPr/>
      <w:r>
        <w:rPr>
          <w:b/>
        </w:rPr>
        <w:t>Shared claim-specific concepts:</w:t>
      </w:r>
      <w:r>
        <w:t xml:space="preserve"> estimated, number, overall; EU scope visible. This is a provisional connection, not an outcome finding.</w:t>
      </w:r>
    </w:p>
    <w:p>
      <w:pPr>
        <w:pStyle w:val="SourceNote"/>
      </w:pPr>
      <w:r>
        <w:rPr>
          <w:b/>
        </w:rPr>
        <w:t>Available abstract (not full text):</w:t>
      </w:r>
      <w:r>
        <w:t xml:space="preserve"> ABSTRACT Molecular methods are routinely used to estimate the effective size of populations ( N e ). However, underlying model assumptions are frequently violated to an unknown extent. Although simulations can detect sources of bias and help to adjust sampling strategies and analyses methods, additional information from empirical data can also be used to calibrate methods and improve molecular N e estimation methods. Here, we take advantage of long‐term genetic and ecological monitoring data of the grey wolf ( Canis lupus ) in Germany, and detailed population genetic studies in Poland, Spain and Portugal to improve N e estimation strategies in this species, and species with similar life history traits. We first calculated N e from average lifetime reproductive success and detailed census data from the German population, which served as a baseline to compare to molecular estimates based on linkage disequilibrium and sibship frequency. This yielded a robust N e / N c estimation that we used to calibrate molecular estimates of German, Polish and Iberian wolf populations. The linkage disequilibrium method was strongly influenced by spatial genetic structure, much more than the sibship frequency method. When N e was estimated in local neighbourhoods, both methods yielded comparable results. Estimates of the metapopulation effective size seemed to correspond generally well with the s</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pStyle w:val="Heading2"/>
      </w:pPr>
      <w:r>
        <w:t>537.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Assessing teratogenic risks of gadolinium in freshwater environments: Implications for environmental health — https://doi.org/10.1016/j.ecoenv.2024.116442</w:t>
      </w:r>
    </w:p>
    <w:p>
      <w:pPr/>
      <w:r>
        <w:rPr>
          <w:b/>
        </w:rPr>
        <w:t>Shared claim-specific concepts:</w:t>
      </w:r>
      <w:r>
        <w:t xml:space="preserve"> here, assess, environmental, implications; EU scope visible. This is a provisional connection, not an outcome finding.</w:t>
      </w:r>
    </w:p>
    <w:p>
      <w:pPr>
        <w:pStyle w:val="SourceNote"/>
      </w:pPr>
      <w:r>
        <w:rPr>
          <w:b/>
        </w:rPr>
        <w:t>Available abstract (not full text):</w:t>
      </w:r>
      <w:r>
        <w:t xml:space="preserve"> Gadolinium (Gd) is among the rare earth elements extensively utilized in both industrial and medical applications. The latter application appears to contribute to the rise in Gd levels in aquatic ecosystems, as it is excreted via urine from patients undergoing MRI scans and often not captured by wastewater treatment systems. The potential environmental and biological hazards posed by gadolinium exposure are still under investigation. This study aimed to assess the teratogenic risk posed by a gadolinium chelate on the freshwater cnidarian Hydra vulgaris. The experimental design evaluated the impact of pure Gadodiamide (25 μg/l, 50 μg/l, 100 μg/l, 500 μg/l) and its commercial counterpart compound (Omniscan®; 100 μg/l, 500 μg/l, 782.7 mg/l) at varying concentrations using the Teratogenic Risk Index (TRI). Here we showed a moderate risk (Class III of TRI) following exposure to both tested formulations at concentrations ≥ 100 μg/l. Given the potential for similar concentrations in aquatic environments, particularly near wastewater discharge points, a teratogenic risk assessment using the Hydra regeneration assay was conducted on environmental samples collected from three rivers (Tiber, Almone, and Sacco) in Central Italy. Additionally, chemical analysis of field samples was performed using ICP-MS. Analysis of freshwater samples revealed low Gd concentrations (≤ 0.1 μg/l), despite lo</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here, assess, environmental, implications, approach;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r>
        <w:rPr>
          <w:b/>
        </w:rPr>
        <w:t>POSSIBLE 2024:</w:t>
      </w:r>
      <w:r>
        <w:t xml:space="preserve"> Assessing the Potential for Electrification of the Food Industry and Its Implications for Environmental Sustainability — https://doi.org/10.3390/en17112602</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Electrification is one of the most promising options to align energy demand with greenhouse gas emission reduction targets set by the Paris Agreement or the EU Green Deal. Most studies on the electrification of industrial processes focus on energy and greenhouse gas emissions, while other potential environmental impacts have often been overlooked. The aim of the proposed work is therefore to highlight the benefits and drawbacks of switching to electricity, using life cycle assessment (LCA) methodology to explore more environmental issues. In addition, in order to evaluate the environmental sustainability of this transformation, the LCA results are compared with sustainability thresholds defined with two different methods, on a global scale using “sustainable levels” concept. The first method is based on current environmental impacts of the industrial processes while the second considers the economic added value. Industrial heat productions for the Danish and French food industries are used as case studies. The results show a large number of environmental trade-offs associated with electrification, some of which are leading to unsustainable levels. Sustainability thresholds based on economic added value ensure a fairer distribution between sectors, in particular by preventing the most virtuous sectors and processes from being penalised.</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here, assess, based;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multiple, approach;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2023:</w:t>
      </w:r>
      <w:r>
        <w:t xml:space="preserve"> Environmental and socio-economic effects of construction and demolition waste recycling in the European Union — https://doi.org/10.1016/j.scitotenv.2023.168295</w:t>
      </w:r>
    </w:p>
    <w:p>
      <w:pPr/>
      <w:r>
        <w:rPr>
          <w:b/>
        </w:rPr>
        <w:t>Shared claim-specific concepts:</w:t>
      </w:r>
      <w:r>
        <w:t xml:space="preserve"> assess, environmental, union; EU scope visible. This is a provisional connection, not an outcome finding.</w:t>
      </w:r>
    </w:p>
    <w:p>
      <w:pPr>
        <w:pStyle w:val="SourceNote"/>
      </w:pPr>
      <w:r>
        <w:rPr>
          <w:b/>
        </w:rPr>
        <w:t>Available abstract (not full text):</w:t>
      </w:r>
      <w:r>
        <w:t xml:space="preserve"> The recovery rate of construction and demolition waste (CDW) in the European Union (EU) is at 89 % and thus high relative to other waste streams. However, the relatively high figure can be misleading because it typically does not correspond to high-value material recovery but rather “poor” levels of circularity. From a life-cycle perspective, we assess the environmental impacts and costs of 12 CDW material fractions relying on alternative pathways and treatment technologies. The results indicate important trade-offs in the transition towards the circular economy. Indeed, recycling of concrete, bricks, gypsum, and ceramics and tiles represent the best environmental performance but also the most expensive pathway. However, when shifting from landfill to recycling the total societal costs in the EU are reduced mainly due to the lower external costs. Overall, recycling CDW in the EU with advanced technologies would save about 264 kg CO2-eq t−1 with a cost of 25 EUR t−1. The maximum potential for recycling under current technology in the EU would lead to an annual total reduction of about 33 Mt. of CO2-eq using 2020 as reference year. The fractions with the highest potential for improving current waste management practices in terms of environmental improvements are concrete and bricks. The economic and non-economic barriers for realising this potential at EU level are discussed in r</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environmental, based, approach;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2023:</w:t>
      </w:r>
      <w:r>
        <w:t xml:space="preserve"> Assessing the socio-demographic representativeness of mobile phone application data — https://doi.org/10.1016/j.apgeog.2023.102997</w:t>
      </w:r>
    </w:p>
    <w:p>
      <w:pPr/>
      <w:r>
        <w:rPr>
          <w:b/>
        </w:rPr>
        <w:t>Shared claim-specific concepts:</w:t>
      </w:r>
      <w:r>
        <w:t xml:space="preserve"> multiple, novel, approach; EU scope not established. This is a provisional connection, not an outcome finding.</w:t>
      </w:r>
    </w:p>
    <w:p>
      <w:pPr>
        <w:pStyle w:val="SourceNote"/>
      </w:pPr>
      <w:r>
        <w:rPr>
          <w:b/>
        </w:rPr>
        <w:t>Available abstract (not full text):</w:t>
      </w:r>
      <w:r>
        <w:t xml:space="preserve"> Emerging forms of mobile phone data generated from the use of mobile phone applications have the potential to advance scientific research across a range of disciplines. However, there are risks regarding uncertainties in the socio-demographic representativeness of these data, which may introduce bias and mislead policy recommendations. This paper addresses the issue directly by developing a novel approach to assessing socio-demographic representativeness, demonstrating this with two large independent mobile phone application datasets, Huq and Tamoco, each with three years data for a large and diverse city-region (Glasgow, Scotland) home to over 1.8 million people. We advance methods for detecting home location by including high-resolution land use data in the process and test representativeness across multiple dimensions. Our findings offer greater confidence in using mobile phone app data for research and planning. Both datasets show good representativeness compared to the known population distribution. Indeed, they achieve better population coverage than the ‘gold standard’ random sample survey which is the alternative source of data on population mobility in this region. More importantly, our approach provides an improved benchmark for assessing the quality of similar data sources in the future.</w:t>
      </w:r>
    </w:p>
    <w:p>
      <w:pPr/>
      <w:r>
        <w:rPr>
          <w:b/>
        </w:rPr>
        <w:t>POSSIBLE 2023:</w:t>
      </w:r>
      <w:r>
        <w:t xml:space="preserve"> Assessing the energy trap of industrial agriculture in North America and Europe: 82 balances from 1830 to 2012 — https://doi.org/10.1007/s13593-023-00925-5</w:t>
      </w:r>
    </w:p>
    <w:p>
      <w:pPr/>
      <w:r>
        <w:rPr>
          <w:b/>
        </w:rPr>
        <w:t>Shared claim-specific concepts:</w:t>
      </w:r>
      <w:r>
        <w:t xml:space="preserve"> here, based, approach, biomass; EU scope visible. This is a provisional connection, not an outcome finding.</w:t>
      </w:r>
    </w:p>
    <w:p>
      <w:pPr>
        <w:pStyle w:val="SourceNote"/>
      </w:pPr>
      <w:r>
        <w:rPr>
          <w:b/>
        </w:rPr>
        <w:t>Available abstract (not full text):</w:t>
      </w:r>
      <w:r>
        <w:t xml:space="preserve"> Early energy analyses of agriculture revealed that behind higher labor and land productivity of industrial farming, there was a decrease in energy returns on energy (EROI) invested, in comparison to more traditional organic agricultural systems. Studies on recent trends show that efficiency gains in production and use of inputs have again somewhat improved energy returns. However, most of these agricultural energy studies have focused only on external inputs at the crop level, concealing the important role of internal biomass flows that livestock and forestry recirculate within agroecosystems. Here, we synthesize the results of 82 farm systems in North America and Europe from 1830 to 2012 that for the first time show the changing energy profiles of agroecosystems, including livestock and forestry, with a multi-EROI approach that accounts for the energy returns on external inputs, on internal biomass reuses, and on all inputs invested. With this historical circular bioeconomic approach, we found a general trend towards much lower external returns, little or no increases in internal returns, and almost no improvement in total returns. This "energy trap" was driven by shifts towards a growing dependence of crop production on fossil-fueled external inputs, much more intensive livestock production based on feed grains, less forestry, and a structural disintegration of agroecosystem </w:t>
      </w:r>
    </w:p>
    <w:p>
      <w:pPr>
        <w:pStyle w:val="Heading2"/>
      </w:pPr>
      <w:r>
        <w:t>538.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2025:</w:t>
      </w:r>
      <w:r>
        <w:t xml:space="preserve"> Concluding Remarks — https://doi.org/10.1017/9781009381437.012</w:t>
      </w:r>
    </w:p>
    <w:p>
      <w:pPr/>
      <w:r>
        <w:rPr>
          <w:b/>
        </w:rPr>
        <w:t>Shared claim-specific concepts:</w:t>
      </w:r>
      <w:r>
        <w:t xml:space="preserve"> conclude, potential, approach, other; EU scope not established. This is a provisional connection, not an outcome finding.</w:t>
      </w:r>
    </w:p>
    <w:p>
      <w:pPr>
        <w:pStyle w:val="SourceNote"/>
      </w:pPr>
      <w:r>
        <w:rPr>
          <w:b/>
        </w:rPr>
        <w:t>Available abstract (not full text):</w:t>
      </w:r>
      <w:r>
        <w:t xml:space="preserve"> Chapter 11 starts with embedding the framework of Direction Dependence Analysis (DDA) into the methodological landscape of approaches to establishing causal effects. Specifically, it discusses the role of DDA relative to randomized experiments and describes three application scenarios in which DDA provides novel insights into the causal mechanisms underlying variable relations. It then discusses the use of statistical principles of DDA that emerge from incorporating non-Gaussianity information in existing methods for causal inference such as instrumental variable estimation, cross-lagged panel modeling, Granger-causality testing, and estimating models of reciprocal causation. For each approach, we outline how and to what extent principles of DDA can aid the pursuit of consistently estimating causal effects. The chapter closes with potential extensions of DDA principles to the categorical data domain and a reminder of the importance of data quality when applying DDA in practice. Here, it focuses on potential adverse effects of measurement error, the role of psychometric measurement of constructs of interest, and other forms of data contamination that can bias DDA decisions (e.g., ceiling/floor effects). Overall, however, we conclude that DDA and related methods that use non-Gaussian information for studying causation constitute an exciting and developing field of methods researc</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conclude, implications, foresight, approach, regions;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2024:</w:t>
      </w:r>
      <w:r>
        <w:t xml:space="preserve"> When Replication Fails: What to Conclude and Not to Conclude? — https://doi.org/10.1177/25152459241268197</w:t>
      </w:r>
    </w:p>
    <w:p>
      <w:pPr/>
      <w:r>
        <w:rPr>
          <w:b/>
        </w:rPr>
        <w:t>Shared claim-specific concepts:</w:t>
      </w:r>
      <w:r>
        <w:t xml:space="preserve"> conclude, potential, implications; EU scope not established. This is a provisional connection, not an outcome finding.</w:t>
      </w:r>
    </w:p>
    <w:p>
      <w:pPr>
        <w:pStyle w:val="SourceNote"/>
      </w:pPr>
      <w:r>
        <w:rPr>
          <w:b/>
        </w:rPr>
        <w:t>Available abstract (not full text):</w:t>
      </w:r>
      <w:r>
        <w:t xml:space="preserve"> In this commentary, we examine the implications of the failed replication reported by Vaidis et al., which represents the largest multilab attempt to replicate the induced-compliance paradigm in cognitive-dissonance theory. We respond to commentaries on this study and discuss potential explanations for the null findings, including issues with the perceived choice manipulation and various post hoc explanations. Our commentary includes an assessment of the broader landscape of cognitive-dissonance research, revealing pervasive methodological limitations, such as underpowered studies and a lack of open-science practices. We conclude that our replication study and our examination of the literature raise substantial concerns about the reliability of the induced-compliance paradigm and highlight the need for more rigorous research practices in the field of cognitive dissonance.</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potential, foresight, sustainable;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Leading a New Path with Foresight in China — https://doi.org/10.1002/9781394340651.ch4</w:t>
      </w:r>
    </w:p>
    <w:p>
      <w:pPr/>
      <w:r>
        <w:rPr>
          <w:b/>
        </w:rPr>
        <w:t>Shared claim-specific concepts:</w:t>
      </w:r>
      <w:r>
        <w:t xml:space="preserve"> conclude, discussing, foresight; EU scope not established. This is a provisional connection, not an outcome finding.</w:t>
      </w:r>
    </w:p>
    <w:p>
      <w:pPr>
        <w:pStyle w:val="SourceNote"/>
      </w:pPr>
      <w:r>
        <w:rPr>
          <w:b/>
        </w:rPr>
        <w:t>Available abstract (not full text):</w:t>
      </w:r>
      <w:r>
        <w:t xml:space="preserve"> The Chinese government deeply participate in the planning of social and economic activities, and allocate resources at the macro-level through each five-year plan, meanwhile raise long-term future prospects through Long-Range Objectives Through the Year 2035. Enterprises tend to follow closely with economic development goals based on the five-year plan and long-term visions, without the need to build up own foresight capability. Foresight, while offering promising future prospects, often appears idealistic and lacking in the data and analysis needed to gain their trust. The pivotal challenge lies in the measurement and validation of the foresight, a critical step to support further investment in exploring future innovation opportunities. When discussing with foresight practitioners in China, we discover that the demand for foresight as a methodology is rising at critical junctures of growth dilemma. To conclude, developing foresight literacy is a gradual but highly worthwhile journey.</w:t>
      </w:r>
    </w:p>
    <w:p>
      <w:pPr/>
      <w:r>
        <w:rPr>
          <w:b/>
        </w:rPr>
        <w:t>POSSIBLE 2024:</w:t>
      </w:r>
      <w:r>
        <w:t xml:space="preserve"> Application of Foresight Analysis Methods for Food Supply Research — https://doi.org/10.17212/2075-0862-2024-16.4.2-292-308</w:t>
      </w:r>
    </w:p>
    <w:p>
      <w:pPr/>
      <w:r>
        <w:rPr>
          <w:b/>
        </w:rPr>
        <w:t>Shared claim-specific concepts:</w:t>
      </w:r>
      <w:r>
        <w:t xml:space="preserve"> conclude, potential, foresight, approach; EU scope not established. This is a provisional connection, not an outcome finding.</w:t>
      </w:r>
    </w:p>
    <w:p>
      <w:pPr>
        <w:pStyle w:val="SourceNote"/>
      </w:pPr>
      <w:r>
        <w:rPr>
          <w:b/>
        </w:rPr>
        <w:t>Available abstract (not full text):</w:t>
      </w:r>
      <w:r>
        <w:t xml:space="preserve"> This article discusses the possibilities of using foresight analysis methods in relation to the issue of food supply. Taking into account the fact that food markets are a rather complex object of study, and food supply depends not only on quantitative (volume of consumption, total calorie intake), but also qualitative parameters (quality of nutrition, structure and macronutrient composition of the food basket, provision of micronutrients, etc.), using only quantitative, economic and statistical methods for analysis is inappropriate. The best effect can be achieved by foresight techniques that take into account non-trivial, deep connections and allow a more comprehensive look at the phenomenon under consideration. Taking into account the above, the authors systematized modern approaches to foresight analysis, considered the most effective methods, such as identifying weak signals and wild card events, and also identified the features of using these methodological approaches for analyzing food markets, which are subject to a wide range of difficult to predict climatic and technogenic factors, as well as factors of geopolitical and macroeconomic nature. An emphasis on identifying implicit connections, and also predicting key reference points that can have a decisive impact on the development of food markets, can help improve economic resilience in the face of emerging global food </w:t>
      </w:r>
    </w:p>
    <w:p>
      <w:pPr/>
      <w:r>
        <w:rPr>
          <w:b/>
        </w:rPr>
        <w:t>POSSIBLE 2023:</w:t>
      </w:r>
      <w:r>
        <w:t xml:space="preserve"> Discussing ChatGPT in education: A literature review and bibliometric analysis — https://doi.org/10.1080/2331186x.2023.2243134</w:t>
      </w:r>
    </w:p>
    <w:p>
      <w:pPr/>
      <w:r>
        <w:rPr>
          <w:b/>
        </w:rPr>
        <w:t>Shared claim-specific concepts:</w:t>
      </w:r>
      <w:r>
        <w:t xml:space="preserve"> conclude, discussing, potential; EU scope not established. This is a provisional connection, not an outcome finding.</w:t>
      </w:r>
    </w:p>
    <w:p>
      <w:pPr>
        <w:pStyle w:val="SourceNote"/>
      </w:pPr>
      <w:r>
        <w:rPr>
          <w:b/>
        </w:rPr>
        <w:t>Available abstract (not full text):</w:t>
      </w:r>
      <w:r>
        <w:t xml:space="preserve"> This article aims to provide a review of existing research on the use of OpenAI ChatGPT in education using bibliometric analysis and systematic literature review. We explored published articles to observe the leading contributors to this field, the important subtopics, and the potential study in the future. We discovered that there is already a rise in the quantity of articles published on this subject between 2022 and 2023. We also map the research clusters using network analysis. The results obtained found a total of 93 articles. The analysis conclude that keywords such as “challenge,” “teaching,” and “knowledge,” have not been thoroughly researched This article contributes to the literature discussing the use of artificial intelligence in education and can be useful for academics and policymakers in education.</w:t>
      </w:r>
    </w:p>
    <w:p>
      <w:pPr/>
      <w:r>
        <w:rPr>
          <w:b/>
        </w:rPr>
        <w:t>POSSIBLE 2023:</w:t>
      </w:r>
      <w:r>
        <w:t xml:space="preserve"> A Brief Overview of ChatGPT: The History, Status Quo and Potential Future Development — https://doi.org/10.1109/jas.2023.123618</w:t>
      </w:r>
    </w:p>
    <w:p>
      <w:pPr/>
      <w:r>
        <w:rPr>
          <w:b/>
        </w:rPr>
        <w:t>Shared claim-specific concepts:</w:t>
      </w:r>
      <w:r>
        <w:t xml:space="preserve"> conclude, potential; EU scope not established. This is a provisional connection, not an outcome finding.</w:t>
      </w:r>
    </w:p>
    <w:p>
      <w:pPr>
        <w:pStyle w:val="SourceNote"/>
      </w:pPr>
      <w:r>
        <w:rPr>
          <w:b/>
        </w:rPr>
        <w:t>Available abstract (not full text):</w:t>
      </w:r>
      <w:r>
        <w:t xml:space="preserve"> 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w:t>
      </w:r>
    </w:p>
    <w:p>
      <w:pPr>
        <w:pStyle w:val="Heading2"/>
      </w:pPr>
      <w:r>
        <w:t>539.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2025:</w:t>
      </w:r>
      <w:r>
        <w:t xml:space="preserve"> 14. (How) Can the Energy Transition in Europe be a Just Transition? — https://doi.org/10.11647/obp.0499.14</w:t>
      </w:r>
    </w:p>
    <w:p>
      <w:pPr/>
      <w:r>
        <w:rPr>
          <w:b/>
        </w:rPr>
        <w:t>Shared claim-specific concepts:</w:t>
      </w:r>
      <w:r>
        <w:t xml:space="preserve"> transition, emissions;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transition, emissions, show,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Decoupling Economy Growth and Emissions: Energy Transition Pathways Under the European Agenda for Climate Action — https://doi.org/10.3390/en18195096</w:t>
      </w:r>
    </w:p>
    <w:p>
      <w:pPr/>
      <w:r>
        <w:rPr>
          <w:b/>
        </w:rPr>
        <w:t>Shared claim-specific concepts:</w:t>
      </w:r>
      <w:r>
        <w:t xml:space="preserve"> transition, ghg, emissions, co2; EU scope visible. This is a provisional connection, not an outcome finding.</w:t>
      </w:r>
    </w:p>
    <w:p>
      <w:pPr>
        <w:pStyle w:val="SourceNote"/>
      </w:pPr>
      <w:r>
        <w:rPr>
          <w:b/>
        </w:rPr>
        <w:t>Available abstract (not full text):</w:t>
      </w:r>
      <w:r>
        <w:t xml:space="preserve"> As the European Union’s energy systems are transforming towards achieving climate goals, this article examines the energy balances of EU member states. This analysis covers, among other things, the dynamics of energy dependence and strategies for decoupling economic growth from the level of emissions in the European Union (EU), with particular emphasis on Poland, which is strongly influenced by its historical reliance on coal in the energy balance. Using panel data from 1990 to 2022, the article investigates differences in energy dependence between individual countries, shaped by economic structures and national energy policies. The study results confirm significant heterogeneity between member states and emphasize that the stability and direction of decoupling economic growth from greenhouse gas (GHG) emissions are strongly dependent on the composition of the energy mix and vulnerability to external conditions. Based on scenario analysis, potential paths for Poland’s energy transition are assessed. We demonstrate that a high share of renewable energy sources (RES) significantly reduces CO2 emissions, provided it is accompanied by infrastructure modernization and the development of energy storage. Furthermore, integrating nuclear energy as a stabilizing element of the energy mix offers an additional path to deep decarbonization while ensuring supply reliability. Finally, we dem</w:t>
      </w:r>
    </w:p>
    <w:p>
      <w:pPr/>
      <w:r>
        <w:rPr>
          <w:b/>
        </w:rPr>
        <w:t>POSSIBLE 2025:</w:t>
      </w:r>
      <w:r>
        <w:t xml:space="preserve"> Drivers of inequality in CO 2 per capita emissions: The role of the energy transition in the European Union — https://doi.org/10.1080/15567249.2025.2580555</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paper analyses the evolution of inequality in CO2 per capita (CO2pc) emissions in the 27 EU countries and its driving forces (1990–2018). The measure of inequality is the Theil index, which is additively decomposable by factors and population sub-groups. Along with the traditional factors (e.g. carbon intensity of the energy mix, energy intensity of GDP and GDP per capita), we introduce three new factors, namely the contribution of the electricity sector, the development of renewable energy and the progress of renewable electrification. We find that total inequality declined between 1990 and 2018. Over the whole period, carbon intensity of electricity production and renewable energy development are the main drivers of emissions inequality. In this sense, factors like energy intensity of GDP and GDP per capita are no longer so relevant to explain inequality in CO2pc emissions. Therefore, we stress the urgency of cohesion policies linked to technology transfers that ensure clean electrification of the economy, as they are crucial to fight climate change while reducing emissions inequality.</w:t>
      </w:r>
    </w:p>
    <w:p>
      <w:pPr/>
      <w:r>
        <w:rPr>
          <w:b/>
        </w:rPr>
        <w:t>POSSIBLE 2025:</w:t>
      </w:r>
      <w:r>
        <w:t xml:space="preserve"> Energy Transition and Household Carbon Emissions in China — https://doi.org/10.1111/1467-8454.12401</w:t>
      </w:r>
    </w:p>
    <w:p>
      <w:pPr/>
      <w:r>
        <w:rPr>
          <w:b/>
        </w:rPr>
        <w:t>Shared claim-specific concepts:</w:t>
      </w:r>
      <w:r>
        <w:t xml:space="preserve"> transition, emissions, show; EU scope not established. This is a provisional connection, not an outcome finding.</w:t>
      </w:r>
    </w:p>
    <w:p>
      <w:pPr>
        <w:pStyle w:val="SourceNote"/>
      </w:pPr>
      <w:r>
        <w:rPr>
          <w:b/>
        </w:rPr>
        <w:t>Available abstract (not full text):</w:t>
      </w:r>
      <w:r>
        <w:t xml:space="preserve"> ABSTRACT This paper uses CFPS 2014, 2016, and 2018 micro‐survey data to measure the level of household carbon emissions and utilizes Chinese city data to construct a composite index to measure the development level of energy transition and then empirically examines the impact of city energy transition on household carbon emissions through macro–micro data matching. It is found that the higher the index level of energy transition, the more obvious the inhibitory effect on household carbon emissions. Subsequently, the robustness test and the estimation results considering the endogeneity problem are not significantly different from the baseline regression findings. The mechanism analysis suggests that energy transition will have an indirect effect on household carbon emissions through green technology innovation, environmental regulation and the adjustment of consumer lifestyles. The heterogeneity study found that the impacts of energy transition on different household age structures, housing sizes, geographic locations and energy structures show significant differences. This paper has important policy implications for accelerating city energy transition, promoting energy structure transformation, and guiding household decarbonization.</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transition, ghg,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transition, reduction;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pStyle w:val="Heading2"/>
      </w:pPr>
      <w:r>
        <w:t>540.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2025:</w:t>
      </w:r>
      <w:r>
        <w:t xml:space="preserve"> Prediction of the Methane Yield From Extensively Managed, Flower‐Rich Fen Grassland Based on NIRS Data — https://doi.org/10.1111/gcbb.70046</w:t>
      </w:r>
    </w:p>
    <w:p>
      <w:pPr/>
      <w:r>
        <w:rPr>
          <w:b/>
        </w:rPr>
        <w:t>Shared claim-specific concepts:</w:t>
      </w:r>
      <w:r>
        <w:t xml:space="preserve"> despite, rich, extensive, energy; EU scope visible. This is a provisional connection, not an outcome finding.</w:t>
      </w:r>
    </w:p>
    <w:p>
      <w:pPr>
        <w:pStyle w:val="SourceNote"/>
      </w:pPr>
      <w:r>
        <w:rPr>
          <w:b/>
        </w:rPr>
        <w:t>Available abstract (not full text):</w:t>
      </w:r>
      <w:r>
        <w:t xml:space="preserve"> ABSTRACT In many regions of Europe, biogas production is an integral part of farming to generate methane as a sustainable and versatile renewable energy carrier. Besides providing feedstock for ruminants and energy production, grasslands support multiple beneficial ecosystem services, namely diverse flora and habitats that serve as resources for pollinators. The cost‐effective utilization of grassland biomass is mainly determined by the biomass quality, which is highly variable and dependent on the management intensities. Besides chemical analyses, biogas models are usually applied to predict the biogas yield of a specific biomass type and quality. However, available models do not apply to mixed grass stands as they primarily refer to individual grass species and/or are just based on single parameters such as lignin. In this work, we evaluated flower‐rich extensive fen grassland for its biogas yield using a newly created model based on common chemical parameters. Therefore, flower‐rich biomass from a cultivation experiment (n = 48) was analyzed for its biomass yield (average 9.43 ± 1.26 tVS × ha−1), chemical composition by wet chemical analysis and near‐infrared spectroscopy (NIRS), specific methane yield (SMY) potential via batch tests, and methane hectare yield (1505.62 ± 282.86 m3N × ha−1). In the results obtained, we found flower‐rich grassland biomass characterized by high</w:t>
      </w:r>
    </w:p>
    <w:p>
      <w:pPr/>
      <w:r>
        <w:rPr>
          <w:b/>
        </w:rPr>
        <w:t>POSSIBLE 2025:</w:t>
      </w:r>
      <w:r>
        <w:t xml:space="preserve"> Traditional agroforestry systems in Europe revisited: a systematic review — https://doi.org/10.1007/s10457-025-01335-0</w:t>
      </w:r>
    </w:p>
    <w:p>
      <w:pPr/>
      <w:r>
        <w:rPr>
          <w:b/>
        </w:rPr>
        <w:t>Shared claim-specific concepts:</w:t>
      </w:r>
      <w:r>
        <w:t xml:space="preserve"> despite, rich, long-term;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Multicultural Issues: A Comparison of India and Europe — https://doi.org/10.54103/milanoup.196.c365</w:t>
      </w:r>
    </w:p>
    <w:p>
      <w:pPr/>
      <w:r>
        <w:rPr>
          <w:b/>
        </w:rPr>
        <w:t>Shared claim-specific concepts:</w:t>
      </w:r>
      <w:r>
        <w:t xml:space="preserve"> despite, states, national; EU scope visible. This is a provisional connection, not an outcome finding.</w:t>
      </w:r>
    </w:p>
    <w:p>
      <w:pPr>
        <w:pStyle w:val="SourceNote"/>
      </w:pPr>
      <w:r>
        <w:rPr>
          <w:b/>
        </w:rPr>
        <w:t>Available abstract (not full text):</w:t>
      </w:r>
      <w:r>
        <w:t xml:space="preserve"> The chapter introduces the general framework of the multicultural debate in India and Europe, highlighting the points of originality and convergence.India and Europe, despite having different historical paths, today find themselves facing similar problems regarding the possibility of developing inclusive societies, capable of integrating diversity and difference in a context of democratic participation in common social and political life.India had to face -well before the multicultural debate was consolidated in the West -the question of including cultural difference in the definition of national unity.The central point of the multicultural comparison was the effort and need to build unity, solidarity and a sense of common belonging starting from the recognition of cultural differences.In many respects Europe has had to deal with an inverse problem: how to recognize the plurality and multiplicity of cultural differences starting from a deep-rooted idea of internal homogeneity which constituted the ideological and rhetorical basis of the formation of European nation states.A narrative of homogeneity and cultural purity which has fostered both internal cohesion and competitive distinction with other European states, but which is unmasked in its claim to naturalness by migratory phenomena and globalization processes.After briefly introducing the different ways in which multicultur</w:t>
      </w:r>
    </w:p>
    <w:p>
      <w:pPr/>
      <w:r>
        <w:rPr>
          <w:b/>
        </w:rPr>
        <w:t>POSSIBLE 2025:</w:t>
      </w:r>
      <w:r>
        <w:t xml:space="preserve"> Health and relationship quality of sexual minorities in Europe — https://doi.org/10.1007/s00148-025-01077-4</w:t>
      </w:r>
    </w:p>
    <w:p>
      <w:pPr/>
      <w:r>
        <w:rPr>
          <w:b/>
        </w:rPr>
        <w:t>Shared claim-specific concepts:</w:t>
      </w:r>
      <w:r>
        <w:t xml:space="preserve"> rich, member, states; EU scope visible. This is a provisional connection, not an outcome finding.</w:t>
      </w:r>
    </w:p>
    <w:p>
      <w:pPr>
        <w:pStyle w:val="SourceNote"/>
      </w:pPr>
      <w:r>
        <w:rPr>
          <w:b/>
        </w:rPr>
        <w:t>Available abstract (not full text):</w:t>
      </w:r>
      <w:r>
        <w:t xml:space="preserve"> Abstract A growing body of literature investigates inequalities between sexual minorities and their heterosexual peers. This paper deals with disparities in health, health-related behaviours, and relationship quality among LGB+ individuals. We use a novel data set that allows for a wide cross-national analysis (27 EU member states) of disparities between sexual minorities and the rest of the population, as well as differences in reporting sexual orientation. We consider a rich set of social stressors, individual-specific behavioural factors, and health outcomes, as well as novel para-data (i.e., individuals’ response times) that are not available in other large surveys. The results indicate that sexual minorities are more exposed to stigma-related social stressors (both in childhood and adulthood), report worse physical and mental health conditions, feel more lonely, and are more likely to engage in coping strategies aimed at reducing or adapting to stressful conditions. Some of these findings significantly differ across gay, lesbian, and bisexual individuals and with respect to household income, the country’s enforcement of sexual minorities’ rights, and relationship status.</w:t>
      </w:r>
    </w:p>
    <w:p>
      <w:pPr/>
      <w:r>
        <w:rPr>
          <w:b/>
        </w:rPr>
        <w:t>POSSIBLE 2025:</w:t>
      </w:r>
      <w:r>
        <w:t xml:space="preserve"> Measuring Sustainability in Economic Output in the Member States that Joined the European Union in 2004 — https://doi.org/10.1016/j.sftr.2025.100724</w:t>
      </w:r>
    </w:p>
    <w:p>
      <w:pPr/>
      <w:r>
        <w:rPr>
          <w:b/>
        </w:rPr>
        <w:t>Shared claim-specific concepts:</w:t>
      </w:r>
      <w:r>
        <w:t xml:space="preserve"> member, states, energy, long-term, still, union; EU scope visible. This is a provisional connection, not an outcome finding.</w:t>
      </w:r>
    </w:p>
    <w:p>
      <w:pPr>
        <w:pStyle w:val="SourceNote"/>
      </w:pPr>
      <w:r>
        <w:rPr>
          <w:b/>
        </w:rPr>
        <w:t>Available abstract (not full text):</w:t>
      </w:r>
      <w:r>
        <w:t xml:space="preserve"> • Resource productivity (RP) is a frequently used measure of sustainability. • RP is the ratio of GDP to domestic material consumption (DMC). • RP is examined in the member states of the European Union between 2011 and 2021. • Based on the results, RP has an impact on GDP. • The RP is influenced by different factors in the member states that joined in 2004. The 2004 enlargement of the European Union (EU) marked a significant shift, integrating ten new member states, most of which had experienced economic lag due to their historical background. This study assesses the progress of these countries in closing the gap with older EU members from 2011 to 2021, focusing on resource productivity as a key indicator of sustainable economic growth. Using panel regression and structural equation modeling, the analysis highlights persistent differences between the EU-27 and EU-10. Findings suggest that in EU-27 countries, resource productivity is driven primarily by circular economy measures, waste recycling, and renewable energy utilization. In contrast, EU-10 countries, still undergoing economic transformation, rely more on innovation, human capital development, and research and development (R&amp;D) investments to enhance efficiency. Notably, while renewable energy positively impacts resource productivity in EU-27, it shows a paradoxical negative effect in EU-10, likely due to transitional in</w:t>
      </w:r>
    </w:p>
    <w:p>
      <w:pPr/>
      <w:r>
        <w:rPr>
          <w:b/>
        </w:rPr>
        <w:t>POSSIBLE 2024:</w:t>
      </w:r>
      <w:r>
        <w:t xml:space="preserve"> Understanding and addressing shortfalls in European wild bee data — https://doi.org/10.1016/j.biocon.2024.110455</w:t>
      </w:r>
    </w:p>
    <w:p>
      <w:pPr/>
      <w:r>
        <w:rPr>
          <w:b/>
        </w:rPr>
        <w:t>Shared claim-specific concepts:</w:t>
      </w:r>
      <w:r>
        <w:t xml:space="preserve"> despite, national, long-term, still;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despite, member, states, describing, energy, union;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The use of injectable orthobiologics for knee osteoarthritis: A European ESSKA‐ORBIT consensus. Part 1—Blood‐derived products (platelet‐rich plasma) — https://doi.org/10.1002/ksa.12077</w:t>
      </w:r>
    </w:p>
    <w:p>
      <w:pPr/>
      <w:r>
        <w:rPr>
          <w:b/>
        </w:rPr>
        <w:t>Shared claim-specific concepts:</w:t>
      </w:r>
      <w:r>
        <w:t xml:space="preserve"> despite, rich, very; EU scope visible. This is a provisional connection, not an outcome finding.</w:t>
      </w:r>
    </w:p>
    <w:p>
      <w:pPr>
        <w:pStyle w:val="SourceNote"/>
      </w:pPr>
      <w:r>
        <w:rPr>
          <w:b/>
        </w:rPr>
        <w:t>Available abstract (not full text):</w:t>
      </w:r>
      <w:r>
        <w:t xml:space="preserve"> PURPOSE: The aim of this European Society of Sports Traumatology, Knee Surgery and Arthroscopy (ESSKA) consensus is to provide recommendations based on evidence and expert opinion to improve indications, decision-making and administration-related aspects when using blood-derived orthobiologics (for simplicity indicated as PRP-platelet-rich plasma-with PRP being the most common product) for the management of knee osteoarthritis (OA). METHODS: Leading European expert clinicians and scientists were divided into a steering group, a rating group and a peer review group. The steering group prepared 28 question-statement sets divided into three sections: PRP rationale and indications, PRP preparation and characterisation and PRP protocol. The quality of the statements received grades of recommendation ranging from A (high-level scientific support) to B (scientific presumption), C (low-level scientific support) or D (expert opinion). The question-statement sets were then evaluated by the rating group, and the statements scored from 1 to 9 based on their degree of agreement with the statements produced by the steering group. Once a general consensus was reached between the steering and rating groups, the document was submitted to the peer review group who evaluated the geographic adaptability and approved the document. A final combined meeting of all the members of the consensus was hel</w:t>
      </w:r>
    </w:p>
    <w:p>
      <w:pPr>
        <w:pStyle w:val="Heading2"/>
      </w:pPr>
      <w:r>
        <w:t>541.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2025:</w:t>
      </w:r>
      <w:r>
        <w:t xml:space="preserve"> The 2023 European Union report on pesticide residues in food — https://doi.org/10.2903/j.efsa.2025.9398</w:t>
      </w:r>
    </w:p>
    <w:p>
      <w:pPr/>
      <w:r>
        <w:rPr>
          <w:b/>
        </w:rPr>
        <w:t>Shared claim-specific concepts:</w:t>
      </w:r>
      <w:r>
        <w:t xml:space="preserve"> residues, increase, used; EU scope visible. This is a provisional connection, not an outcome finding.</w:t>
      </w:r>
    </w:p>
    <w:p>
      <w:pPr>
        <w:pStyle w:val="SourceNote"/>
      </w:pPr>
      <w:r>
        <w:rPr>
          <w:b/>
        </w:rPr>
        <w:t>Available abstract (not full text):</w:t>
      </w:r>
      <w:r>
        <w:t xml:space="preserve">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pPr/>
      <w:r>
        <w:rPr>
          <w:b/>
        </w:rPr>
        <w:t>POSSIBLE 2025:</w:t>
      </w:r>
      <w:r>
        <w:t xml:space="preserve"> Carbon footprint analysis of different tillage and crop residue management practices in wheat — https://doi.org/10.33545/2618060x.2025.v8.i1b.5207</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Wheat production in western Europe accounts for a substantial share of agricultural greenhouse gas emissions, yet the relative contributions of tillage intensity and residue handling remain poorly separated. This research quantified the carbon footprint of 16 tillage-by-residue management combinations in winter wheat at the University of Bonn's experimental station, Klein-Altendorf, Germany, over two growing seasons (October 2021-August 2023). Four tillage methods (conventional moldboard plough, reduced tillage, no-till, strip tillage) were crossed with four residue treatments (removal, partial retention, full retention, incorporation) in a split-plot design with four replications. Carbon footprint was lowest under no-till with full residue retention (2,391 kg CO₂-eq/ha/yr), representing a 44.2% reduction compared to conventional tillage with residue removal (4,287 kg CO₂-eq/ha/yr). Fuel consumption drove 31.4% of the conventional tillage footprint but only 8.7% under no-till. Soil N₂O emissions were 23.8% lower where residue was retained on the surface versus incorporated. Wheat grain yield didn't differ significantly across tillage treatments in the second season, though first-season no-till plots showed a 7.3% yield reduction. These results indicate that tillage reduction combined with surface residue retention offers the largest carbon savings in German wheat systems.</w:t>
      </w:r>
    </w:p>
    <w:p>
      <w:pPr/>
      <w:r>
        <w:rPr>
          <w:b/>
        </w:rPr>
        <w:t>POSSIBLE 2025:</w:t>
      </w:r>
      <w:r>
        <w:t xml:space="preserve"> Using Douglas Fir and European Larch Needles for the Assessment of Their Retention Capacity for Atmospheric Heavy Metals — https://doi.org/10.3390/f16060980</w:t>
      </w:r>
    </w:p>
    <w:p>
      <w:pPr/>
      <w:r>
        <w:rPr>
          <w:b/>
        </w:rPr>
        <w:t>Shared claim-specific concepts:</w:t>
      </w:r>
      <w:r>
        <w:t xml:space="preserve"> retention, over, used; EU scope visible. This is a provisional connection, not an outcome finding.</w:t>
      </w:r>
    </w:p>
    <w:p>
      <w:pPr>
        <w:pStyle w:val="SourceNote"/>
      </w:pPr>
      <w:r>
        <w:rPr>
          <w:b/>
        </w:rPr>
        <w:t>Available abstract (not full text):</w:t>
      </w:r>
      <w:r>
        <w:t xml:space="preserve"> Among numerous global problems, one of the most significant is air pollution. In this paper, unwashed (U) and water-washed (W) needles of two conifers—European larch and Douglas fir—were used to assess their capacity for the retention and accumulation of heavy metals. The needle samples were used to represent the atmospheric deposition of heavy metals located on the surface of the needles. The sampled European larch and Douglas fir plantations were situated at three locations in Serbia: a least polluted (Kučevo), a moderately polluted (Avala), and a very polluted (Lazarevac) site. The content of five heavy metals (Ni, Cu, Co, Cd, Pb) was investigated in the study. The concentration of cadmium (Cd) was higher in the European larch needles compared to Douglas fir, while the differences in the content of the other heavy metals between the species studied were insignificant. For both species, the following trend applied with respect to the heavy metal content in their needles: Ni ˃ Cu ˃ Co ˃ Pb ˃ Cd. Based on the results obtained, we deduced that the concentrations of all investigated heavy metals at all three locations for both species were within the allowed limits, except for nickel (Ni) content, which was over the predicted limit values for both species in the highly polluted area (Lazarevac). A PCA (principal component analysis) undertaken suggests that European larch has a gr</w:t>
      </w:r>
    </w:p>
    <w:p>
      <w:pPr/>
      <w:r>
        <w:rPr>
          <w:b/>
        </w:rPr>
        <w:t>POSSIBLE 2025:</w:t>
      </w:r>
      <w:r>
        <w:t xml:space="preserve"> Active Food Packaging Based On Cassava Residues/Seriguela Residue Extract/nanoZnO — https://doi.org/10.24857/rgsa.v19n5-066</w:t>
      </w:r>
    </w:p>
    <w:p>
      <w:pPr/>
      <w:r>
        <w:rPr>
          <w:b/>
        </w:rPr>
        <w:t>Shared claim-specific concepts:</w:t>
      </w:r>
      <w:r>
        <w:t xml:space="preserve"> residues, retention, approach; EU scope not established. This is a provisional connection, not an outcome finding.</w:t>
      </w:r>
    </w:p>
    <w:p>
      <w:pPr>
        <w:pStyle w:val="SourceNote"/>
      </w:pPr>
      <w:r>
        <w:rPr>
          <w:b/>
        </w:rPr>
        <w:t>Available abstract (not full text):</w:t>
      </w:r>
      <w:r>
        <w:t xml:space="preserve"> Objective: Produce and characterize films based on starch production using extraction from industrial cassava processing as a polymeric matrix, incorporated with nanoZnO and the extract of residues from seriguela processing, with a focus on obtaining active biomaterial for application in food packaging. Theoretical Framework: The production of sustainable materials based on renewable natural resources, such as agricultural crop by-products, produced in large quantities and with little or no added value, has become an increasingly urgent global need, especially for the packaging sector. Method: The cassava residue was supplied by two processing units: the peels by the company José C. da Silva - Farinha (Farinha Quatis ®) located in Lagoa de Itaenga /PE, and the bagasse by Prata Fina® located in the city of Lagoa Salgada /RN. Then, they (peels and bagasse) were subjected to drying at 50 °C, in an oven with air circulation (MA035/5 - MARCONI, Brazil), until a moisture content equal to or less than 10%, and then ground in a multipurpose mill. Subsequently, films were produced with the residue produced with the addition of seriguela extract and nanoZnO. Results and Discussion: CRF presented significant starch content (74.53 g.100g -1 ) and SRE a high phenolic content (1013.7 μgEAG.mL -1 ) with strong antioxidant capacity, but additive films showed low phenolic retention, reinforcing</w:t>
      </w:r>
    </w:p>
    <w:p>
      <w:pPr/>
      <w:r>
        <w:rPr>
          <w:b/>
        </w:rPr>
        <w:t>POSSIBLE 2024:</w:t>
      </w:r>
      <w:r>
        <w:t xml:space="preserve"> Soil bulk density assessment in Europe — https://doi.org/10.1016/j.agee.2024.108907</w:t>
      </w:r>
    </w:p>
    <w:p>
      <w:pPr/>
      <w:r>
        <w:rPr>
          <w:b/>
        </w:rPr>
        <w:t>Shared claim-specific concepts:</w:t>
      </w:r>
      <w:r>
        <w:t xml:space="preserve"> stocks, over, used, spatial;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Bifenthrin Residues in Table Grapevine: Method Optimization, Dissipation and Removal of Residues in Grapes and Grape Leaves — https://doi.org/10.3390/plants13121695</w:t>
      </w:r>
    </w:p>
    <w:p>
      <w:pPr/>
      <w:r>
        <w:rPr>
          <w:b/>
        </w:rPr>
        <w:t>Shared claim-specific concepts:</w:t>
      </w:r>
      <w:r>
        <w:t xml:space="preserve"> residues, calculated, over; EU scope visible. This is a provisional connection, not an outcome finding.</w:t>
      </w:r>
    </w:p>
    <w:p>
      <w:pPr>
        <w:pStyle w:val="SourceNote"/>
      </w:pPr>
      <w:r>
        <w:rPr>
          <w:b/>
        </w:rPr>
        <w:t>Available abstract (not full text):</w:t>
      </w:r>
      <w:r>
        <w:t xml:space="preserve"> The QuEChERS method was adjusted to determine bifenthrin residues in grapes and grape leaves. Extraction and cleanup procedures were optimized to decrease co-extracted materials and enhance the detection of bifenthrin. The method was validated per the European Union (EU) Guidelines criteria. Accuracy ranged from 98.8% to 93.5% for grapes and grape leaves, respectively. Precision values were 5.5 and 6.4 (RSDr) and 7.4 and 6.7 (RSDR) for grapes and grape leaves, respectively. LOQs (the lowest spiking level) were 2 and 20 µg/kg for grapes and grape leaves, respectively. Linearity as determination coefficient (R2) values were 0.9997 and 0.9964 for grapes and grape leaves, respectively, in a matrix over 1–100 µg/L range of analyte concentration. This was very close to the value in the pure solvent (0.9999), showing the efficiency of the cleanup in removing the co-extracted and co-injected materials; the matrix effect was close to zero in both sample matrices. Dissipation of bifenthrin was studied in a supervised trial conducted in a grapevine field during the summer of 2023 at the recommended dose and double the dose. Dissipation factor k values were 0.1549 and 0.1672 (recommended dose) and 0.235 and 0.208 (double dose) for grapes and grape leaves, respectively. Pre-harvest interval (PHI) was calculated for the Maximum Residue Limit (MRL) values of the EU database. Residues of bifen</w:t>
      </w:r>
    </w:p>
    <w:p>
      <w:pPr/>
      <w:r>
        <w:rPr>
          <w:b/>
        </w:rPr>
        <w:t>POSSIBLE 2023:</w:t>
      </w:r>
      <w:r>
        <w:t xml:space="preserve"> Chemical Analysis of Gunpowder and Gunshot Residues — https://doi.org/10.3390/molecules28145550</w:t>
      </w:r>
    </w:p>
    <w:p>
      <w:pPr/>
      <w:r>
        <w:rPr>
          <w:b/>
        </w:rPr>
        <w:t>Shared claim-specific concepts:</w:t>
      </w:r>
      <w:r>
        <w:t xml:space="preserve"> residues, used, approach; EU scope not established. This is a provisional connection, not an outcome finding.</w:t>
      </w:r>
    </w:p>
    <w:p>
      <w:pPr>
        <w:pStyle w:val="SourceNote"/>
      </w:pPr>
      <w:r>
        <w:rPr>
          <w:b/>
        </w:rPr>
        <w:t>Available abstract (not full text):</w:t>
      </w:r>
      <w:r>
        <w:t xml:space="preserve"> The identification of firearms is of paramount importance for investigating crimes involving firearms, as it establishes the link between a particular firearm and firearm-related elements found at a crime scene, such as projectiles and cartridge cases. This identification relies on the visual comparison of such elements against reference samples from suspect firearms or those existing in databases. Whenever this approach is not possible, the chemical analysis of the gunpowder and gunshot residue can provide additional information that may assist in establishing a link between samples retrieved at a crime scene and those from a suspect or in the identification of the corresponding model and manufacturer of the ammunition used. The most commonly used method for the chemical analysis of gunshot residue is scanning electron microscopy with energy dispersive X-ray, which focuses on the inorganic elements present in ammunition formulation, particularly heavy metals. However, a change in the legal paradigm is pushing changes in these formulations to remove heavy metals due to their potential for environmental contamination and the health hazards they represent. For this reason, the importance of the analysis of organic compounds is leading to the adoption of a different set of analytical methodologies, mostly based on spectroscopy and chromatography. This manuscript reviews the consti</w:t>
      </w:r>
    </w:p>
    <w:p>
      <w:pPr>
        <w:pStyle w:val="Heading2"/>
      </w:pPr>
      <w:r>
        <w:t>542.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r>
        <w:rPr>
          <w:b/>
        </w:rPr>
        <w:t>POSSIBLE 2025:</w:t>
      </w:r>
      <w:r>
        <w:t xml:space="preserve"> Implications of window opening assumptions in English overheating regulation on assessing residential heat resilience under uncertain climate — https://doi.org/10.26868/25222708.2025.1494</w:t>
      </w:r>
    </w:p>
    <w:p>
      <w:pPr/>
      <w:r>
        <w:rPr>
          <w:b/>
        </w:rPr>
        <w:t>Shared claim-specific concepts:</w:t>
      </w:r>
      <w:r>
        <w:t xml:space="preserve"> uncertain, role, climate, however, implications; EU scope not established. This is a provisional connection, not an outcome finding.</w:t>
      </w:r>
    </w:p>
    <w:p>
      <w:pPr>
        <w:pStyle w:val="SourceNote"/>
      </w:pPr>
      <w:r>
        <w:rPr>
          <w:b/>
        </w:rPr>
        <w:t>Available abstract (not full text):</w:t>
      </w:r>
      <w:r>
        <w:t xml:space="preserve"> Climate change causes more frequent and severe heat- waves in temperate regions, posing a grave risk of heat exposure to dwellings. To address this, the United Kingdom government recently implemented regula- tions to mitigate overheating in English and Welsh homes. Approved Document O (ADO), as its accom- panying technical guidance, recommends a modelling approach to demonstrating regulatory compliance for summertime thermal comfort, which is based on the Technical Memorandum 59 (TM59) methodology with modifications to the standardised window control be- haviours. Previous studies have highlighted adaptive ventilation as a crucial measure to enhance heat resi- lience of future homes; however, the impact of such modifications on overheating prediction has not been quantitatively discussed, particularly in consideration of climate uncertainty. This paper aims to investigate the implications of the tailored window control rule- sets in ADO on heat resilience evaluation for future homes under uncertain climatic conditions. Results suggest a statistically significant difference (p &lt; 0.001) in overheating assessment results between TM59 and ADO, with the greatest effect observed on the expected overheating risk in nocturnal bedrooms. Quantitat- ive evidence also reveals the critical role of nighttime ventilation in enhancing thermal comfort in future summers regarding both effectiven</w:t>
      </w:r>
    </w:p>
    <w:p>
      <w:pPr/>
      <w:r>
        <w:rPr>
          <w:b/>
        </w:rPr>
        <w:t>POSSIBLE 2024:</w:t>
      </w:r>
      <w:r>
        <w:t xml:space="preserve"> Groundwater stress in Europe—assessing uncertainties in future groundwater discharge alterations due to water abstractions and climate change — https://doi.org/10.3389/frwa.2024.1448625</w:t>
      </w:r>
    </w:p>
    <w:p>
      <w:pPr/>
      <w:r>
        <w:rPr>
          <w:b/>
        </w:rPr>
        <w:t>Shared claim-specific concepts:</w:t>
      </w:r>
      <w:r>
        <w:t xml:space="preserve"> line, climate, two; EU scope visible. This is a provisional connection, not an outcome finding.</w:t>
      </w:r>
    </w:p>
    <w:p>
      <w:pPr>
        <w:pStyle w:val="SourceNote"/>
      </w:pPr>
      <w:r>
        <w:rPr>
          <w:b/>
        </w:rPr>
        <w:t>Available abstract (not full text):</w:t>
      </w:r>
      <w:r>
        <w:t xml:space="preserve">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pPr/>
      <w:r>
        <w:rPr>
          <w:b/>
        </w:rPr>
        <w:t>POSSIBLE 2024:</w:t>
      </w:r>
      <w:r>
        <w:t xml:space="preserve"> The uncertain world: The gift of development on the Mekong — https://doi.org/10.1017/s0026749x24000088</w:t>
      </w:r>
    </w:p>
    <w:p>
      <w:pPr/>
      <w:r>
        <w:rPr>
          <w:b/>
        </w:rPr>
        <w:t>Shared claim-specific concepts:</w:t>
      </w:r>
      <w:r>
        <w:t xml:space="preserve"> uncertain, two, other; EU scope not established. This is a provisional connection, not an outcome finding.</w:t>
      </w:r>
    </w:p>
    <w:p>
      <w:pPr>
        <w:pStyle w:val="SourceNote"/>
      </w:pPr>
      <w:r>
        <w:rPr>
          <w:b/>
        </w:rPr>
        <w:t>Available abstract (not full text):</w:t>
      </w:r>
      <w:r>
        <w:t xml:space="preserve"> Abstract Development promises change. It is fundamental to the word both in English and in Lao: an improvement towards a pre-determined goal, but it is a process that is never entirely complete. In the Lao-speaking parts of Thailand, promises of development have formed the key commitments of particular regimes: military and monarchical, neoliberal and capitalist. Each presents a future that is nationally focused, guided by a paternalistic hand, be it that of a general, monarch, or tycoon. Spirits, too, play into such regimes, ensuring that development projects will fulfil their promises and that more such projects will come. But what happens when these goals shift towards distant centres of power? Here, I examine the magico-religious aspect of these promises. As large-scale hydropower on the Mekong, part of Chinese infrastructure projects, throws the river into chaos, new regimes of development arise. In the realm of popular religion, the link between spirits and development, too, has altered, with old powers’ promises growing stale, and new ones yet to appear. And between these two conflicting orders of power—orders that collapse state and religious dimensions—emerge different pathways towards navigating the uncertain world: an appeal towards other sources of monarchical authority, a search for survival in a newly shifting and globalized realm, and a waiting for a future as ye</w:t>
      </w:r>
    </w:p>
    <w:p>
      <w:pPr/>
      <w:r>
        <w:rPr>
          <w:b/>
        </w:rPr>
        <w:t>POSSIBLE 2024:</w:t>
      </w:r>
      <w:r>
        <w:t xml:space="preserve"> The adverse role of endocrine disrupting chemicals in the reproductive system — https://doi.org/10.3389/fendo.2023.1324993</w:t>
      </w:r>
    </w:p>
    <w:p>
      <w:pPr/>
      <w:r>
        <w:rPr>
          <w:b/>
        </w:rPr>
        <w:t>Shared claim-specific concepts:</w:t>
      </w:r>
      <w:r>
        <w:t xml:space="preserve"> role, potential, other; EU scope not established. This is a provisional connection, not an outcome finding.</w:t>
      </w:r>
    </w:p>
    <w:p>
      <w:pPr>
        <w:pStyle w:val="SourceNote"/>
      </w:pPr>
      <w:r>
        <w:rPr>
          <w:b/>
        </w:rPr>
        <w:t>Available abstract (not full text):</w:t>
      </w:r>
      <w:r>
        <w:t xml:space="preserve"> Reproductive system diseases pose prominent threats to human physical and mental well-being. Besides being influenced by genetic material regulation and changes in lifestyle, the occurrence of these diseases is closely connected to exposure to harmful substances in the environment. Endocrine disrupting chemicals (EDCs), characterized by hormone-like effects, have a wide range of influences on the reproductive system. EDCs are ubiquitous in the natural environment and are present in a wide range of industrial and everyday products. Currently, thousands of chemicals have been reported to exhibit endocrine effects, and this number is likely to increase as the testing for potential EDCs has not been consistently required, and obtaining data has been limited, partly due to the long latency of many diseases. The ability to avoid exposure to EDCs, especially those of artificially synthesized origin, is increasingly challenging. While EDCs can be divided into persistent and non-persistent depending on their degree of degradation, due to the recent uptick in research studies in this area, we have chosen to focus on the research pertaining to the detrimental effects on reproductive health of exposure to several EDCs that are widely encountered in daily life over the past six years, specifically bisphenol A (BPA), phthalates (PAEs), polychlorinated biphenyls (PCBs), parabens, pesticides, </w:t>
      </w:r>
    </w:p>
    <w:p>
      <w:pPr>
        <w:pStyle w:val="Heading2"/>
      </w:pPr>
      <w:r>
        <w:t>543.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2025:</w:t>
      </w:r>
      <w:r>
        <w:t xml:space="preserve"> The Mediating Role of Climate Targets in Corporate Emission Reductions — https://doi.org/10.1002/bse.70364</w:t>
      </w:r>
    </w:p>
    <w:p>
      <w:pPr/>
      <w:r>
        <w:rPr>
          <w:b/>
        </w:rPr>
        <w:t>Shared claim-specific concepts:</w:t>
      </w:r>
      <w:r>
        <w:t xml:space="preserve"> climate, target, carbon; EU scope not established. This is a provisional connection, not an outcome finding.</w:t>
      </w:r>
    </w:p>
    <w:p>
      <w:pPr>
        <w:pStyle w:val="SourceNote"/>
      </w:pPr>
      <w:r>
        <w:rPr>
          <w:b/>
        </w:rPr>
        <w:t>Available abstract (not full text):</w:t>
      </w:r>
      <w:r>
        <w:t xml:space="preserve"> ABSTRACT Corporations worldwide increasingly commit to Sustainable Development Goal 13 (SDG 13), yet the extent to which such commitments translate into measurable greenhouse gas (GHG) reductions remains uncertain. Drawing on Institutional and Legitimacy Theory, this paper examines the mediating role of climate targets in the relationship between SDG 13 adoption and corporate emission outcomes. We compile a balanced panel of 152 publicly listed firms across 32 countries and seven carbon‐intensive industries, resulting in 760 firm‐year observations for the period 2020–2024, using data from Refinitiv Datastream. Structural equation modeling (SEM) is employed to test whether long‐term and short‐term GHG emission reduction targets serve as pathways through which SDG 13 commitments affect subsequent GHG performance. Our results show that SDG 13 adoption strongly predicts the establishment of long‐term targets, which are significantly associated with lower emissions. By contrast, short‐term targets are less frequently adopted and display weaker effects. Temporal analysis indicates a rapid institutionalization of SDG 13 commitments and target adoption during the 2020–2024 period, consistent with coercive, normative, and mimetic pressures. These findings suggest that while visible commitments enhance legitimacy, substantive emission reductions require embedding long‐term targets into c</w:t>
      </w:r>
    </w:p>
    <w:p>
      <w:pPr/>
      <w:r>
        <w:rPr>
          <w:b/>
        </w:rPr>
        <w:t>POSSIBLE 2024:</w:t>
      </w:r>
      <w:r>
        <w:t xml:space="preserve"> Transformation of Peatland Management Toward Climate Targets in Europe — https://doi.org/10.34133/ehs.0239</w:t>
      </w:r>
    </w:p>
    <w:p>
      <w:pPr/>
      <w:r>
        <w:rPr>
          <w:b/>
        </w:rPr>
        <w:t>Shared claim-specific concepts:</w:t>
      </w:r>
      <w:r>
        <w:t xml:space="preserve"> stringent, climate, target, carbon, implementing, support;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2024:</w:t>
      </w:r>
      <w:r>
        <w:t xml:space="preserve"> Delivering a Climate Neutral Europe — https://doi.org/10.4324/9781003493730</w:t>
      </w:r>
    </w:p>
    <w:p>
      <w:pPr/>
      <w:r>
        <w:rPr>
          <w:b/>
        </w:rPr>
        <w:t>Shared claim-specific concepts:</w:t>
      </w:r>
      <w:r>
        <w:t xml:space="preserve"> climate, carbon, implementing;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Delivering a Climate Neutral Europe — https://openalex.org/W7074700863</w:t>
      </w:r>
    </w:p>
    <w:p>
      <w:pPr/>
      <w:r>
        <w:rPr>
          <w:b/>
        </w:rPr>
        <w:t>Shared claim-specific concepts:</w:t>
      </w:r>
      <w:r>
        <w:t xml:space="preserve"> climate, carbon, implementing;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2023:</w:t>
      </w:r>
      <w:r>
        <w:t xml:space="preserve"> Towards a climate-resilient healthy future: the Lancet Countdown in Europe — https://doi.org/10.5194/egusphere-egu23-13565</w:t>
      </w:r>
    </w:p>
    <w:p>
      <w:pPr/>
      <w:r>
        <w:rPr>
          <w:b/>
        </w:rPr>
        <w:t>Shared claim-specific concepts:</w:t>
      </w:r>
      <w:r>
        <w:t xml:space="preserve"> stringent, climate, carbon, implementing, support, several; EU scope visible. This is a provisional connection, not an outcome finding.</w:t>
      </w:r>
    </w:p>
    <w:p>
      <w:pPr>
        <w:pStyle w:val="SourceNote"/>
      </w:pPr>
      <w:r>
        <w:rPr>
          <w:b/>
        </w:rPr>
        <w:t>Available abstract (not full text):</w:t>
      </w:r>
      <w:r>
        <w:t xml:space="preserve"> Introduction: As one of the major contributors to global greenhouse gas emissions and the world’s third largest economy, Europe is a key stakeholder in the world’s response to climate change and has a global responsibility and opportunity to transition towards a low-carbon economy for healthier, more resilient societies with clean air and liveable cities. The Lancet Countdown in Europe is the first comprehensive assessment that monitors health and climate change over space and time in Europe reporting on 33 indicators focusing on (section 1) impact, exposure, and vulnerability; (section 2) adaption, planning and resilience; (section 3) mitigation actions and health co-benefits; (section 4) economics and finance; and (section 5) politics and governance. Results: Health risks (section 1) for almost all indicators tracked have been increasing. Illustratively, clinically relevant pollen seasons are starting 10-20 days earlier each year (1981-2020), the climatic suitability for water-borne and vector-borne diseases (e.g., malaria, dengue, Vibrio) have been rapidly increasing (1951-2020), and - assuming no adaptation - heat exposure is estimated to have increased by 57% between the first and second half of the 21st century. However, some encouraging trends for adaptation (section 2) could be observed - with countries adopting adaptation plans for health (15/22 assessed in 2021), citi</w:t>
      </w:r>
    </w:p>
    <w:p>
      <w:pPr/>
      <w:r>
        <w:rPr>
          <w:b/>
        </w:rPr>
        <w:t>POSSIBLE 2023:</w:t>
      </w:r>
      <w:r>
        <w:t xml:space="preserve"> COSTS AND BENEFITS OF THE PARIS CLIMATE TARGETS — https://doi.org/10.1142/s2010007823400031</w:t>
      </w:r>
    </w:p>
    <w:p>
      <w:pPr/>
      <w:r>
        <w:rPr>
          <w:b/>
        </w:rPr>
        <w:t>Shared claim-specific concepts:</w:t>
      </w:r>
      <w:r>
        <w:t xml:space="preserve"> climate, carbon, rate, implementation; EU scope not established. This is a provisional connection, not an outcome finding.</w:t>
      </w:r>
    </w:p>
    <w:p>
      <w:pPr>
        <w:pStyle w:val="SourceNote"/>
      </w:pPr>
      <w:r>
        <w:rPr>
          <w:b/>
        </w:rPr>
        <w:t>Available abstract (not full text):</w:t>
      </w:r>
      <w:r>
        <w:t xml:space="preserve"> The temperature targets in the Paris Agreement cannot be met without very rapid reduction of greenhouse gas emissions and removal of carbon dioxide from the atmosphere. The latter requires large, perhaps prohibitively large subsidies. The central estimate of the costs of climate policy, unrealistically assuming least-cost implementation, is 3.8–5.6% of GDP in 2100. The central estimate of the benefits of climate policy, unrealistically assuming high no-policy emissions and constant vulnerability, is 2.8–3.2% of GDP. The uncertainty about the benefits is larger than the uncertainty about the costs. The Paris targets do not pass the cost-benefit test unless risk aversion is high and discount rate low.</w:t>
      </w:r>
    </w:p>
    <w:p>
      <w:pPr/>
      <w:r>
        <w:rPr>
          <w:b/>
        </w:rPr>
        <w:t>POSSIBLE 2023:</w:t>
      </w:r>
      <w:r>
        <w:t xml:space="preserve"> Pharmaceutical Company Targets and Strategies to Address Climate Change: Content Analysis of Public Reports from 20 Pharmaceutical Companies — https://doi.org/10.3390/ijerph20043206</w:t>
      </w:r>
    </w:p>
    <w:p>
      <w:pPr/>
      <w:r>
        <w:rPr>
          <w:b/>
        </w:rPr>
        <w:t>Shared claim-specific concepts:</w:t>
      </w:r>
      <w:r>
        <w:t xml:space="preserve"> climate, carbon, reduce, implementation, neutrality; EU scope not established. This is a provisional connection, not an outcome finding.</w:t>
      </w:r>
    </w:p>
    <w:p>
      <w:pPr>
        <w:pStyle w:val="SourceNote"/>
      </w:pPr>
      <w:r>
        <w:rPr>
          <w:b/>
        </w:rPr>
        <w:t>Available abstract (not full text):</w:t>
      </w:r>
      <w:r>
        <w:t xml:space="preserve"> The pharmaceutical industry produces a large proportion of health system greenhouse gas (GHG) emissions, contributing to climate change. This urgently needs to be addressed. We aimed to examine pharmaceutical company climate change targets, GHG emissions, and strategies to reduce them. We performed content analysis of the 20 largest pharmaceutical companies' publicly available 2020/2021 reports, focusing on extracting information on their reported climate change targets, GHG emissions (and whether companies had demonstrated any reduction in emissions over their reporting period), and strategies being implemented to reduce company emissions and meet their targets. Nineteen companies have committed to reducing GHG emissions, ten to carbon neutrality and eight to net zero emissions between 2025 and 2050. Companies showed largely favorable reductions in scope 1 (in-house) and scope 2 (purchased energy), with variable results in scope 3 (supply chain) emissions. Strategies to reduce emissions included optimizing manufacturing and distribution, and responsible sourcing of energy, water, and raw materials. Pharmaceutical companies are setting climate change targets and reporting reduced emissions via a range of strategies. This varies, with scope to track actions and accountability to targets, improve consistency of reporting, especially of scope 3 emissions, and collaborate on novel </w:t>
      </w:r>
    </w:p>
    <w:p>
      <w:pPr>
        <w:pStyle w:val="Heading2"/>
      </w:pPr>
      <w:r>
        <w:t>544.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2025:</w:t>
      </w:r>
      <w:r>
        <w:t xml:space="preserve"> The role of nuclear energy in reducing carbon dioxide emissions — https://doi.org/10.5937/pim25235g</w:t>
      </w:r>
    </w:p>
    <w:p>
      <w:pPr/>
      <w:r>
        <w:rPr>
          <w:b/>
        </w:rPr>
        <w:t>Shared claim-specific concepts:</w:t>
      </w:r>
      <w:r>
        <w:t xml:space="preserve"> nuclear, energy, low-carbon, electricity, source, power; EU scope not established. This is a provisional connection, not an outcome finding.</w:t>
      </w:r>
    </w:p>
    <w:p>
      <w:pPr>
        <w:pStyle w:val="SourceNote"/>
      </w:pPr>
      <w:r>
        <w:rPr>
          <w:b/>
        </w:rPr>
        <w:t>Available abstract (not full text):</w:t>
      </w:r>
      <w:r>
        <w:t xml:space="preserve"> Nuclear energy plays an important role in reducing carbon dioxide (CO₂) emissions since it allows the production of large amounts of electricity without the direct combustion of fossil fuels. Unlike coal and gas-fired power plants, nuclear power plants do not emit CO₂ during the operation, making them a significant factor in the fight against climate change. Furthermore, unlike renewable sources that depend on weather conditions, nuclear energy provides a stable and reliable source of electricity generation. Although there are challenges, such as solutions for radioactive waste and high initial costs, advancements in technology, particularly the development of fourth-generation reactors and small modular reactors, could further enhance the sustainability of this energy source. In combination with renewable sources, nuclear energy can contribute to reducing global fossil fuel consumption and facilitate the transition to a low-carbon economy.</w:t>
      </w:r>
    </w:p>
    <w:p>
      <w:pPr/>
      <w:r>
        <w:rPr>
          <w:b/>
        </w:rPr>
        <w:t>POSSIBLE 2025:</w:t>
      </w:r>
      <w:r>
        <w:t xml:space="preserve"> Resolving China's Energy Trilemma: Nuclear Power Synergy in the Dual-Carbon Transition — https://doi.org/10.1051/matecconf/202541001016</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China currently accounts for the largest share of global CO₂ emissions, faces immense pressure to achieve its “dual-carbon” goals amid a coal-dominated energy structure and rising emissions. The energy trilemma theory highlights inherent conflicts among energy security, affordability, and sustainability, yet existing studies inadequately address regional heterogeneity and dynamic synergies. This study evaluates China’s energy transition pathways by analyzing the trade-offs and synergies of photovoltaic, wind, and nuclear power within the trilemma framework. Through a comparative analysis of technical efficiency, economic costs, and environmental impacts, we demonstrate that nuclear power outperforms renewables in stability (7,805 annual utilization hours vs. 2,127 for wind), cost-effectiveness (¥0.28/kWh levelized cost), and near-zero emissions. Despite challenges in waste management and public acceptance, nuclear energy’s high energy density and grid reliability position it as a critical solution for balancing the trilemma. The findings advocate for prioritizing advanced nuclear technologies and stringent regulatory frameworks to accelerate decarbonization while ensuring energy security.</w:t>
      </w:r>
    </w:p>
    <w:p>
      <w:pPr/>
      <w:r>
        <w:rPr>
          <w:b/>
        </w:rPr>
        <w:t>POSSIBLE 2024:</w:t>
      </w:r>
      <w:r>
        <w:t xml:space="preserve"> Imperatives of Nuclear Energy in India's Clean Energy Transition — https://doi.org/10.11610/connections.23.3.03</w:t>
      </w:r>
    </w:p>
    <w:p>
      <w:pPr/>
      <w:r>
        <w:rPr>
          <w:b/>
        </w:rPr>
        <w:t>Shared claim-specific concepts:</w:t>
      </w:r>
      <w:r>
        <w:t xml:space="preserve"> nuclear, energy, low-carbon, electricity, source, increase; EU scope not established. This is a provisional connection, not an outcome finding.</w:t>
      </w:r>
    </w:p>
    <w:p>
      <w:pPr>
        <w:pStyle w:val="SourceNote"/>
      </w:pPr>
      <w:r>
        <w:rPr>
          <w:b/>
        </w:rPr>
        <w:t>Available abstract (not full text):</w:t>
      </w:r>
      <w:r>
        <w:t xml:space="preserve"> Climate change is a reality, and India has been proactive in addressing the issue both nationally and in cooperation with the global community, despite its demographic and developmental imperatives. While exploring technological solutions to curb domestic carbon emissions in various sectors in the short term, India is also attempting to rationalize its energy mix for long-term sustainability by opting for green and clean energy options. To navigate this transition, India has planned a judicious combination of energy sources to meet its self-set goal of net-zero emissions by 2070. In the process, it is promoting a long-term low-carbon development strategy and aims to generate at least 50 percent of its electricity from renewable sources by 2030. Solar and wind energy projects, in particular, are being promoted aggressively through government incentives, leading to a visible increase in renewable energy production. However, nuclear energy remains a cost-effective and stable baseload alternative power source that should be promoted simultaneously to help India achieve its clean energy transition smoothly in a carbon-constrained world. This article argues that nuclear energy is a viable option for meeting India’s climate change obligations while sustaining its high economic development trajectory.</w:t>
      </w:r>
    </w:p>
    <w:p>
      <w:pPr/>
      <w:r>
        <w:rPr>
          <w:b/>
        </w:rPr>
        <w:t>POSSIBLE 2024:</w:t>
      </w:r>
      <w:r>
        <w:t xml:space="preserve"> Prospects of Nuclear Energy for Clean and Sustainable Energy Development in Rwanda — https://doi.org/10.11648/j.ns.20240904.11</w:t>
      </w:r>
    </w:p>
    <w:p>
      <w:pPr/>
      <w:r>
        <w:rPr>
          <w:b/>
        </w:rPr>
        <w:t>Shared claim-specific concepts:</w:t>
      </w:r>
      <w:r>
        <w:t xml:space="preserve"> nuclear, energy, electricity, source, current; EU scope not established. This is a provisional connection, not an outcome finding.</w:t>
      </w:r>
    </w:p>
    <w:p>
      <w:pPr>
        <w:pStyle w:val="SourceNote"/>
      </w:pPr>
      <w:r>
        <w:rPr>
          <w:b/>
        </w:rPr>
        <w:t>Available abstract (not full text):</w:t>
      </w:r>
      <w:r>
        <w:t xml:space="preserve"> Rwanda, just like many other developing countries, still faces challenges in the energy sector. The country is still not able to supply reliable and affordable electricity to meet the current and future energy needs, as a result of rapid economic growth, increasing population and urbanization. Rwanda currently has limited generation resources, particularly during the dry season, when several hydropower stations are experiencing water shortages. Sometimes, leased diesel generation is needed to meet peak demand, which comes at a hefty cost. Efforts are being made to determine the true number of existing resources in the country for energy generation. Diversifying sources of energy inevitably becomes a strategic option. Rwanda has decided to embark on an ambitious programme for nuclear development as one of the alternatives to tackle energy challenges. This paper briefly presents plans featuring in the nuclear science and technology programme with the ultimate goal to leverage nuclear applications for sustainable social-economic development. A review of the country’s energy sector status is presented with focus on prospects of the nuclear programme as the solution to the country’s high energy demand and applications in different socio-economic sectors. In efforts to join the rest of world in the “net zero” greenhouse gas emission by 2050, Rwanda embraces the perspective under whic</w:t>
      </w:r>
    </w:p>
    <w:p>
      <w:pPr/>
      <w:r>
        <w:rPr>
          <w:b/>
        </w:rPr>
        <w:t>POSSIBLE 2024:</w:t>
      </w:r>
      <w:r>
        <w:t xml:space="preserve"> Sustainability of Nuclear Energy—A Critical Review from a UK Perspective — https://doi.org/10.3390/su162410952</w:t>
      </w:r>
    </w:p>
    <w:p>
      <w:pPr/>
      <w:r>
        <w:rPr>
          <w:b/>
        </w:rPr>
        <w:t>Shared claim-specific concepts:</w:t>
      </w:r>
      <w:r>
        <w:t xml:space="preserve"> nuclear, energy, low-carbon, electricity, source, overall; EU scope not established. This is a provisional connection, not an outcome finding.</w:t>
      </w:r>
    </w:p>
    <w:p>
      <w:pPr>
        <w:pStyle w:val="SourceNote"/>
      </w:pPr>
      <w:r>
        <w:rPr>
          <w:b/>
        </w:rPr>
        <w:t>Available abstract (not full text):</w:t>
      </w:r>
      <w:r>
        <w:t xml:space="preserve"> Many countries, including the United Kingdom, have committed to reaching “net zero” emissions by 2050. To meet this challenge requires urgent deployment of low-carbon energy-generating technologies, not just for electricity generation but also other sectors, including transportation and heating. However, this will only be successful if the other two pillars of sustainability (social and economic impacts) are balanced with the environmental drivers. All energy-generation technologies have benefits and drawbacks, and these must be objectively and fairly assessed using a “level playing field” approach. Nuclear energy has benefits that are complementary to renewables and thus can play a valuable role in delivering large amounts of low-carbon energy globally. However, critics of nuclear energy raise concerns related to safety (and security), radioactive waste management, and economics that have challenged its acceptance as a sustainable energy source in some quarters. Nevertheless, objective consideration of sustainability in global energy needs and the different generating technologies clearly indicate a valuable role for nuclear energy in a sustainable and low-carbon future. It is concluded that nuclear energy should be recognised as “sustainable”, and the analysis shows that energy portfolios incorporating nuclear provide the most sustainable system overall.</w:t>
      </w:r>
    </w:p>
    <w:p>
      <w:pPr/>
      <w:r>
        <w:rPr>
          <w:b/>
        </w:rPr>
        <w:t>POSSIBLE 2024:</w:t>
      </w:r>
      <w:r>
        <w:t xml:space="preserve"> Nexus between Nuclear Energy, Economic Growth, and Greenhouse Gas Emissions in India — https://doi.org/10.32479/ijeep.15347</w:t>
      </w:r>
    </w:p>
    <w:p>
      <w:pPr/>
      <w:r>
        <w:rPr>
          <w:b/>
        </w:rPr>
        <w:t>Shared claim-specific concepts:</w:t>
      </w:r>
      <w:r>
        <w:t xml:space="preserve"> nuclear, energy, increase, power; EU scope not established. This is a provisional connection, not an outcome finding.</w:t>
      </w:r>
    </w:p>
    <w:p>
      <w:pPr>
        <w:pStyle w:val="SourceNote"/>
      </w:pPr>
      <w:r>
        <w:rPr>
          <w:b/>
        </w:rPr>
        <w:t>Available abstract (not full text):</w:t>
      </w:r>
      <w:r>
        <w:t xml:space="preserve"> The escalating demand for fossil fuels in India has resulted in a significant strain on the environment due to the amplified emissions of greenhouse gases (GHGs). Nevertheless, India possesses a significant capacity for nuclear energy, as seen by its 22 operational nuclear reactors. This capacity holds promise for reducing GHG emissions. This research utilized a dataset spanning from 1969 to 2021 to examine the impact of nuclear energy utilization on GHG emissions. The study also aimed to verify the validity of the environmental Kuznets curve (EKC) hypothesis in India, employing the Autoregressive Distributive Lag (ARDL) model. The findings suggest that the EKC is applicable to India. Furthermore, it has been observed that a marginal increase of 1% in the use of nuclear energy leads to a reduction of GHG by 0.02% in the immediate term and 0.16% in the long term. This finding highlights the significance of expanding nuclear power as a crucial policy objective in order to attain environmentally friendly and sustainable economic development.</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nuclear, even, power, now;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A Comprehensive Review of Green Energy Technologies: Towards Sustainable Clean Energy Transition and Global Net-Zero Carbon Emissions — https://doi.org/10.3390/pr13010069</w:t>
      </w:r>
    </w:p>
    <w:p>
      <w:pPr/>
      <w:r>
        <w:rPr>
          <w:b/>
        </w:rPr>
        <w:t>Shared claim-specific concepts:</w:t>
      </w:r>
      <w:r>
        <w:t xml:space="preserve"> nuclear, energy, source, overall; EU scope not established. This is a provisional connection, not an outcome finding.</w:t>
      </w:r>
    </w:p>
    <w:p>
      <w:pPr>
        <w:pStyle w:val="SourceNote"/>
      </w:pPr>
      <w:r>
        <w:rPr>
          <w:b/>
        </w:rPr>
        <w:t>Available abstract (not full text):</w:t>
      </w:r>
      <w:r>
        <w:t xml:space="preserve"> The present paper seeks to showcase the significant potential of alternative energy technologies in driving clean energy transition. Renewable energy sources, including hydro, geothermal, biomass, solar, and wind energy, are developed and marketed as low- or non-carbon alternatives to conventional energy sources. However, the high upfront costs of these energy resources, coupled with their intermittency, are demerits that must be dealt with. Since certain nuclear technologies generate significantly less waste than coal and oil, nuclear energy is occasionally regarded as a green energy source, though the primary source of nuclear energy, namely uranium, is a finite resource. The main goal of developing green energy technologies is to provide energy in a sustainable manner while cutting down on waste and greenhouse gas emissions, thus reducing the overall carbon footprint of energy production.</w:t>
      </w:r>
    </w:p>
    <w:p>
      <w:pPr>
        <w:pStyle w:val="Heading2"/>
      </w:pPr>
      <w:r>
        <w:t>545.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2025:</w:t>
      </w:r>
      <w:r>
        <w:t xml:space="preserve"> EU Foreign Policy Alignment among European Experts — https://doi.org/10.17605/osf.io/54dqp</w:t>
      </w:r>
    </w:p>
    <w:p>
      <w:pPr/>
      <w:r>
        <w:rPr>
          <w:b/>
        </w:rPr>
        <w:t>Shared claim-specific concepts:</w:t>
      </w:r>
      <w:r>
        <w:t xml:space="preserve"> building, experts, perceptions, explore; EU scope visible. This is a provisional connection, not an outcome finding.</w:t>
      </w:r>
    </w:p>
    <w:p>
      <w:pPr>
        <w:pStyle w:val="SourceNote"/>
      </w:pPr>
      <w:r>
        <w:rPr>
          <w:b/>
        </w:rPr>
        <w:t>Available abstract (not full text):</w:t>
      </w:r>
      <w:r>
        <w:t xml:space="preserve"> The world is witnessing an alarming surge in violent conflicts, with levels unseen since World War II. Simultaneously, the European Union (EU) has been hit by one exogenous shock after another, with complex effects on European integration, democracy building, internal politics and foreign policy. In the face of such global instability and growing internal challenges, the EU finds itself increasingly required to respond geopolitically. The Russia-Ukraine War, the instability created by shifting policies in the White House, China’s growing military power, and the fragmentation of the global liberal democratic order make the European Union’s attempt to devise a more unified and coherent common and security policy even more difficult. The EU is thus challenged to prepare for high impact, high probability events that could destabilize the ability of the organization to function and thrive. In this study, we explore whether experts’ perceptions of security threats to the EU are influenced by whether the EU responds cohesively or divided to security threats. To test this, we implement a pre-post survey design, where self-identified experts in core areas of EU studies first rate the likelihood and impact of selected threats to the EU – such as a NATO-Russia confrontation, a destabilizing power struggle in Russia, use of nuclear arms by Russia. Respondents are then randomly assigned to </w:t>
      </w:r>
    </w:p>
    <w:p>
      <w:pPr/>
      <w:r>
        <w:rPr>
          <w:b/>
        </w:rPr>
        <w:t>POSSIBLE 2025:</w:t>
      </w:r>
      <w:r>
        <w:t xml:space="preserve"> Building an Ethical Framework for European Pharmacists in e-Pharmacies — https://doi.org/10.2196/64750</w:t>
      </w:r>
    </w:p>
    <w:p>
      <w:pPr/>
      <w:r>
        <w:rPr>
          <w:b/>
        </w:rPr>
        <w:t>Shared claim-specific concepts:</w:t>
      </w:r>
      <w:r>
        <w:t xml:space="preserve"> building, well, health, benefits; EU scope visible. This is a provisional connection, not an outcome finding.</w:t>
      </w:r>
    </w:p>
    <w:p>
      <w:pPr>
        <w:pStyle w:val="SourceNote"/>
      </w:pPr>
      <w:r>
        <w:rPr>
          <w:b/>
        </w:rPr>
        <w:t>Available abstract (not full text):</w:t>
      </w:r>
      <w:r>
        <w:t xml:space="preserve"> Patients using e-pharmacies benefit substantially from their privacy and accessibility; however, they must also be aware of the health and safety risks. These risks can be mitigated through the implementation of robust legal and ethical frameworks. European pharmacists working in e-pharmacies are obligated to respect the legal frameworks governing the remote sale of medicines, as well as the rules of professional ethics, while considering the unique benefits and challenges of establishing online therapeutic relationships with patients. This Viewpoint paper aims to propose a comprehensive ethical framework for European pharmacists in e-pharmacies that promotes consistency and ensures patient rights while fostering professional integrity and responsibility. To this end, the codes of ethics of pharmacists in the European Union (EU) member states were explored to determine the extent to which they address e-pharmacies and to begin from their provisions the building of a shared ethical framework, supported by previously published findings. The ethical guidance provided by professional associations and other competent authorities of European pharmacists varies significantly across member states. In most EU member states, pharmacists' codes of ethics do not contain rules addressing e-pharmacies. Only 8 EU member states have adopted rules guiding pharmacists' conduct in e-pharmacies, p</w:t>
      </w:r>
    </w:p>
    <w:p>
      <w:pPr/>
      <w:r>
        <w:rPr>
          <w:b/>
        </w:rPr>
        <w:t>POSSIBLE 2024:</w:t>
      </w:r>
      <w:r>
        <w:t xml:space="preserve"> Industry Experts’ Perspectives on the Difficulties and Opportunities of the Integration of Bio-Based Insulation Materials in the European Construction Sector — https://doi.org/10.3390/su16177314</w:t>
      </w:r>
    </w:p>
    <w:p>
      <w:pPr/>
      <w:r>
        <w:rPr>
          <w:b/>
        </w:rPr>
        <w:t>Shared claim-specific concepts:</w:t>
      </w:r>
      <w:r>
        <w:t xml:space="preserve"> building, experts, perceptions, well, environmental; EU scope visible. This is a provisional connection, not an outcome finding.</w:t>
      </w:r>
    </w:p>
    <w:p>
      <w:pPr>
        <w:pStyle w:val="SourceNote"/>
      </w:pPr>
      <w:r>
        <w:rPr>
          <w:b/>
        </w:rPr>
        <w:t>Available abstract (not full text):</w:t>
      </w:r>
      <w:r>
        <w:t xml:space="preserve"> This paper explores the current status of bio-based insulation materials (BbIMs) integration in Europe, through structured online questionnaires. with industry experts. The findings show that the main common difficulties are obtaining European Conformity (CE) marking, high costs, a skills gap, a lack of trained builders, and slow acceptance from industry decision-makers. On the other hand, the main common opportunities are the gradual improvement with certain supportive policies and incentives, the growing environmental awareness, thermal, acoustic, and environmental performance, long-term cost savings and value, and increasing educational initiatives, advertising, and awareness campaigns. The finding also emphasizes the critical role that users and buyers play in the adoption of these materials as a potential driver and barrier. The professionals suggest strengthening environmentally friendly standards, integrating natural materials into construction databases, leading by example, withdrawing subsidies for hazardous waste disposal, providing continuing education, workshops, collaboration among stakeholders, and referencing exemplary projects in France. Further insights on bio-based building materials integration in building information modeling (BIM) practices indicate that the rate of their integration is very low. This research contributes to the scientific literature on BbI</w:t>
      </w:r>
    </w:p>
    <w:p>
      <w:pPr/>
      <w:r>
        <w:rPr>
          <w:b/>
        </w:rPr>
        <w:t>POSSIBLE 2024:</w:t>
      </w:r>
      <w:r>
        <w:t xml:space="preserve"> Building resilience in European food supply chains: results of a Delphi study — https://doi.org/10.34659/eis.2023.87.4.758</w:t>
      </w:r>
    </w:p>
    <w:p>
      <w:pPr/>
      <w:r>
        <w:rPr>
          <w:b/>
        </w:rPr>
        <w:t>Shared claim-specific concepts:</w:t>
      </w:r>
      <w:r>
        <w:t xml:space="preserve"> building, experts, well; EU scope visible. This is a provisional connection, not an outcome finding.</w:t>
      </w:r>
    </w:p>
    <w:p>
      <w:pPr>
        <w:pStyle w:val="SourceNote"/>
      </w:pPr>
      <w:r>
        <w:rPr>
          <w:b/>
        </w:rPr>
        <w:t>Available abstract (not full text):</w:t>
      </w:r>
      <w:r>
        <w:t xml:space="preserve"> The COVID-19 pandemic and the war in Ukraine have negatively affected the sustainability of the food market and contributed significantly to the increase in agricultural prices. The goal of this article is to present the results of a European Delphi study on enabling factors and barriers to developing robustness within food distribution networks. The paper also aims to identify ways to ensure food security and build resilience in supply chains for European Union (EU) citizens, as well as strategies to protect the agricultural sector. The Delphi theses, the expected timing of their implementation and their impact on selected stages of supply chains were assessed. The paper employs a literature review, the Delphi method and STEEPED analysis to identify factors for increasing the robustness of European food distribution networks. The research findings highlighted crucial factors in enhancing food supply chain resilience, including financial aid to farmers, the use of advanced technologies (like AI, remote sensing, GIS, VR, or drones), and the encouragement of conscious consumption practices. The study revealed that severe weather, inadequate financial support for farmers and insufficient favourable legislation at the national level are the main barriers to achieving resilience in food supply chains. The main recommendations for building food resilience include encouraging localise</w:t>
      </w:r>
    </w:p>
    <w:p>
      <w:pPr/>
      <w:r>
        <w:rPr>
          <w:b/>
        </w:rPr>
        <w:t>POSSIBLE 2023:</w:t>
      </w:r>
      <w:r>
        <w:t xml:space="preserve"> Basic Elements and Characteristics in Building an Expert System — https://doi.org/10.55849/jnhl.v1i3.337</w:t>
      </w:r>
    </w:p>
    <w:p>
      <w:pPr/>
      <w:r>
        <w:rPr>
          <w:b/>
        </w:rPr>
        <w:t>Shared claim-specific concepts:</w:t>
      </w:r>
      <w:r>
        <w:t xml:space="preserve"> building, well, benefits; EU scope not established. This is a provisional connection, not an outcome finding.</w:t>
      </w:r>
    </w:p>
    <w:p>
      <w:pPr>
        <w:pStyle w:val="SourceNote"/>
      </w:pPr>
      <w:r>
        <w:rPr>
          <w:b/>
        </w:rPr>
        <w:t>Available abstract (not full text):</w:t>
      </w:r>
      <w:r>
        <w:t xml:space="preserve"> The basic elements and characteristics of an expert system are important in the application of an expert system, so that in the application of a makar expert system, the basic elements and characteristics of an expert system are first known. By knowing the basic elements and characteristics of an expert system, the goals and benefits of making an expert system can be more focused and have good fundamentals.This journal is a learning system in designing and knowing expert systems that have fundamental characteristics, so that the utilization that is carried out can run well.</w:t>
      </w:r>
    </w:p>
    <w:p>
      <w:pPr/>
      <w:r>
        <w:rPr>
          <w:b/>
        </w:rPr>
        <w:t>POSSIBLE 2023:</w:t>
      </w:r>
      <w:r>
        <w:t xml:space="preserve"> European food safety research: An explorative study with funding experts’ consultation — https://doi.org/10.1016/j.heliyon.2023.e22979</w:t>
      </w:r>
    </w:p>
    <w:p>
      <w:pPr/>
      <w:r>
        <w:rPr>
          <w:b/>
        </w:rPr>
        <w:t>Shared claim-specific concepts:</w:t>
      </w:r>
      <w:r>
        <w:t xml:space="preserve"> experts, explore, related; EU scope visible. This is a provisional connection, not an outcome finding.</w:t>
      </w:r>
    </w:p>
    <w:p>
      <w:pPr>
        <w:pStyle w:val="SourceNote"/>
      </w:pPr>
      <w:r>
        <w:rPr>
          <w:b/>
        </w:rPr>
        <w:t>Available abstract (not full text):</w:t>
      </w:r>
      <w:r>
        <w:t xml:space="preserve"> The European research area exhibits considerable opacity and fragmentation in food safety research funding and organizational structures, impeding the exploitation of existing research potential across European countries. Given that food safety is inherently linked to the societal challenges of our time, identifying and removing existing barriers to research funding in this area is crucial. Towards investigating this matter, interviews were conducted with funding bodies from six European countries to assess key issues related to research funding in general and food safety in particular. Funding experts were then invited to a workshop to jointly discuss the challenges identified and explore strategies to address them. Evaluation of the food safety research funding situation in selected European countries revealed both convergences and significant differences among national funding bodies. Engaging with funding experts provided invaluable insights into the issues encountered with research funding, such as inadequate call management staff or insufficient research funds, culminating in a set of recommendations for action to remedy the situation.</w:t>
      </w:r>
    </w:p>
    <w:p>
      <w:pPr/>
      <w:r>
        <w:rPr>
          <w:b/>
        </w:rPr>
        <w:t>POSSIBLE 2023:</w:t>
      </w:r>
      <w:r>
        <w:t xml:space="preserve"> Future-Oriented Science Education Building Sustainability Competences: An Approach to the European GreenComp Framework — https://doi.org/10.1007/978-3-031-37391-6_5</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Abstract In order to promote learning for environmental sustainability, the European Union launched the GreenComp framework in 2022. The framework identifies a set of sustainability competences that should be cultivated across all learning contexts to support the action-taking and transformations required by global ecological crises. The framework comprises four interrelated competence areas: ‘embodying sustainability values’, ‘embracing complexity in sustainability’, ‘envisioning sustainable futures’ and ‘acting for sustainability’. Our chapter argues that science education has significant potential to contribute to all these areas. We discuss in this chapter the affordances of current frameworks in science education for fostering sustainability competences. We argue that there is a need for a coherent approach connecting these areas, and that it can be done within future-oriented science education. We illustrate the suggestions by reviewing some examples of approaches for teaching and learning developed in the European project “FEDORA”.</w:t>
      </w:r>
    </w:p>
    <w:p>
      <w:pPr>
        <w:pStyle w:val="Heading2"/>
      </w:pPr>
      <w:r>
        <w:t>546.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2024:</w:t>
      </w:r>
      <w:r>
        <w:t xml:space="preserve"> Becoming European: Mid- and Short-Term Development of a European Identity Among Adolescents — https://doi.org/10.1080/15283488.2024.2394874</w:t>
      </w:r>
    </w:p>
    <w:p>
      <w:pPr/>
      <w:r>
        <w:rPr>
          <w:b/>
        </w:rPr>
        <w:t>Shared claim-specific concepts:</w:t>
      </w:r>
      <w:r>
        <w:t xml:space="preserve"> understand, assessed; EU scope visible. This is a provisional connection, not an outcome finding.</w:t>
      </w:r>
    </w:p>
    <w:p>
      <w:pPr>
        <w:pStyle w:val="SourceNote"/>
      </w:pPr>
      <w:r>
        <w:rPr>
          <w:b/>
        </w:rPr>
        <w:t>Available abstract (not full text):</w:t>
      </w:r>
      <w:r>
        <w:t xml:space="preserve"> European identity formation is a component of political identity and linked to the support of European institutions and values. To understand how it develops, we examined three processes of identity formation (commitment, in-depth exploration, and reconsideration of commitment) on a short- and mid-term time scale, and their interrelations. A total of 371 German adolescents (Mage = 14.24, SDage = 0.55, 60.37% females) participated in a longitudinal study and in a ten-day daily diary study. We conducted latent growth curve analysis (LGCM) and assessed rank-order stability and profile similarity for both time scales. Next, conditional LGCMs were run to examine associations of both time scales. We found a significant increase of all identity processes from the beginning to the middle of the school year and a significant decrease from the middle to the end of the school year. Across 10 days, growth curves varied according to the identity process. Stabilities were high for both time scales. Commitment at the beginning of the school year was negatively associated with fluctuations in commitment. Our results highlight the importance of examining different time scales and focusing on specific domains for understanding identity development in adolescence. They further indicate that short-term processes are associated with long-term development.</w:t>
      </w:r>
    </w:p>
    <w:p>
      <w:pPr/>
      <w:r>
        <w:rPr>
          <w:b/>
        </w:rPr>
        <w:t>POSSIBLE 2024:</w:t>
      </w:r>
      <w:r>
        <w:t xml:space="preserve"> MODELLING THE RELATIONSHIP BETWEEN RETAIL DEVELOPMENT AND ECONOMIC INDICATORS IN EUROPEAN COUNTRIES — https://doi.org/10.29038/2786-4618-2024-01-124-134</w:t>
      </w:r>
    </w:p>
    <w:p>
      <w:pPr/>
      <w:r>
        <w:rPr>
          <w:b/>
        </w:rPr>
        <w:t>Shared claim-specific concepts:</w:t>
      </w:r>
      <w:r>
        <w:t xml:space="preserve"> order, understand, about; EU scope visible. This is a provisional connection, not an outcome finding.</w:t>
      </w:r>
    </w:p>
    <w:p>
      <w:pPr>
        <w:pStyle w:val="SourceNote"/>
      </w:pPr>
      <w:r>
        <w:rPr>
          <w:b/>
        </w:rPr>
        <w:t>Available abstract (not full text):</w:t>
      </w:r>
      <w:r>
        <w:t xml:space="preserve"> Abstract. The modern global market requires extraordinary attention to the development of retail trade, which is not only the face of the economy of countries, but also plays a key role in promoting their economic prosperity. In this context, understanding the relationship between retail development indicators and indicators of the state of the economy is necessary given the importance of retail trade as one of the key elements of economic systems and is an important task for scientists and economists. Highlighting the relationship between retail trade and the state of the economy of European countries opens up opportunities for understanding and predicting economic and social trends on the path of Ukraine's accession to the EU, and promotes entrepreneurship. This study aims to model the relationship and establish statistically significant dependencies between the development of retail trade and the economic development of European countries, and to identify indicators that have an impact on the development of the industry. The study established a statistically significant impact of economic growth characteristics on the development of the retail trade industry in European countries in 2005-2022. In particular, it has been determined that the volume of trade turnover depends on such indicators as GDP per capita, consumer inflation and unemployment in the economy. The number of </w:t>
      </w:r>
    </w:p>
    <w:p>
      <w:pPr/>
      <w:r>
        <w:rPr>
          <w:b/>
        </w:rPr>
        <w:t>POSSIBLE 2024:</w:t>
      </w:r>
      <w:r>
        <w:t xml:space="preserve"> Exploring how Europeans understand solidarity in the EU — https://doi.org/10.4324/9781032690902-3</w:t>
      </w:r>
    </w:p>
    <w:p>
      <w:pPr/>
      <w:r>
        <w:rPr>
          <w:b/>
        </w:rPr>
        <w:t>Shared claim-specific concepts:</w:t>
      </w:r>
      <w:r>
        <w:t xml:space="preserve"> understand, about, approach;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The Green Economy in the Context of Sustainable Development. Study Case: European Union — https://doi.org/10.2478/picbe-2024-0243</w:t>
      </w:r>
    </w:p>
    <w:p>
      <w:pPr/>
      <w:r>
        <w:rPr>
          <w:b/>
        </w:rPr>
        <w:t>Shared claim-specific concepts:</w:t>
      </w:r>
      <w:r>
        <w:t xml:space="preserve"> order, understand, transition, main, obtained, transformation; EU scope visible. This is a provisional connection, not an outcome finding.</w:t>
      </w:r>
    </w:p>
    <w:p>
      <w:pPr>
        <w:pStyle w:val="SourceNote"/>
      </w:pPr>
      <w:r>
        <w:rPr>
          <w:b/>
        </w:rPr>
        <w:t>Available abstract (not full text):</w:t>
      </w:r>
      <w:r>
        <w:t xml:space="preserve"> Abstract The term „Green economy” in the context of sustainable development was used for the first time in 1989, there is no internationally agreed definition for it. In the last decades, in a relatively short period it has become an issue with major importance worldwide, the society realizing that its actions have direct effects on the environment, its live and where we carry out our work. In order to correctly understand the meaning of Green economy we need an insight on man as an individual but also on organizations that make economic and financial decisions and initiatives. This paper examines the EU countries progress toward green economy, identifies the relationship with financial and economic indicators and analyses the role of eco-innovation performance and innovative capacity toward green transition to meet the European Green Deal objectives. Complex theoretical, methodological and empirical research methodology was adopted by using specific methods of investigation: critical analysis of the literature, complex quantitative and qualitative analysis, identification, construction and the appropriate processing of existing databases. The numerical results were obtained by the SPSS software package. The paper’s outcome identifies barriers and success factors in the implementation of the EU’s main new growth strategy, highlights that the green transformation process of the </w:t>
      </w:r>
    </w:p>
    <w:p>
      <w:pPr/>
      <w:r>
        <w:rPr>
          <w:b/>
        </w:rPr>
        <w:t>POSSIBLE 2023:</w:t>
      </w:r>
      <w:r>
        <w:t xml:space="preserve"> Dynamics of EU Central and Eastern European donors’ development cooperation — https://doi.org/10.12688/stomiedintrelat.17714.1</w:t>
      </w:r>
    </w:p>
    <w:p>
      <w:pPr/>
      <w:r>
        <w:rPr>
          <w:b/>
        </w:rPr>
        <w:t>Shared claim-specific concepts:</w:t>
      </w:r>
      <w:r>
        <w:t xml:space="preserve"> order, understand, applied, main; EU scope visible. This is a provisional connection, not an outcome finding.</w:t>
      </w:r>
    </w:p>
    <w:p>
      <w:pPr>
        <w:pStyle w:val="SourceNote"/>
      </w:pPr>
      <w:r>
        <w:rPr>
          <w:b/>
        </w:rPr>
        <w:t>Available abstract (not full text):</w:t>
      </w:r>
      <w:r>
        <w:t xml:space="preserve"> The article deals with both qualitative and quantitative aspects of development assistance provided by the 11 Central and Eastern European (CEE) countries that are members of the European Union (EU). The aim is to answer the question of what are the major determinants of their involvement in development cooperation. It also aims to understand the controversy surrounding the development policies of these donors and to assess the impact of past determinants on the current situation. Our study employs a combination of data analysis (based on Organisation for Economic Cooperation and Development – OECD – statistics) and a literature review. In order to allow the examination of trends, constant prices have been applied throughout the study. Our research operates both on absolute (volumes of development aid given to and offered by the countries in mind) and relative data (bilateral to total ODA ratio and regional distribution of bilateral aid). The analysis reveals that the CEE EU donors’ spending on development assistance grew 463% over the 2004–2021 period. In 2021, they accounted for 2.4% of global aid, which was not a significant share globally, though noteworthy at the level of EU development aid spending. We found a clear dominance of the multilateral channel in the distribution of CEE EU aid fluctuating between 65–90%, mainly through EU institutions. In terms of bilateral acti</w:t>
      </w:r>
    </w:p>
    <w:p>
      <w:pPr/>
      <w:r>
        <w:rPr>
          <w:b/>
        </w:rPr>
        <w:t>POSSIBLE 2023:</w:t>
      </w:r>
      <w:r>
        <w:t xml:space="preserve"> What Can We Expect for the Development of Rural Areas in Europe?—Trends of the Last Decade and Their Opportunities for Rural Regeneration — https://doi.org/10.3390/su15065485</w:t>
      </w:r>
    </w:p>
    <w:p>
      <w:pPr/>
      <w:r>
        <w:rPr>
          <w:b/>
        </w:rPr>
        <w:t>Shared claim-specific concepts:</w:t>
      </w:r>
      <w:r>
        <w:t xml:space="preserve"> order, understand, transition; EU scope visible. This is a provisional connection, not an outcome finding.</w:t>
      </w:r>
    </w:p>
    <w:p>
      <w:pPr>
        <w:pStyle w:val="SourceNote"/>
      </w:pPr>
      <w:r>
        <w:rPr>
          <w:b/>
        </w:rPr>
        <w:t>Available abstract (not full text):</w:t>
      </w:r>
      <w:r>
        <w:t xml:space="preserve"> Rural areas in Europe have been undergoing structural change for years, resulting in strong functional differentiation and fragmentation into prosperous and structurally weak areas. Rural areas are as diverse as the challenges they face. Not only various megatrends but also social, economic, technological, ecological, and political trends influence and shape the development of rural areas. In order to understand the problems and causes of the current development of rural areas, this paper provides a differentiated trend analysis for rural areas at the European level. A content analysis of more than 70 EU-funded project reports on rural areas and rural development is carried out. The aim is to identify trends and their drivers over the last decade and to summarize opportunities and challenges for successful rural regeneration. These external and overarching trends, particularly in the context of a sustainable transition, renewable energies, the emergence of new technologies and growing awareness of environmental impacts, offer rural areas more opportunities than ever before. The interplay between external incentives (e.g., European Union policies) and endogenous regional development (e.g., local actors) is crucial for the successful exploitation of these opportunities for rural regeneration.</w:t>
      </w:r>
    </w:p>
    <w:p>
      <w:pPr/>
      <w:r>
        <w:rPr>
          <w:b/>
        </w:rPr>
        <w:t>POSSIBLE 2023:</w:t>
      </w:r>
      <w:r>
        <w:t xml:space="preserve"> The Governance of European Space Policy — https://doi.org/10.32625/kjei.2023.31.175</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The aim of this study is to analyse the historical processes and institutional features of European space policy governance in order to understand its unique governance characteristics, which are designed to ensure that horizontal cooperation at the European level between the ESA and the EU and vertical cooperation between the ESA and Member States' national space agencies are complementary. To this end, this study first examines the historical process of the development of European space policy from the perspective of the history of European integration and the history of legal institutions, in order to understand the nature of the parallel development of European space policy centred on ESA, independent of the evolution of European integration from the ECSC to the EU. On this basis, it will analyse the multi-layered governance of European space policy today, focusing on the two characteristics of 'hybridity' and 'integrity' in order to contribute to a more accurate understanding of European space policy.</w:t>
      </w:r>
    </w:p>
    <w:p>
      <w:pPr/>
      <w:r>
        <w:rPr>
          <w:b/>
        </w:rPr>
        <w:t>POSSIBLE 2023:</w:t>
      </w:r>
      <w:r>
        <w:t xml:space="preserve"> Innovations and development of artificial intelligence in Europe: some empirical evidences — https://doi.org/10.1108/ejmbe-03-2023-0085</w:t>
      </w:r>
    </w:p>
    <w:p>
      <w:pPr/>
      <w:r>
        <w:rPr>
          <w:b/>
        </w:rPr>
        <w:t>Shared claim-specific concepts:</w:t>
      </w:r>
      <w:r>
        <w:t xml:space="preserve"> approach, possible; EU scope visible. This is a provisional connection, not an outcome finding.</w:t>
      </w:r>
    </w:p>
    <w:p>
      <w:pPr>
        <w:pStyle w:val="SourceNote"/>
      </w:pPr>
      <w:r>
        <w:rPr>
          <w:b/>
        </w:rPr>
        <w:t>Available abstract (not full text):</w:t>
      </w:r>
      <w:r>
        <w:t xml:space="preserve"> Purpose The objective of this paper is to analyze the relationship between innovation and the development of artificial intelligence (AI) and digital technologies in Europe. The use of digital technologies among European companies is studied through a composite index, while the relationship between innovation and AI is studied through a log-linear regression model. The results of the model have made possible to develop interesting indications for economic and industrial policy. Design/methodology/approach The use of digital technologies among European companies is studied through a composite index of AI and information technology (ICT) (using the Fair and Sustainable Welfare methodology) with the aim of measuring territorial gaps and to know which European countries are more or less inclined to its use, while the relationship between innovation and AI is studied through a log-linear regression model. Findings In the paper, two different methodologies were used to analyze the relationship between innovation and the development of digital technologies in Europe. The synthetic indicator made possible to develop a taxonomy between the different countries, the log-linear model made possible to identify and explain the determinants of innovation. Originality/value The description of the biunivocal relationship between innovation and AI is a topical and relevant issue that is treated </w:t>
      </w:r>
    </w:p>
    <w:p>
      <w:pPr>
        <w:pStyle w:val="Heading2"/>
      </w:pPr>
      <w:r>
        <w:t>547.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same, time, objectives, provides;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2025:</w:t>
      </w:r>
      <w:r>
        <w:t xml:space="preserve"> Community-based interventions for management of antimicrobial resistance in Europe: a systematic review — https://doi.org/10.1093/eurpub/ckaf257</w:t>
      </w:r>
    </w:p>
    <w:p>
      <w:pPr/>
      <w:r>
        <w:rPr>
          <w:b/>
        </w:rPr>
        <w:t>Shared claim-specific concepts:</w:t>
      </w:r>
      <w:r>
        <w:t xml:space="preserve"> time, community, presented, use, needed, population; EU scope visible. This is a provisional connection, not an outcome finding.</w:t>
      </w:r>
    </w:p>
    <w:p>
      <w:pPr>
        <w:pStyle w:val="SourceNote"/>
      </w:pPr>
      <w:r>
        <w:rPr>
          <w:b/>
        </w:rPr>
        <w:t>Available abstract (not full text):</w:t>
      </w:r>
      <w:r>
        <w:t xml:space="preserve"> Antimicrobial resistance (AMR) is a growing global health problem. Several public interventions have been designed to increase AMR knowledge and awareness. This review assesses the availability and effectiveness of community-based AMR interventions in Europe. Four databases-Medline (OVID), Pubmed, Scopus, Web of Science- and grey literature were searched for AMR interventions in community settings in Europe between 2000 and 2024. Studies reporting empirical findings in English were considered. A narrative synthesis was performed, and findings were presented in text and tables. Forty-nine studies were eligible for inclusion from 14 European countries. Interventions were primarily educational to raise awareness, targeting individuals, small groups, or the general public through mass campaigns, school-based programmes, online games, and pledges. Some interventions also monitored adherence, consumption, and doctor consultation. The majority of interventions reported increased knowledge and awareness of antibiotics and AMR; reduced antibiotic prescription, purchase, use, and non-compliance; reduced respiratory incidence and doctor consultations, and increased overall adherence. Fluctuations in knowledge over time were observed, but evidence was insufficient to analyse the long-term sustainability of outcomes of the interventions. Our findings show that community-based interventions </w:t>
      </w:r>
    </w:p>
    <w:p>
      <w:pPr/>
      <w:r>
        <w:rPr>
          <w:b/>
        </w:rPr>
        <w:t>POSSIBLE 2025:</w:t>
      </w:r>
      <w:r>
        <w:t xml:space="preserve"> The Early Years of Ireland in the European Economic Community — https://doi.org/10.4324/9781003184188</w:t>
      </w:r>
    </w:p>
    <w:p>
      <w:pPr/>
      <w:r>
        <w:rPr>
          <w:b/>
        </w:rPr>
        <w:t>Shared claim-specific concepts:</w:t>
      </w:r>
      <w:r>
        <w:t xml:space="preserve"> same, time, community; EU scope visible. This is a provisional connection, not an outcome finding.</w:t>
      </w:r>
    </w:p>
    <w:p>
      <w:pPr>
        <w:pStyle w:val="SourceNote"/>
      </w:pPr>
      <w:r>
        <w:rPr>
          <w:b/>
        </w:rPr>
        <w:t>Available abstract (not full text):</w:t>
      </w:r>
      <w:r>
        <w:t xml:space="preserve"> Ireland’s accession to the European Economic Community (EEC) in 1973 provided great opportunities, as well as significant challenges to its relatively small civil service. This book traces Ireland’s internal adaptation to managing membership. The long wait for accession to the EEC had instigated administrative and management patterns during negotiations which were difficult for Ireland to untangle and alter afterwards. There was friction between departments on how to approach relations with the EEC in some policy areas after membership. At times, this effectively slowed and even hampered Ireland’s adaptation to membership. At the same time, the EEC provided an important new frame of reference for Irish society. Discussions on social progress drew from that wider context and challenged Ireland in new ways. This volume explores this development through an analysis of empirical files from the National Archives of Ireland and the Historical Archives of the European Union, newspapers, and secondary sources. This book is intended for scholars and students of Irish history, European Studies, political science, diplomatic studies, and administrative history.</w:t>
      </w:r>
    </w:p>
    <w:p>
      <w:pPr/>
      <w:r>
        <w:rPr>
          <w:b/>
        </w:rPr>
        <w:t>POSSIBLE 2024:</w:t>
      </w:r>
      <w:r>
        <w:t xml:space="preserve"> Regulating the Press for Accuracy and Objectivity — https://doi.org/10.1093/oso/9780198858607.003.0005</w:t>
      </w:r>
    </w:p>
    <w:p>
      <w:pPr/>
      <w:r>
        <w:rPr>
          <w:b/>
        </w:rPr>
        <w:t>Shared claim-specific concepts:</w:t>
      </w:r>
      <w:r>
        <w:t xml:space="preserve"> same, time, presented; EU scope visible. This is a provisional connection, not an outcome finding.</w:t>
      </w:r>
    </w:p>
    <w:p>
      <w:pPr>
        <w:pStyle w:val="SourceNote"/>
      </w:pPr>
      <w:r>
        <w:rPr>
          <w:b/>
        </w:rPr>
        <w:t>Available abstract (not full text):</w:t>
      </w:r>
      <w:r>
        <w:t xml:space="preserve"> Abstract Accuracy is a cardinal norm of journalistic practice. However, developments around the phenomenon of ‘fake news’ in recent times have sparked off an intense debate about whether mainstream media can live up to the ideal of accuracy. News organizations, faced with shrinking budgets and a fierce competition for readers, are often presented with a stark choice between speed and accuracy. In an age of viral news, the temptation is there to publish first and verify later. In the face of overall low levels of trust in professional media, many newsrooms have invested in hubs which fact-check user-generated content. At the same time, their own news reports are scrutinized—and occasionally suppressed—by online platforms and by external fact-checking sites, situated on the cusp between ‘traditional journalism and digital network logics’. This chapter will, first, examine the way in which the ethics of journalism have been interpreted by the European Court of Human Rights. Next, it will focus on the journalistic standards of accuracy and objectivity/impartiality in a comparative context. Furthermore, it will discuss the recent phenomenon of ‘fake news’, and the concomitant rise in scepticism about the accuracy and objectivity of news media, and in particular the press. Finally, it will ask whether there has been a shift in the editorial standards adhered to by news media and in t</w:t>
      </w:r>
    </w:p>
    <w:p>
      <w:pPr/>
      <w:r>
        <w:rPr>
          <w:b/>
        </w:rPr>
        <w:t>POSSIBLE 2024:</w:t>
      </w:r>
      <w:r>
        <w:t xml:space="preserve"> Implementing Nutrient Recommendations for Breakfast in Europe through Dietetic Practice—The European Federation of Associations of Dietitians (EFAD) Breakfast Toolkit Survey — https://doi.org/10.3390/proceedings2023091238</w:t>
      </w:r>
    </w:p>
    <w:p>
      <w:pPr/>
      <w:r>
        <w:rPr>
          <w:b/>
        </w:rPr>
        <w:t>Shared claim-specific concepts:</w:t>
      </w:r>
      <w:r>
        <w:t xml:space="preserve"> same, time, objectives, food, needed, population; EU scope visible. This is a provisional connection, not an outcome finding.</w:t>
      </w:r>
    </w:p>
    <w:p>
      <w:pPr>
        <w:pStyle w:val="SourceNote"/>
      </w:pPr>
      <w:r>
        <w:rPr>
          <w:b/>
        </w:rPr>
        <w:t>Available abstract (not full text):</w:t>
      </w:r>
      <w:r>
        <w:t xml:space="preserve"> Background and objectives: The International Breakfast Research Initiative developed nutrient recommendations for a balanced breakfast, based on daily guidelines and actual contribution of breakfast in Europe. The aim of the Breakfast Toolkit Project is to translate nutrient recommendations into practical advice for both individuals and health professionals, and to develop a toolkit for dietitians. Methods: We conducted a 19-item online survey to assess the experience and resources of dietitians when recommending breakfast as part of a balanced diet. Results: A total of 336 dietitians from 27 countries participated in the survey. Forty-nine percent were working in clinical practice or private consulting. Around 50% thought that the general population is somewhat aware of the impact of breakfast on health, with the highest number of people not being aware in northern Europe. A lack of time and not feeling hungry in the morning are the main obstacles to achieve a healthy breakfast all over Europe, while a lack of money is more concerning in central and eastern Europe than other areas. Although slight differences are observed between European regions, increasing fresh fruit and vegetables (17%), decreasing sugary food (14.5%), and switching to whole grain cereals (18%) are the most peremptory needed interventions, according to the experience of the dietitians. Educational material</w:t>
      </w:r>
    </w:p>
    <w:p>
      <w:pPr/>
      <w:r>
        <w:rPr>
          <w:b/>
        </w:rPr>
        <w:t>POSSIBLE 2024:</w:t>
      </w:r>
      <w:r>
        <w:t xml:space="preserve"> Healthy air as an obligation of result in the whole European Union: definitely a matter of time — https://doi.org/10.4337/9781035300426.00013</w:t>
      </w:r>
    </w:p>
    <w:p>
      <w:pPr/>
      <w:r>
        <w:rPr>
          <w:b/>
        </w:rPr>
        <w:t>Shared claim-specific concepts:</w:t>
      </w:r>
      <w:r>
        <w:t xml:space="preserve"> same, time, result; EU scope visible. This is a provisional connection, not an outcome finding.</w:t>
      </w:r>
    </w:p>
    <w:p>
      <w:pPr>
        <w:pStyle w:val="SourceNote"/>
      </w:pPr>
      <w:r>
        <w:rPr>
          <w:b/>
        </w:rPr>
        <w:t>Available abstract (not full text):</w:t>
      </w:r>
      <w:r>
        <w:t xml:space="preserve"> This chapter explains how the field of air quality jurisprudence in the context of EU air quality law was radically transformed, in recent years, often under pressure of strategic litigation brought forward by civil society, because health protection was taken as a main driver. Healthy air has become an obligation of result in the whole European Union, with the same applicable ambient air limit values everywhere. The driving force for such advances was found in the relation air builds with health and life and, therefore, calls for repetition. Because many European laws, besides the Ambient Air Quality Directive, also have an impact on the composition of the air we breathe, and together pursue an explicit objective of health protection, the solid framework that was recently patiently built, bit by bit, should be inspirational for further developments, such as in the field of industrial pollution control, where indeed the first similar advances are being observed. But the jurisprudence also shows how the relation to time and right timing is of the essence and runs through most cases. In that regard, the lawmaker must be aware that inserting new deadlines in revised legislation might undo the patiently gained robust interpretations.</w:t>
      </w:r>
    </w:p>
    <w:p>
      <w:pPr/>
      <w:r>
        <w:rPr>
          <w:b/>
        </w:rPr>
        <w:t>POSSIBLE 2024:</w:t>
      </w:r>
      <w:r>
        <w:t xml:space="preserve"> European community pharmacists practice in tackling influenza — https://doi.org/10.1016/j.rcsop.2024.100447</w:t>
      </w:r>
    </w:p>
    <w:p>
      <w:pPr/>
      <w:r>
        <w:rPr>
          <w:b/>
        </w:rPr>
        <w:t>Shared claim-specific concepts:</w:t>
      </w:r>
      <w:r>
        <w:t xml:space="preserve"> community, practices, needed; EU scope visible. This is a provisional connection, not an outcome finding.</w:t>
      </w:r>
    </w:p>
    <w:p>
      <w:pPr>
        <w:pStyle w:val="SourceNote"/>
      </w:pPr>
      <w:r>
        <w:rPr>
          <w:b/>
        </w:rPr>
        <w:t>Available abstract (not full text):</w:t>
      </w:r>
      <w:r>
        <w:t xml:space="preserve"> Background: In many European countries, flu vaccination coverage rates are below the 75% target. During the COVID-19 pandemic, many pharmacists around Europe were involved as vaccine administrators and demonstrated positive results in improving vaccine uptake. This paper explores the challenges, accomplishments, and best practices of various European pharmacists' associations in administering vaccines and positively contributing to public health. Methods: Eight pharmacists representing various associations from different countries across Europe (Italy, Belgium, Poland, Portugal, France, and Germany) convened to discuss their role as vaccination providers, the advantages, and strategies for improvement, and to identify barriers and gaps in the vaccination administration process, especially focusing on the administration of seasonal flu vaccines. Results: Currently, 15 European countries allow community pharmacists to dispense and administer flu vaccines. Among the ones that attended the meeting, Portugal initiated the flu immunization program at the pharmacy earliest, before the COVID era, but in other countries, the process started only in the last couple of years. Initial hesitancy and reluctance by other HCPs or institutions were overcome as the pilot projects showed positive and cost-effective public health results. Today, pharmacists are considered crucial professional figu</w:t>
      </w:r>
    </w:p>
    <w:p>
      <w:pPr/>
      <w:r>
        <w:rPr>
          <w:b/>
        </w:rPr>
        <w:t>POSSIBLE 2024:</w:t>
      </w:r>
      <w:r>
        <w:t xml:space="preserve"> Reinforcement Learning for Energy Community Management: A European-Scale Study — https://doi.org/10.3390/en17051249</w:t>
      </w:r>
    </w:p>
    <w:p>
      <w:pPr/>
      <w:r>
        <w:rPr>
          <w:b/>
        </w:rPr>
        <w:t>Shared claim-specific concepts:</w:t>
      </w:r>
      <w:r>
        <w:t xml:space="preserve"> time, community, involves, resources; EU scope visible. This is a provisional connection, not an outcome finding.</w:t>
      </w:r>
    </w:p>
    <w:p>
      <w:pPr>
        <w:pStyle w:val="SourceNote"/>
      </w:pPr>
      <w:r>
        <w:rPr>
          <w:b/>
        </w:rPr>
        <w:t>Available abstract (not full text):</w:t>
      </w:r>
      <w:r>
        <w:t xml:space="preserve"> Efficient management of renewable energy resources is imperative for promoting environmental sustainability and optimizing the utilization of clean energy sources. This paper presents a pioneering European-scale study on energy management within renewable energy communities (RECs). With a primary focus on enhancing the social welfare of the community, we introduce a reinforcement learning (RL) controller designed to strategically manage Battery Energy Storage Systems (BESSs) and orchestrate energy flows. This research transcends geographical boundaries by conducting an extended analysis of various energy communities and diverse energy markets across Europe, encompassing different regions of Italy. Our methodology involves the implementation of an RL controller, leveraging optimal control theory for training and utilizing only real-time data available at the current time step during the test phase. Through simulations conducted in diverse contexts, we demonstrate the superior performance of our RL agent compared to a state-of-the-art rule-based controller. The agent exhibits remarkable adaptability to various scenarios, consistently surpassing existing rule-based controllers. Notably, we illustrate that our approach aligns with the intricate patterns observed in both Italian and European energy markets, achieving performance levels comparable to an optimal controller assuming pe</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community, agriculture, sustainable;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pStyle w:val="Heading2"/>
      </w:pPr>
      <w:r>
        <w:t>548.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2025:</w:t>
      </w:r>
      <w:r>
        <w:t xml:space="preserve"> Regional economic impact of the Next Generation European Union recovery plan — https://doi.org/10.1016/j.pirs.2025.100105</w:t>
      </w:r>
    </w:p>
    <w:p>
      <w:pPr/>
      <w:r>
        <w:rPr>
          <w:b/>
        </w:rPr>
        <w:t>Shared claim-specific concepts:</w:t>
      </w:r>
      <w:r>
        <w:t xml:space="preserve"> next, regional, regions; EU scope visible. This is a provisional connection, not an outcome finding.</w:t>
      </w:r>
    </w:p>
    <w:p>
      <w:pPr>
        <w:pStyle w:val="SourceNote"/>
      </w:pPr>
      <w:r>
        <w:rPr>
          <w:b/>
        </w:rPr>
        <w:t>Available abstract (not full text):</w:t>
      </w:r>
      <w:r>
        <w:t xml:space="preserve">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pPr/>
      <w:r>
        <w:rPr>
          <w:b/>
        </w:rPr>
        <w:t>POSSIBLE 2025:</w:t>
      </w:r>
      <w:r>
        <w:t xml:space="preserve"> Conformal Inference of Individual Treatment Effects Using Conditional Density Estimates — https://doi.org/10.1609/aaai.v39i20.35397</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In an era where diverse and complex data are increasingly accessible, the precise prediction of individual treatment effects (ITE) becomes crucial across fields such as healthcare, economics, and social policy. Current state-of-the-art approaches, while providing valid prediction intervals through Conformal Quantile Regression (CQR) and related techniques, often yield overly conservative prediction intervals. In this work, we introduce a conformal inference approach to ITE using the conditional density of the outcome given the covariates. We leverage the reference distribution technique to efficiently estimate the conditional densities as the score functions under a two-stage conformal ITE framework. We show that our prediction intervals are not only marginally valid but are narrower than existing methods. Experimental results further validate the usefulness of our method.</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figures, forecasts, until, findings, not;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Estimating Conditional Average Treatment Effects via Sufficient Representation Learning — https://doi.org/10.24963/ijcai.2024/541</w:t>
      </w:r>
    </w:p>
    <w:p>
      <w:pPr/>
      <w:r>
        <w:rPr>
          <w:b/>
        </w:rPr>
        <w:t>Shared claim-specific concepts:</w:t>
      </w:r>
      <w:r>
        <w:t xml:space="preserve"> conditional, estimation, not; EU scope not established. This is a provisional connection, not an outcome finding.</w:t>
      </w:r>
    </w:p>
    <w:p>
      <w:pPr>
        <w:pStyle w:val="SourceNote"/>
      </w:pPr>
      <w:r>
        <w:rPr>
          <w:b/>
        </w:rPr>
        <w:t>Available abstract (not full text):</w:t>
      </w:r>
      <w:r>
        <w:t xml:space="preserve"> Estimating the conditional average treatment effects (CATE) is very important in causal inference and has a wide range of applications across many fields. In the estimation process of CATE, the unconfoundedness assumption is typically required to ensure the identifiability of the regression problems. When estimating CATE using high-dimensional data, there have been many variable selection methods and neural network approaches based on representation learning, while these methods do not provide a way to verify whether the subset of variables after dimensionality reduction or the learned representations still satisfy the unconfoundedness assumption during the estimation process, which can lead to ineffective estimates of the treatment effects. Additionally, these methods typically use data from only the treatment or control group when estimating the regression functions for each group. This paper proposes a novel neural network approach named CrossNet to learn a sufficient representation for the features, based on which we then estimate the CATE, where cross indicates that in estimating the regression functions, we used data from their own group as well as cross-utilized data from another group. Numerical simulations and empirical results demonstrate that our method outperforms the competitive approaches.</w:t>
      </w:r>
    </w:p>
    <w:p>
      <w:pPr/>
      <w:r>
        <w:rPr>
          <w:b/>
        </w:rPr>
        <w:t>POSSIBLE 2024:</w:t>
      </w:r>
      <w:r>
        <w:t xml:space="preserve"> Manager sentiment and conditional conservatism — https://doi.org/10.1111/jbfa.12780</w:t>
      </w:r>
    </w:p>
    <w:p>
      <w:pPr/>
      <w:r>
        <w:rPr>
          <w:b/>
        </w:rPr>
        <w:t>Shared claim-specific concepts:</w:t>
      </w:r>
      <w:r>
        <w:t xml:space="preserve"> conditional, not, affect; EU scope not established. This is a provisional connection, not an outcome finding.</w:t>
      </w:r>
    </w:p>
    <w:p>
      <w:pPr>
        <w:pStyle w:val="SourceNote"/>
      </w:pPr>
      <w:r>
        <w:rPr>
          <w:b/>
        </w:rPr>
        <w:t>Available abstract (not full text):</w:t>
      </w:r>
      <w:r>
        <w:t xml:space="preserve"> Abstract This study examines the effect of manager sentiment on conditional conservatism. Manager sentiment refers to widely held beliefs of financial managers about their firms’ future economic prospects that are not justified by available economic fundamentals. Manager sentiment is likely to affect conditional conservative reporting because the decision to recognize unrealized economic losses in a timely manner flows from financial managers’ beliefs about their firms’ future cash flow prospects. We predict and find that manager sentiment is negatively associated with conditional conservatism, indicating that firms report less conservatively during periods of high manager sentiment (over‐optimism) and more conservatively during periods of low manager sentiment (over‐pessimism). Moreover, the effects of manager sentiment on conditional conservatism remain strongly negative after controlling for manager overconfidence. We further find that asset write‐offs are lower during high sentiment periods but higher in subsequent periods. Importantly, the manager sentiment effect on conservatism is incremental, and the opposite in sign, to the effect of investor sentiment, which has not been demonstrated in prior literature.</w:t>
      </w:r>
    </w:p>
    <w:p>
      <w:pPr/>
      <w:r>
        <w:rPr>
          <w:b/>
        </w:rPr>
        <w:t>POSSIBLE 2023:</w:t>
      </w:r>
      <w:r>
        <w:t xml:space="preserve"> Sources of PM2.5‐Associated Health Risks in Europe and Corresponding Emission‐Induced Changes During 2005–2015 — https://doi.org/10.1029/2022gh000767</w:t>
      </w:r>
    </w:p>
    <w:p>
      <w:pPr/>
      <w:r>
        <w:rPr>
          <w:b/>
        </w:rPr>
        <w:t>Shared claim-specific concepts:</w:t>
      </w:r>
      <w:r>
        <w:t xml:space="preserve"> corresponding, regional, regions; EU scope visible. This is a provisional connection, not an outcome finding.</w:t>
      </w:r>
    </w:p>
    <w:p>
      <w:pPr>
        <w:pStyle w:val="SourceNote"/>
      </w:pPr>
      <w:r>
        <w:rPr>
          <w:b/>
        </w:rPr>
        <w:t>Available abstract (not full text):</w:t>
      </w:r>
      <w:r>
        <w:t xml:space="preserve">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r>
        <w:rPr>
          <w:b/>
        </w:rPr>
        <w:t>POSSIBLE 2023:</w:t>
      </w:r>
      <w:r>
        <w:t xml:space="preserve"> ART in Europe, 2019: results generated from European registries by ESHRE — https://doi.org/10.1093/humrep/dead197</w:t>
      </w:r>
    </w:p>
    <w:p>
      <w:pPr/>
      <w:r>
        <w:rPr>
          <w:b/>
        </w:rPr>
        <w:t>Shared claim-specific concepts:</w:t>
      </w:r>
      <w:r>
        <w:t xml:space="preserve"> corresponding, findings, not; EU scope visible. This is a provisional connection, not an outcome finding.</w:t>
      </w:r>
    </w:p>
    <w:p>
      <w:pPr>
        <w:pStyle w:val="SourceNote"/>
      </w:pPr>
      <w:r>
        <w:rPr>
          <w:b/>
        </w:rPr>
        <w:t>Available abstract (not full text):</w:t>
      </w:r>
      <w:r>
        <w:t xml:space="preserve"> STUDY QUESTION: What are the data and trends on ART and IUI cycle numbers and their outcomes, and on fertility preservation (FP) interventions, reported in 2019 as compared to previous years? SUMMARY ANSWER: The 23rd ESHRE report highlights the rising ART treatment cycles and children born, alongside a decline in twin deliveries owing to decreasing multiple embryo transfers; fresh IVF or ICSI cycles exhibited higher delivery rates, whereas frozen embryo transfers (FET) showed higher pregnancy rates (PRs), and reported IUI cycles decreased while maintaining stable outcomes. WHAT IS KNOWN ALREADY: ART aggregated data generated by national registries, clinics, or professional societies have been gathered and analyzed by the European IVF-Monitoring (EIM) Consortium since 1997 and reported in a total of 22 manuscripts published in Human Reproduction and Human Reproduction Open. STUDY DESIGN, SIZE, DURATION: Data on medically assisted reproduction (MAR) from European countries are collected by EIM for ESHRE each year. The data on treatment cycles performed between 1 January and 31 December 2019 were provided by either national registries or registries based on initiatives of medical associations and scientific organizations or committed persons in one of the 44 countries that are members of the EIM Consortium. PARTICIPANTS/MATERIALS, SETTING, METHODS: Overall, 1487 clinics offering A</w:t>
      </w:r>
    </w:p>
    <w:p>
      <w:pPr/>
      <w:r>
        <w:rPr>
          <w:b/>
        </w:rPr>
        <w:t>POSSIBLE 2023:</w:t>
      </w:r>
      <w:r>
        <w:t xml:space="preserve"> Climate change vs energy security? The conditional support for energy sources among Western Europeans — https://doi.org/10.1016/j.enpol.2023.113471</w:t>
      </w:r>
    </w:p>
    <w:p>
      <w:pPr/>
      <w:r>
        <w:rPr>
          <w:b/>
        </w:rPr>
        <w:t>Shared claim-specific concepts:</w:t>
      </w:r>
      <w:r>
        <w:t xml:space="preserve"> conditional, findings, affect; EU scope visible. This is a provisional connection, not an outcome finding.</w:t>
      </w:r>
    </w:p>
    <w:p>
      <w:pPr>
        <w:pStyle w:val="SourceNote"/>
      </w:pPr>
      <w:r>
        <w:rPr>
          <w:b/>
        </w:rPr>
        <w:t>Available abstract (not full text):</w:t>
      </w:r>
      <w:r>
        <w:t xml:space="preserve"> The decarbonisation of Western societies requires a fundamental reorganisation of energy supply and fierce debates around the future energy mix have begun in many countries. However, we still know little about how concerns about energy security affect the public's energy preferences in view of the critique that renewable energies might compromise energy security. This paper argues that there is a perceived trade-off between energy security and climate protection that affects energy supply preferences in Western Europe. Using the European Social Survey's ‘Public Attitudes to Climate Change’ module, the findings from multilevel regressions demonstrate that there is indeed a perceived trade-off in energy preferences among Western Europeans. People concerned about energy security prefer coal, gas, and nuclear power over renewable energies. People worried about climate change prefer solar and wind energy over nuclear and fossil forms of energy. The analysis further identifies four different groups representing the trade-off between energy security and climate protection among Western Europeans. The paper thus identifies why energy preferences might collide and why some countries observe a polarisation of views around energy supply that policymakers need to address to realise a successful and publicly acceptable transformation of energy supply.</w:t>
      </w:r>
    </w:p>
    <w:p>
      <w:pPr>
        <w:pStyle w:val="Heading2"/>
      </w:pPr>
      <w:r>
        <w:t>549.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r>
        <w:rPr>
          <w:b/>
        </w:rPr>
        <w:t>POSSIBLE 2025:</w:t>
      </w:r>
      <w:r>
        <w:t xml:space="preserve"> Coal Consumption Efficiency in the European Union—Trends and Challenges — https://doi.org/10.3390/en18164273</w:t>
      </w:r>
    </w:p>
    <w:p>
      <w:pPr/>
      <w:r>
        <w:rPr>
          <w:b/>
        </w:rPr>
        <w:t>Shared claim-specific concepts:</w:t>
      </w:r>
      <w:r>
        <w:t xml:space="preserve"> challenges, energy, efficiency, union, climate; EU scope visible. This is a provisional connection, not an outcome finding.</w:t>
      </w:r>
    </w:p>
    <w:p>
      <w:pPr>
        <w:pStyle w:val="SourceNote"/>
      </w:pPr>
      <w:r>
        <w:rPr>
          <w:b/>
        </w:rPr>
        <w:t>Available abstract (not full text):</w:t>
      </w:r>
      <w:r>
        <w:t xml:space="preserve"> Coal plays a significant role in the economies of many countries and serves as an energy source for numerous societies. However, its combustion causes various environmental problems and contributes to climate change. This article examines the efficiency of coal consumption in 26 European Union countries and its changes from 2014 to 2022. Data Envelopment Analysis (DEA) methodology was applied to measure the extent of overall technical, pure technical, and scale technical efficiency, based on data concerning three production factors (labour, fixed assets, and energy), with GDP as a desirable output and CO2 emissions as an undesirable output. The empirical findings revealed that Cyprus, Denmark, Luxembourg, and Poland were efficiency leaders throughout the entire study period. France, Germany, Italy, and the Netherlands managed energy and non-energy resources efficiently but were found inefficient in terms of operational scale. Countries that do not use their resources at optimal levels in the production of goods and services should provide greater technical and financial support to their production processes and improve the organisation and structure of labour.</w:t>
      </w:r>
    </w:p>
    <w:p>
      <w:pPr/>
      <w:r>
        <w:rPr>
          <w:b/>
        </w:rPr>
        <w:t>POSSIBLE 2025:</w:t>
      </w:r>
      <w:r>
        <w:t xml:space="preserve"> Sustainable technological innovations in agriculture: Financial challenges and investment priorities under the European Green Deal — https://doi.org/10.1016/j.jenvman.2025.126150</w:t>
      </w:r>
    </w:p>
    <w:p>
      <w:pPr/>
      <w:r>
        <w:rPr>
          <w:b/>
        </w:rPr>
        <w:t>Shared claim-specific concepts:</w:t>
      </w:r>
      <w:r>
        <w:t xml:space="preserve"> challenges, increasing, energy, efficiency; EU scope visible. This is a provisional connection, not an outcome finding.</w:t>
      </w:r>
    </w:p>
    <w:p>
      <w:pPr>
        <w:pStyle w:val="SourceNote"/>
      </w:pPr>
      <w:r>
        <w:rPr>
          <w:b/>
        </w:rPr>
        <w:t>Available abstract (not full text):</w:t>
      </w:r>
      <w:r>
        <w:t xml:space="preserve"> This study explores the important financial challenges faced by Spanish agricultural and livestock companies to meet stringent environmental regulations without compromising their competitiveness. Using a Delphi method integrated with a systematic literature review, the research identifies key sustainable technological innovations (STIs) that require significant financial investment. Priority STIs include renewable energy sources, water use efficiency, by-product management, alternative fertilizers, and digital technologies, among others, each of which plays a key role in mitigating environmental impacts and aligning with overarching European sustainability frameworks, notably the European Green Deal and the 2030 Agenda for Sustainable Development. The findings support the formulation of specific policy recommendations aimed at overcoming the financial constraints that hinder the adoption of STIs. These include designing progressive financing schemes, launching green credit lines with subsidized interest rates, and increasing agri-environmental subsidies linked to STIs adoption. Furthermore, the study advocates the expansion of public-private investment frameworks and the establishment of technical advisory services to support producers in the selection, integration and implementation of appropriate technologies. These measures are essential to reduce economic barriers and acce</w:t>
      </w:r>
    </w:p>
    <w:p>
      <w:pPr/>
      <w:r>
        <w:rPr>
          <w:b/>
        </w:rPr>
        <w:t>POSSIBLE 2025:</w:t>
      </w:r>
      <w:r>
        <w:t xml:space="preserve"> Wind Energy in Transition: Development, Socio-Economic Impacts, and Policy Challenges in Europe — https://doi.org/10.3390/en18112811</w:t>
      </w:r>
    </w:p>
    <w:p>
      <w:pPr/>
      <w:r>
        <w:rPr>
          <w:b/>
        </w:rPr>
        <w:t>Shared claim-specific concepts:</w:t>
      </w:r>
      <w:r>
        <w:t xml:space="preserve"> presents, challenges, energy, efficiency, context; EU scope visible. This is a provisional connection, not an outcome finding.</w:t>
      </w:r>
    </w:p>
    <w:p>
      <w:pPr>
        <w:pStyle w:val="SourceNote"/>
      </w:pPr>
      <w:r>
        <w:rPr>
          <w:b/>
        </w:rPr>
        <w:t>Available abstract (not full text):</w:t>
      </w:r>
      <w:r>
        <w:t xml:space="preserve"> Wind energy has emerged as a strategic pillar in the global energy transition, offering both environmental and economic benefits. This comprehensive review explores the development of wind energy with a focus on the regulatory, socio-economic, and technological challenges that shape its deployment in Europe, particularly in Poland. The study highlights disparities between countries in terms of both total and per capita installed capacity, emphasizing the importance of equitable access to renewable energy. Denmark and Germany outperform larger economies like China and India in per capita terms, indicating the significance of effective policy frameworks and public engagement. The article presents detailed case studies of successful wind farm projects across the EU alongside economic evaluations including cost structures, return on investment, and local development impacts. Additionally, the role of innovation—such as floating offshore wind farms and AI-based energy management—is discussed in the context of improving efficiency and overcoming infrastructure and environmental barriers. The analysis is supported by quantitative comparisons, graphical representations, and policy reviews, culminating in practical recommendations for future growth. Wind energy’s expansion depends on integrated strategies that combine policy reform, technological advancement, economic viability, and com</w:t>
      </w:r>
    </w:p>
    <w:p>
      <w:pPr/>
      <w:r>
        <w:rPr>
          <w:b/>
        </w:rPr>
        <w:t>POSSIBLE 2025:</w:t>
      </w:r>
      <w:r>
        <w:t xml:space="preserve"> Empirical research of foreign direct investments efficiency in the European Union on the edge of pandemic outbreak — https://doi.org/10.1371/journal.pone.0313161</w:t>
      </w:r>
    </w:p>
    <w:p>
      <w:pPr/>
      <w:r>
        <w:rPr>
          <w:b/>
        </w:rPr>
        <w:t>Shared claim-specific concepts:</w:t>
      </w:r>
      <w:r>
        <w:t xml:space="preserve"> challenges, efficiency, investments, union; EU scope visible. This is a provisional connection, not an outcome finding.</w:t>
      </w:r>
    </w:p>
    <w:p>
      <w:pPr>
        <w:pStyle w:val="SourceNote"/>
      </w:pPr>
      <w:r>
        <w:rPr>
          <w:b/>
        </w:rPr>
        <w:t>Available abstract (not full text):</w:t>
      </w:r>
      <w:r>
        <w:t xml:space="preserve"> The study focuses on the effects of the COVID-19 pandemic on the economy and foreign direct investments in the European Union countries. Using data envelopment analysis constant and variable returns to scale models, and the Malmquist productivity index, we measured the efficiency of economic resource utilization concerning foreign direct investments and gross domestic product. These efficiencies were assessed in 2019, before the full outbreak of COVID-19, and in 2020, when uncertainty and the consequences of the pandemic were most pronounced. Despite the challenges posed by the pandemic, the European Union displayed economic resilience in the first year, with no significant reduction in foreign direct investment efficiency. Lower-income European Union countries saw an increase in foreign direct investment efficiency, attributing this to positive changes in managerial efficiency. This suggests that decisions made by authorities positively impacted foreign direct investment flows in economically less developed European Union regions despite restrictive measures and market uncertainties.</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presents, challenges, increasing, energy;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presents, challenges, increasing, union;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Challenges and best practices in sustainable urban tourism development in Central and Eastern Europe — https://doi.org/10.4337/9781803926742.00041</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Urban destinations worldwide face many challenges, including an increasing number of visitors, a growing number of people living in cities, and economic and environmental disruptions, to name but a few. Sustainable development of urban destinations is thus an important topic that researchers have started to examine over the past decade. Still, little has been written on sustainable tourism development and the challenges faced by city destinations from Central and Eastern Europe (CEE), a region with a tumultuous history, many conquests, turmoil, and displacements. These events are reflected in the rich culture and diverse traditions that are maintained even today in some cities from the region. This chapter aims to contribute to filling this gap by discussing the challenges faced by CEE countries in their efforts to promote and implement sustainable tourism initiatives, with a focus on urban destinations. Additionally, it briefly explores the situation of sustainable urban tourism in post-communist Romania and presents examples of best practice in sustainable tourism implementation from several CEE cities.</w:t>
      </w:r>
    </w:p>
    <w:p>
      <w:pPr>
        <w:pStyle w:val="Heading2"/>
      </w:pPr>
      <w:r>
        <w:t>550.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2024:</w:t>
      </w:r>
      <w:r>
        <w:t xml:space="preserve"> Cohort Differences in Physical Health and Disability in the United States and Europe — https://doi.org/10.1093/geronb/gbae113</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OBJECTIVES: Declines in mortality have historically been associated with improvements in physical health across generations. While life expectancy in most high-income countries continues to increase, there is evidence that younger generations, particularly in the United States, are less healthy than previous generations at the same age. We compared generational trends in physical health in the United States, England, and continental Europe to explore whether other regions have experienced a similar pattern of worsening health across cohorts. METHODS: Using data from nationally representative studies of adults aged ≥50 years from the United States (Health and Retirement Study, n = 26,939), England (English Longitudinal Study of Ageing, n = 14,992) and 11 continental European countries (Survey of Health, Ageing and Retirement in Europe, n =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successive cohorts in all regions. Trends in disability prevalence were more regionally varied. Still, in both the United States and Europe, we observed a structural break in disability trends, with declines observed in prew</w:t>
      </w:r>
    </w:p>
    <w:p>
      <w:pPr/>
      <w:r>
        <w:rPr>
          <w:b/>
        </w:rPr>
        <w:t>POSSIBLE 2024:</w:t>
      </w:r>
      <w:r>
        <w:t xml:space="preserve"> Generational differences in physical health and disability in the United States and Europe — https://doi.org/10.1101/2024.01.16.24301347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Objectives: Declines in mortality have typically been associated with improvements in physical health across generations. While life expectancy in most high-income countries continues to increase, there is evidence that younger generations, particularly in the United States (US), are less healthy than previous generations at the same age. We compared generational trends in physical health in the US, England, and continental Europe to explore whether other regions have experienced a similar pattern of worsening health across cohorts. Methods: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cohorts in all regions. Trends in disability prevalence were more regionally varied. Still, in both the US and Europe, we observed a structural break in disability trends, with declines observed in pre-war cohorts slowing, stalling, or reversing for cohorts born since 1945. Discussion: In all regions, we found evidence for worsening health across cohorts, particularly for those born since 1945. While more chronic disease in younger cohorts need not necessarily translate to worse quality of life or higher rates of function</w:t>
      </w:r>
    </w:p>
    <w:p>
      <w:pPr/>
      <w:r>
        <w:rPr>
          <w:b/>
        </w:rPr>
        <w:t>POSSIBLE 2024:</w:t>
      </w:r>
      <w:r>
        <w:t xml:space="preserve"> Measuring Sustainable Development in the European Union Based on the 2030 Agenda Indicators — https://doi.org/10.32725/det.2024.002</w:t>
      </w:r>
    </w:p>
    <w:p>
      <w:pPr/>
      <w:r>
        <w:rPr>
          <w:b/>
        </w:rPr>
        <w:t>Shared claim-specific concepts:</w:t>
      </w:r>
      <w:r>
        <w:t xml:space="preserve"> agenda, set, sustainable, not; EU scope visible. This is a provisional connection, not an outcome finding.</w:t>
      </w:r>
    </w:p>
    <w:p>
      <w:pPr>
        <w:pStyle w:val="SourceNote"/>
      </w:pPr>
      <w:r>
        <w:rPr>
          <w:b/>
        </w:rPr>
        <w:t>Available abstract (not full text):</w:t>
      </w:r>
      <w:r>
        <w:t xml:space="preserve"> The author's research was based on the indicators of the 2030 Agenda for Sustainable Development, which are used to explore the measurement of sustainable development in the European Union for the period 2014-2018. Various statistical and econometric methods were used in the quantitative research, such as factor analysis, correlation analysis, scale alignment transformation and cluster analysis. The main objective of the research is to show the diversity of the possibilities for measuring sustainable development and the extent to which the indicators in the 2030 Agenda database can be reduced by the selected methods. The results suggest that the set of indicators for the 2030 Agenda can be reduced in size without significantly reducing the information content. The established sustainable development factors show a strong relationship with GDP and HDI indicators. Sustainable development can be analysed using a single composite indicator (CSDGI) for the five years under study and, last but not least, EU Member States can be clustered according to their characteristics.</w:t>
      </w:r>
    </w:p>
    <w:p>
      <w:pPr/>
      <w:r>
        <w:rPr>
          <w:b/>
        </w:rPr>
        <w:t>POSSIBLE 2024:</w:t>
      </w:r>
      <w:r>
        <w:t xml:space="preserve"> Achieving the 2030 Agenda: Mapping the Landscape of Corporate Sustainability Goals and Policies in the European Union — https://doi.org/10.3390/su16072971</w:t>
      </w:r>
    </w:p>
    <w:p>
      <w:pPr/>
      <w:r>
        <w:rPr>
          <w:b/>
        </w:rPr>
        <w:t>Shared claim-specific concepts:</w:t>
      </w:r>
      <w:r>
        <w:t xml:space="preserve"> all, united, nations, agenda, sustainable; EU scope visible. This is a provisional connection, not an outcome finding.</w:t>
      </w:r>
    </w:p>
    <w:p>
      <w:pPr>
        <w:pStyle w:val="SourceNote"/>
      </w:pPr>
      <w:r>
        <w:rPr>
          <w:b/>
        </w:rPr>
        <w:t>Available abstract (not full text):</w:t>
      </w:r>
      <w:r>
        <w:t xml:space="preserve"> The United Nations Sustainable Development Goals (UN SDGs) were introduced in 2015 to advance the 2030 Agenda of sustainable development in all supporting countries. The SDGs are applicable to countries, non-governmental organizations, industries, and companies. In this article, we focus on the contribution of listed companies headquartered in the European Union (EU) to the SDGs. The EU intends to be the front-runner in the race for sustainable development and has adopted comprehensive strategies that mirror the UN SDGs. For this reason, we collected relevant data points from the Refinitiv Eikon database for 1156 companies headquartered in EU countries for the financial year 2022. The data collected refer to contributions to each SDG and the adoption of corporate sustainability policies. Data were statistically analyzed per country and sector to generate a comprehensive image of industry contributions to the SDGs in the EU. By applying a comparative analysis of country-level achievements and policies, the results point to four EU countries that are significant contributors to the SDGs through their economic activities. At the same time, other EU countries are still facing significant challenges in this domain. The socioeconomic considerations for these cases are laid out in the Discussion section. The present article offers a snapshot of corporate contributions to the SDGs as c</w:t>
      </w:r>
    </w:p>
    <w:p>
      <w:pPr/>
      <w:r>
        <w:rPr>
          <w:b/>
        </w:rPr>
        <w:t>POSSIBLE 2023:</w:t>
      </w:r>
      <w:r>
        <w:t xml:space="preserve"> Burden of infectious disease studies in Europe and the United Kingdom: a review of methodological design choices — https://doi.org/10.1017/s0950268823000031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2023:</w:t>
      </w:r>
      <w:r>
        <w:t xml:space="preserve"> Strategic Research, Innovation and Implementation Agenda for Digital Language Equality in Europe by 2030 — https://doi.org/10.1007/978-3-031-28819-7_45</w:t>
      </w:r>
    </w:p>
    <w:p>
      <w:pPr/>
      <w:r>
        <w:rPr>
          <w:b/>
        </w:rPr>
        <w:t>Shared claim-specific concepts:</w:t>
      </w:r>
      <w:r>
        <w:t xml:space="preserve"> all, agenda, goal; EU scope visible. This is a provisional connection, not an outcome finding.</w:t>
      </w:r>
    </w:p>
    <w:p>
      <w:pPr>
        <w:pStyle w:val="SourceNote"/>
      </w:pPr>
      <w:r>
        <w:rPr>
          <w:b/>
        </w:rPr>
        <w:t>Available abstract (not full text):</w:t>
      </w:r>
      <w:r>
        <w:t xml:space="preserve"> Abstract This chapter presents the ELE Programme (ELE Consortium 2022). Reacting to the landmark resolution (European Parliament 2018), its vision is to achieve digital language equality in Europe by 2030. The programme was prepared jointly with many stakeholders from the European Language Technology, Natural Language Processing, Computational Linguistics and language-centric AI communities, as well as with representatives of relevant initiatives and associations, and language communities. Europe still suffers from strong inequalities in terms of technology support of its languages. English is still by far the language with the best technological support, followed by a cluster of three languages (German, Spanish, French) that already have only half the technological support of English. More than half of the around 90 languages surveyed have either weak or no technological support at all. The ELE Programme is foreseen to be a shared, long-term funding programme tailored to Europe’s needs, demands and values. For the EU we foresee the role of providing resources for coordinating the programme, for providing shared infrastructures, for maintaining the scientific goals and programme principles, etc. The participating countries have the role of providing resources for the development of technologies and datasets for their own languages. Key goals are to reduce the technology gap bet</w:t>
      </w:r>
    </w:p>
    <w:p>
      <w:pPr>
        <w:pStyle w:val="Heading2"/>
      </w:pPr>
      <w:r>
        <w:t>551.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pollution, energy, consumption, population;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much, pollution, energy, attributed, cities, population;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Effect of tree canopy cover on air pollution-related mortality in European cities: an integrated approach — https://doi.org/10.1016/s2542-5196(25)00112-3</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Background In urban areas, fine particles (PM 2·5 ), nitrogen dioxide (NO 2 ), and tropospheric ozone (O 3 ) are the most harmful air pollutants for human health. Urban greening is seen as a strategy for co-benefitting air quality, climate, and citizens' wellbeing. We aimed to estimate the changes in tree cover, the mortality burden attributable to air pollution, and the mortality that could be potentially prevented by increasing tree coverage in European cities. Methods We did a quantitative health impact assessment to estimate the effect of mean tree cover on air pollutants levels and PM 2·5 -related, NO 2 -related, and O 3 -related mortality (all ages) in 744 European urban centres, with more than 50 000 inhabitants, across 36 countries. We did all analyses at the city-wide scale. Findings Between 2000 and 2019, the mean tree coverage increased by 0·76 percentage points, with 73·5% of the urban centres showing greener coverage, whereas mortality burdens declined by on average 3·39% (SD 0·28) in all urban centres. In 2019, about 25% of the total population lived in areas with a mean tree canopy coverage over 30%. Compared with the current tree cover, each five percentage point increase in tree canopy cover could facilitate an air quality improvement of 2·8% for annual PM 2·5 mean concentrations, 1·4% for annual NO 2 mean concentrations, and 1·2% for summertime mean of the dai</w:t>
      </w:r>
    </w:p>
    <w:p>
      <w:pPr/>
      <w:r>
        <w:rPr>
          <w:b/>
        </w:rPr>
        <w:t>POSSIBLE 2025:</w:t>
      </w:r>
      <w:r>
        <w:t xml:space="preserve"> Leveraging peri-urban forests to reduce temperature and air pollution-related urban mortality in European cities — https://doi.org/10.1038/s43247-025-03079-2</w:t>
      </w:r>
    </w:p>
    <w:p>
      <w:pPr/>
      <w:r>
        <w:rPr>
          <w:b/>
        </w:rPr>
        <w:t>Shared claim-specific concepts:</w:t>
      </w:r>
      <w:r>
        <w:t xml:space="preserve"> pollution, cities, population, different, strategies; EU scope visible. This is a provisional connection, not an outcome finding.</w:t>
      </w:r>
    </w:p>
    <w:p>
      <w:pPr>
        <w:pStyle w:val="SourceNote"/>
      </w:pPr>
      <w:r>
        <w:rPr>
          <w:b/>
        </w:rPr>
        <w:t>Available abstract (not full text):</w:t>
      </w:r>
      <w:r>
        <w:t xml:space="preserve"> Extreme temperatures and poor air quality contribute to premature mortality, increased hospital admissions and higher healthcare costs. As the majority of the world’s population lives in cities, understanding how urban vegetation mitigates temperature and pollution hazards is essential for designing strategies to enhance urban resilience and reduce mortality. However, estimating the health benefits of urban greening is challenging due to the non-linear physical, chemical, and biological processes involved. Here we use a coupled climate-chemistry model to assess the impact of different peri-urban tree planting scenarios on temperature- and pollution-related mortality and their associated costs over three Euro-Mediterranean cities. We find that peri-urban greening primarily allows to reduce mortality from non-optimal temperatures and, to a lesser extent, air pollution, with effectiveness depending on the selected trees species and local meteorological and chemical conditions. This study provides methodological insights to guide urban planners in leveraging nature-based solutions effectively while avoiding adverse health effects from poor tree selection. Across European cities, peri-urban green areas can reduce mortality from non-optimal temperatures and, to a lesser extent, air pollution, with effectiveness depending on tree species and meteorological conditions, according to a c</w:t>
      </w:r>
    </w:p>
    <w:p>
      <w:pPr/>
      <w:r>
        <w:rPr>
          <w:b/>
        </w:rPr>
        <w:t>POSSIBLE 2024:</w:t>
      </w:r>
      <w:r>
        <w:t xml:space="preserve"> Reducing pollution and economic sustainability policies from the use of renewable energy in European Union nations — https://doi.org/10.61435/ijred.2024.53205</w:t>
      </w:r>
    </w:p>
    <w:p>
      <w:pPr/>
      <w:r>
        <w:rPr>
          <w:b/>
        </w:rPr>
        <w:t>Shared claim-specific concepts:</w:t>
      </w:r>
      <w:r>
        <w:t xml:space="preserve"> much, pollution, energy, consumption; EU scope visible. This is a provisional connection, not an outcome finding.</w:t>
      </w:r>
    </w:p>
    <w:p>
      <w:pPr>
        <w:pStyle w:val="SourceNote"/>
      </w:pPr>
      <w:r>
        <w:rPr>
          <w:b/>
        </w:rPr>
        <w:t>Available abstract (not full text):</w:t>
      </w:r>
      <w:r>
        <w:t xml:space="preserve"> A major challenge facing humans in the 21st century is how to strike a balance between the mitigation of environmental degradation and the achievement of sustainable economic growth. On this note, this investigation applies an autoregressive distributed lag (ARDL) methodology to a panel data of 28 European Union (EU-28) countries over the period 2000-2020. The study confirms the existence of positive and significant long-run nexus among environmental sustainability, renewable energy consumption and economic growth in the EU-28 countries. In addition, empirical results indicate that real gross fixed capital formation, carbon emissions and other environmental factors are principal determinants of long-run growth in the EU. Using Dumitrescu and Hurlin (2012) Granger non-causality in heterogeneous panel, results show long-run bidirectional causal relationships among renewable energy consumption, economic growth and other growth determinants. Based on these results, infer that the exploitation of renewable energy sources in the EU-28 countries is a reliable pathway toward environmental pollution mitigation. This indicates that achieving the sustainable development goals (SDGs) by the year 2030 through renewable energy consumption and carbon emission mitigation is very much achievable in the EU-28 countries, and should also be adopted by all countries as an effective global policy.</w:t>
      </w:r>
    </w:p>
    <w:p>
      <w:pPr/>
      <w:r>
        <w:rPr>
          <w:b/>
        </w:rPr>
        <w:t>POSSIBLE 2024:</w:t>
      </w:r>
      <w:r>
        <w:t xml:space="preserve"> Energy, Energy Subsidies and Economic Planning Gone Wild — https://doi.org/10.4324/9781003308225-14</w:t>
      </w:r>
    </w:p>
    <w:p>
      <w:pPr/>
      <w:r>
        <w:rPr>
          <w:b/>
        </w:rPr>
        <w:t>Shared claim-specific concepts:</w:t>
      </w:r>
      <w:r>
        <w:t xml:space="preserve"> much, pollution, energy, consumption, increase; EU scope visible. This is a provisional connection, not an outcome finding.</w:t>
      </w:r>
    </w:p>
    <w:p>
      <w:pPr>
        <w:pStyle w:val="SourceNote"/>
      </w:pPr>
      <w:r>
        <w:rPr>
          <w:b/>
        </w:rPr>
        <w:t>Available abstract (not full text):</w:t>
      </w:r>
      <w:r>
        <w:t xml:space="preserve"> Energy is enormously important for modern economies. Because of its economic and social importance, the production and end-use cost of energy are of keen interest to governments around the world. Governments will therefore sometimes explicitly or implicitly subsidize energy. Measuring subsidies is tricky, but where they exist, they reduce incentives for conservation and promote energy use, with sometimes enormous budgetary and pollution consequences. In general, energy subsidies reduce social welfare, though subsidies that address externalities, such as indoor air pollution from biomass fuels, may increase human welfare. All energy subsidies must be analyzed carefully because of potential lock-in effects. Comprehensive economic planning in the so-called Soviet Bloc was an extreme example of what can occur when subsidies are substantial. Though we may not know for sure how much of the extra environmental damage done there was directly due to energy subsidies, we know that energy in the Soviet Bloc was much cheaper than in the West. When the system fully ended in August 1991, energy and other prices shot up, consumption of energy fell, and pollution problems came to look much more like those in Western Europe. Now 11 of the 27 members of the European Union are former Soviet Bloc members.</w:t>
      </w:r>
    </w:p>
    <w:p>
      <w:pPr/>
      <w:r>
        <w:rPr>
          <w:b/>
        </w:rPr>
        <w:t>POSSIBLE 2024:</w:t>
      </w:r>
      <w:r>
        <w:t xml:space="preserve"> Spatial analysis of tails of air pollution PDFs in Europe — https://doi.org/10.1017/eds.2024.43</w:t>
      </w:r>
    </w:p>
    <w:p>
      <w:pPr/>
      <w:r>
        <w:rPr>
          <w:b/>
        </w:rPr>
        <w:t>Shared claim-specific concepts:</w:t>
      </w:r>
      <w:r>
        <w:t xml:space="preserve"> much, pollution, different; EU scope visible. This is a provisional connection, not an outcome finding.</w:t>
      </w:r>
    </w:p>
    <w:p>
      <w:pPr>
        <w:pStyle w:val="SourceNote"/>
      </w:pPr>
      <w:r>
        <w:rPr>
          <w:b/>
        </w:rPr>
        <w:t>Available abstract (not full text):</w:t>
      </w:r>
      <w:r>
        <w:t xml:space="preserve"> Abstract Outdoor air pollution is estimated to cause a huge number of premature deaths worldwide. It catalyzes many diseases on a variety of time scales, and it has a detrimental effect on the environment. In light of these impacts, it is necessary to obtain a better understanding of the dynamics and statistics of measured air pollution concentrations, including temporal fluctuations of observed concentrations and spatial heterogeneities. Here, we present an extensive analysis for measured data from Europe. The observed probability density functions (PDFs) of air pollution concentrations depend very much on the spatial location and the pollutant substance. We analyze a large number of time series data from 3544 different European monitoring sites and show that the PDFs of nitric oxide ( $ NO $ ), nitrogen dioxide ( $ {NO}_2 $ ), and particulate matter ( $ {PM}_{10} $ and $ {PM}_{2.5} $ ) concentrations generically exhibit heavy tails. These are asymptotically well approximated by $ q $ -exponential distributions with a given entropic index $ q $ and width parameter $ \lambda $ . We observe that the power-law parameter $ q $ and the width parameter $ \lambda $ vary widely for the different spatial locations. We present the results of our data analysis in the form of a map that shows which parameters $ q $ and $ \lambda $ are most relevant in a given region. A variety of interest</w:t>
      </w:r>
    </w:p>
    <w:p>
      <w:pPr/>
      <w:r>
        <w:rPr>
          <w:b/>
        </w:rPr>
        <w:t>POSSIBLE 2024:</w:t>
      </w:r>
      <w:r>
        <w:t xml:space="preserve"> Burden of cardiovascular disease attributed to air pollution: a systematic review — https://doi.org/10.1186/s12992-024-01040-0</w:t>
      </w:r>
    </w:p>
    <w:p>
      <w:pPr/>
      <w:r>
        <w:rPr>
          <w:b/>
        </w:rPr>
        <w:t>Shared claim-specific concepts:</w:t>
      </w:r>
      <w:r>
        <w:t xml:space="preserve"> pollution, attributed, increase; EU scope not established. This is a provisional connection, not an outcome finding.</w:t>
      </w:r>
    </w:p>
    <w:p>
      <w:pPr>
        <w:pStyle w:val="SourceNote"/>
      </w:pPr>
      <w:r>
        <w:rPr>
          <w:b/>
        </w:rPr>
        <w:t>Available abstract (not full text):</w:t>
      </w:r>
      <w:r>
        <w:t xml:space="preserve"> Abstract Background Cardiovascular diseases (CVDs) are estimated to be the leading cause of global death. Air pollution is the biggest environmental threat to public health worldwide. It is considered a potentially modifiable environmental risk factor for CVDs because it can be prevented by adopting the right national and international policies. The present study was conducted to synthesize the results of existing studies on the burden of CVDs attributed to air pollution, namely prevalence, hospitalization, disability, mortality, and cost characteristics. Methods A systematic search was performed in the Scopus, PubMed, and Web of Science databases to identify studies, without time limitations, up to June 13, 2023. Exclusion criteria included prenatal exposure, exposure to indoor air pollution, review studies, conferences, books, letters to editors, and animal and laboratory studies. The quality of the articles was evaluated based on the Agency for Healthcare Research and Quality Assessment Form, the Newcastle–Ottawa Scale, and Drummond Criteria using a self-established scale. The articles that achieved categories A and B were included in the study. Results Of the 566 studies obtained, based on the inclusion/exclusion criteria, 92 studies were defined as eligible in the present systematic review. The results of these investigations supported that chronic exposure to various conc</w:t>
      </w:r>
    </w:p>
    <w:p>
      <w:pPr>
        <w:pStyle w:val="Heading2"/>
      </w:pPr>
      <w:r>
        <w:t>552.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2025:</w:t>
      </w:r>
      <w:r>
        <w:t xml:space="preserve"> LOBBYING IN THE EUROPEAN UNION — https://doi.org/10.25234/eclic/38141</w:t>
      </w:r>
    </w:p>
    <w:p>
      <w:pPr/>
      <w:r>
        <w:rPr>
          <w:b/>
        </w:rPr>
        <w:t>Shared claim-specific concepts:</w:t>
      </w:r>
      <w:r>
        <w:t xml:space="preserve"> union, role, international, strategies, become; EU scope visible. This is a provisional connection, not an outcome finding.</w:t>
      </w:r>
    </w:p>
    <w:p>
      <w:pPr>
        <w:pStyle w:val="SourceNote"/>
      </w:pPr>
      <w:r>
        <w:rPr>
          <w:b/>
        </w:rPr>
        <w:t>Available abstract (not full text):</w:t>
      </w:r>
      <w:r>
        <w:t xml:space="preserve"> The legislation procedure within the European Union (EU) legal system is determined by the sources of EU law. Therefore, the legal acts adopted by the EU institutions are the instruments by which the application of its public policies is regulated. The process of adopting legal regulations is provided for by the creation of the public policies of the EU, which are at the same time influenced by the number of actors involved. Various political groups and the public administration of the EU play a significant role in creating the EU’s public policies. However, informal actors such as interest groups and lobbies play an increasingly important role in this process. Due to the participation of interest groups and lobbyists in the process of creating the EU’s public policies, and consequently their implementation, their influence on the EU policies has been transformed and increased in comparison with previous decades. Thus, interest groups and lobbies have become leading actors on the European scene, influencing the law and the economy of the EU through legitimate means, which has consequently also affected its member states and international relations. This paper aims to show how the interest groups and lobbies legally operate within the European legal system, illustrating at the same time the EU mechanisms of lobbying regulation, as well as showing the consequences of the EU’s ins</w:t>
      </w:r>
    </w:p>
    <w:p>
      <w:pPr/>
      <w:r>
        <w:rPr>
          <w:b/>
        </w:rPr>
        <w:t>POSSIBLE 2025:</w:t>
      </w:r>
      <w:r>
        <w:t xml:space="preserve"> Non-formal education in the European Union countries — https://doi.org/10.33272/2522-9729-2025-3(222)-48-51</w:t>
      </w:r>
    </w:p>
    <w:p>
      <w:pPr/>
      <w:r>
        <w:rPr>
          <w:b/>
        </w:rPr>
        <w:t>Shared claim-specific concepts:</w:t>
      </w:r>
      <w:r>
        <w:t xml:space="preserve"> union, frequently, role, international, today; EU scope visible. This is a provisional connection, not an outcome finding.</w:t>
      </w:r>
    </w:p>
    <w:p>
      <w:pPr>
        <w:pStyle w:val="SourceNote"/>
      </w:pPr>
      <w:r>
        <w:rPr>
          <w:b/>
        </w:rPr>
        <w:t>Available abstract (not full text):</w:t>
      </w:r>
      <w:r>
        <w:t xml:space="preserve"> This study covers non-formal learning in higher education institutions by examining online platforms of non-formal education in the European Union (EU). Non-formal education in EU countries plays an important role in the development of personality, professional skills and social integration. It is a key element of the lifelong learning concept, which is actively supported by the EU. Ukrainian online platforms of non-formal education are more frequently used by students in Ukrainian higher education institutions. The survey analysis has shown a high rate of interest among students in getting acquainted with online platforms of non-formal education used in the EU. Examples of modern online platforms in EU countries are Codecademy, Coursera, Udacity, Udemy, OpenupEd. Platforms in EU countries offer courses from leading universities and teachers, providing students with the opportunity to gain knowledge at a high level. A principal role of non-formal education in professional training has been recognized in EU countries. Online courses through platforms are often focused on practical skills that are highly valued by employers. The platforms include courses related to the specifics of work and study in the EU, which helps students understand the requirements of employers and prepare for employment. Online platforms foster a culture of continuous learning, which is crucial for adapti</w:t>
      </w:r>
    </w:p>
    <w:p>
      <w:pPr/>
      <w:r>
        <w:rPr>
          <w:b/>
        </w:rPr>
        <w:t>POSSIBLE 2024:</w:t>
      </w:r>
      <w:r>
        <w:t xml:space="preserve"> Soil pollution in the European Union – An outlook — https://doi.org/10.1016/j.envsci.2024.103876</w:t>
      </w:r>
    </w:p>
    <w:p>
      <w:pPr/>
      <w:r>
        <w:rPr>
          <w:b/>
        </w:rPr>
        <w:t>Shared claim-specific concepts:</w:t>
      </w:r>
      <w:r>
        <w:t xml:space="preserve"> union, relevant; EU scope visible. This is a provisional connection, not an outcome finding.</w:t>
      </w:r>
    </w:p>
    <w:p>
      <w:pPr>
        <w:pStyle w:val="SourceNote"/>
      </w:pPr>
      <w:r>
        <w:rPr>
          <w:b/>
        </w:rPr>
        <w:t>Available abstract (not full text):</w:t>
      </w:r>
      <w:r>
        <w:t xml:space="preserve"> Soil pollution in the European Union (EU) is poorly quantified, because of several years of reduced attention and limited funding on soil research and monitoring.Moreover, issues such as different monitoring methodologies within Member States (MS), and quantification methods focused on pseudototal rather than the available fraction of pollutants, has been limiting our understanding of risk under soil pollution.Despite that, thanks to efforts from the scientific community, it was possible to achieve some progress, which is by far insufficient for the problem at hand.In the anticipation of future policy demands and towards a common strategy for tackling soil pollution in the EU, it seemed relevant to describe the limited knowledge and main uncertainties.Such analysis should provide evidence for the development of efficient policies, as well as updating current ones to better tackle the interdisciplinary of soil.This perspective provides our view on current knowledge on soil pollution at EU scale, by compiling the most updated assessments made at EU scale, identifying soil pollution drivers, impacts on health and the environment, and evaluating current state of knowledge.Allowing us to infer about current level of uncertainties and knowledge gaps and identify solutions through future research and policies.Our suggestions are in line with an increasing investment on research and in</w:t>
      </w:r>
    </w:p>
    <w:p>
      <w:pPr/>
      <w:r>
        <w:rPr>
          <w:b/>
        </w:rPr>
        <w:t>POSSIBLE 2024:</w:t>
      </w:r>
      <w:r>
        <w:t xml:space="preserve"> Credit Claiming in the European Union — https://doi.org/10.1086/732970</w:t>
      </w:r>
    </w:p>
    <w:p>
      <w:pPr/>
      <w:r>
        <w:rPr>
          <w:b/>
        </w:rPr>
        <w:t>Shared claim-specific concepts:</w:t>
      </w:r>
      <w:r>
        <w:t xml:space="preserve"> union, frequently, strategies; EU scope visible. This is a provisional connection, not an outcome finding.</w:t>
      </w:r>
    </w:p>
    <w:p>
      <w:pPr>
        <w:pStyle w:val="SourceNote"/>
      </w:pPr>
      <w:r>
        <w:rPr>
          <w:b/>
        </w:rPr>
        <w:t>Available abstract (not full text):</w:t>
      </w:r>
      <w:r>
        <w:t xml:space="preserve"> Incumbents in multilevel systems are assumed to exploit uncertainty of responsibility by claiming credit and shifting blame, yet little is known about when and how they engage in these rhetorical strategies. This article draws on the example of Europe’s multilevel system of governance to argue that electoral incentives determine governments’ presentation of the European Union (EU) in their domestic public spheres. I use an original dataset of over 6,000 classified statements by heads of government presenting the outcomes of EU summits to their national media between 2005 and 2018 and find that governments both claim credit for themselves and share credit with other levels of government. Governments are more likely to claim credit when domestic Euroskepticism is high and for issues that are salient to domestic audiences. Findings challenge the conventional view that the EU receives little recognition from politicians in domestic public spheres and that governments frequently shift blame onto the EU. Rather, the EU is credited for policy issues citizens care less about, whereas governments claim credit for issues that are electorally salient. Findings have implications for democratic accountability in multilevel systems of governance.</w:t>
      </w:r>
    </w:p>
    <w:p>
      <w:pPr/>
      <w:r>
        <w:rPr>
          <w:b/>
        </w:rPr>
        <w:t>POSSIBLE 2024:</w:t>
      </w:r>
      <w:r>
        <w:t xml:space="preserve"> The role of the European Union and international legislation in the government of the migration crisis — https://doi.org/10.31893/multirev.2024309</w:t>
      </w:r>
    </w:p>
    <w:p>
      <w:pPr/>
      <w:r>
        <w:rPr>
          <w:b/>
        </w:rPr>
        <w:t>Shared claim-specific concepts:</w:t>
      </w:r>
      <w:r>
        <w:t xml:space="preserve"> union, role, international, developing; EU scope visible. This is a provisional connection, not an outcome finding.</w:t>
      </w:r>
    </w:p>
    <w:p>
      <w:pPr>
        <w:pStyle w:val="SourceNote"/>
      </w:pPr>
      <w:r>
        <w:rPr>
          <w:b/>
        </w:rPr>
        <w:t>Available abstract (not full text):</w:t>
      </w:r>
      <w:r>
        <w:t xml:space="preserve"> This paper focuses on the over researched migrant and refugee emergency of 2015-2016, adopting a broader temporal and spatial lens. The 2015 refugee crisis shook Europe and its security and brought immigration and asylum policy to new political dynamics that are developing at a pace and with difficulty in coordination. This particular 'crisis' of 2015 gave a stronger political impetus to the migration and asylum agenda of the EU's destination and transit states. concerns about the limitations of the liberal state, including external border policy, the framing of migrants, European identity and the phenomenon of return migration security, which mainly affected Central and Eastern Europe. Through the analysis of a broad set of materials emerging from the research project, we identified several interacting features of governance in times of crisis, including a multilevel but complex actor landscape, complicated and fragmented legal systems and policy provisions that can change at the temporal level as well as at the territorial level and the current characteristics of a 'crisis governance mode'. Can we identify the specific features that form this state of crisis?</w:t>
      </w:r>
    </w:p>
    <w:p>
      <w:pPr/>
      <w:r>
        <w:rPr>
          <w:b/>
        </w:rPr>
        <w:t>POSSIBLE 2024:</w:t>
      </w:r>
      <w:r>
        <w:t xml:space="preserve"> Geopolitics in Space and the Role of the European Union — https://doi.org/10.37075/bjiep.2023.2.02</w:t>
      </w:r>
    </w:p>
    <w:p>
      <w:pPr/>
      <w:r>
        <w:rPr>
          <w:b/>
        </w:rPr>
        <w:t>Shared claim-specific concepts:</w:t>
      </w:r>
      <w:r>
        <w:t xml:space="preserve"> union, role, international, today, become; EU scope visible. This is a provisional connection, not an outcome finding.</w:t>
      </w:r>
    </w:p>
    <w:p>
      <w:pPr>
        <w:pStyle w:val="SourceNote"/>
      </w:pPr>
      <w:r>
        <w:rPr>
          <w:b/>
        </w:rPr>
        <w:t>Available abstract (not full text):</w:t>
      </w:r>
      <w:r>
        <w:t xml:space="preserve"> The changing nature of traditional geopolitics has seen world powers turn to space as the ultimate frontier and potential battlefield. This paper addresses one of the key issues in the international security agenda today: the rise of space as geopolitical concept. It shows how the topic has become a topic of concern to the international community. Its main objectives are 1.) to examine the current developments in the strategic posture of the leading space powers and 2.) to elaborate a new perspective on the European Union’s role in space exploration which places at the centre of a debate the need for major improvements and autonomous capacity building.</w:t>
      </w:r>
    </w:p>
    <w:p>
      <w:pPr/>
      <w:r>
        <w:rPr>
          <w:b/>
        </w:rPr>
        <w:t>POSSIBLE 2024:</w:t>
      </w:r>
      <w:r>
        <w:t xml:space="preserve"> The Role of Entrepreneurship in Changing the Employment Rate in the European Union — https://doi.org/10.1007/s13132-024-01841-z</w:t>
      </w:r>
    </w:p>
    <w:p>
      <w:pPr/>
      <w:r>
        <w:rPr>
          <w:b/>
        </w:rPr>
        <w:t>Shared claim-specific concepts:</w:t>
      </w:r>
      <w:r>
        <w:t xml:space="preserve"> union, role, promoting; EU scope visible. This is a provisional connection, not an outcome finding.</w:t>
      </w:r>
    </w:p>
    <w:p>
      <w:pPr>
        <w:pStyle w:val="SourceNote"/>
      </w:pPr>
      <w:r>
        <w:rPr>
          <w:b/>
        </w:rPr>
        <w:t>Available abstract (not full text):</w:t>
      </w:r>
      <w:r>
        <w:t xml:space="preserve"> Abstract The aim of this research is to examine the role of entrepreneurship in changing the employment rate in the European Union (EU). With the aim of understanding the relationship between entrepreneurship and employment dynamics, this research investigates the impact of entrepreneurial activities on job creation, job opportunities, and overall employment trends across EU member states. By analyzing a comprehensive dataset encompassing various economic indicators and entrepreneurial metrics, including business startups, self-employment rates, and entrepreneurial ecosystem factors, this study provides insights into the mechanisms through which entrepreneurship influences employment in the EU. The analysis considers both the direct and indirect effects of entrepreneurship on employment, exploring how entrepreneurial ventures contribute to job creation, stimulate economic growth, and shape labor market dynamics. The findings of this study reveal that entrepreneurship plays a crucial role in changing the employment rate in the EU. Entrepreneurial activities, such as new business startups and self-employment, contribute significantly to job creation, particularly in sectors characterized by innovation, technology, and services. Furthermore, entrepreneurship fosters a dynamic and flexible labor market, promoting job opportunities and reducing unemployment rates. The study also hig</w:t>
      </w:r>
    </w:p>
    <w:p>
      <w:pPr>
        <w:pStyle w:val="Heading2"/>
      </w:pPr>
      <w:r>
        <w:t>553.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2024:</w:t>
      </w:r>
      <w:r>
        <w:t xml:space="preserve"> Investigating the heterogeneity within Wild bird indices in Europe — https://doi.org/10.1016/j.biocon.2024.110452</w:t>
      </w:r>
    </w:p>
    <w:p>
      <w:pPr/>
      <w:r>
        <w:rPr>
          <w:b/>
        </w:rPr>
        <w:t>Shared claim-specific concepts:</w:t>
      </w:r>
      <w:r>
        <w:t xml:space="preserve"> within, common, between;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European Integration and Globalisation of Ukraine's Digital Economy: Strategic Directions and Prospects — https://doi.org/10.56294/sctconf2024.656</w:t>
      </w:r>
    </w:p>
    <w:p>
      <w:pPr/>
      <w:r>
        <w:rPr>
          <w:b/>
        </w:rPr>
        <w:t>Shared claim-specific concepts:</w:t>
      </w:r>
      <w:r>
        <w:t xml:space="preserve"> directions, need, solutions, strategies; EU scope visible. This is a provisional connection, not an outcome finding.</w:t>
      </w:r>
    </w:p>
    <w:p>
      <w:pPr>
        <w:pStyle w:val="SourceNote"/>
      </w:pPr>
      <w:r>
        <w:rPr>
          <w:b/>
        </w:rPr>
        <w:t>Available abstract (not full text):</w:t>
      </w:r>
      <w:r>
        <w:t xml:space="preserve"> This article examines the digital transformation of Ukraine's economy through European integration. It highlights prospects for digitalization, including economic growth, innovation, and strengthened ties with the EU, alongside challenges such as public sector inefficiencies, investment risks, and slow reforms. Digitalization is emphasized as a driver of innovative development and a foundation for economic cooperation with the EU. The study combines expert analysis from SCOPUS, Web of Science, and Ukrainian data (2019–2023) to evaluate conditions, risks, and opportunities. Key findings include the need for enhanced investor protections, alignment with EU standards, and personalized digital strategies to reduce risks and promote growth. Despite progress, gaps remain in public sector digitalization, governance, and technology adoption. Addressing these issues can unlock Ukraine's digital potential, boosting competitiveness and integration into the EU market. The research proposes a tailored framework for implementing digital transformation, emphasizing flexibility, efficiency, and personalized solutions. These advancements aim to strengthen Ukraine's global market position and ensure sustainable economic growth</w:t>
      </w:r>
    </w:p>
    <w:p>
      <w:pPr/>
      <w:r>
        <w:rPr>
          <w:b/>
        </w:rPr>
        <w:t>POSSIBLE 2024:</w:t>
      </w:r>
      <w:r>
        <w:t xml:space="preserve"> MIGRATION POLICY DIRECTIONS OF THE EUROPEAN UNION FOR FOREIGN SKILLED WORKERS: SUPRANATIONAL LEVEL — https://doi.org/10.35678/2539-5645.1(44).2024.50-57</w:t>
      </w:r>
    </w:p>
    <w:p>
      <w:pPr/>
      <w:r>
        <w:rPr>
          <w:b/>
        </w:rPr>
        <w:t>Shared claim-specific concepts:</w:t>
      </w:r>
      <w:r>
        <w:t xml:space="preserve"> directions, within, between; EU scope visible. This is a provisional connection, not an outcome finding.</w:t>
      </w:r>
    </w:p>
    <w:p>
      <w:pPr>
        <w:pStyle w:val="SourceNote"/>
      </w:pPr>
      <w:r>
        <w:rPr>
          <w:b/>
        </w:rPr>
        <w:t>Available abstract (not full text):</w:t>
      </w:r>
      <w:r>
        <w:t xml:space="preserve"> The innovative development of the economies of the European Union continuously increases the demand for skilled professionals, which cannot be met solely through internal labor resources (intra-European mobility). In this regard, labor migration, particularly the stimulation of the influx of foreign skilled workers, plays a vital role in addressing the imbalance of supply and demand in the European labor market. This article examines the migration policy instruments of the European Union, applied at the supranational level and aimed at mitigating the imbalance between the growing demand for skilled professionals and the limited supply in the regional labor market. It argues that the overall vector of the EU's migration policy, as an integration union, is oriented towards attracting and accumulating potential (foreign students, interns, doctoral candidates) and actual skilled professionals within its territory, in line with the current and future needs of the European labor market, thereby contributing to the achievement of the strategic goals of the social, economic, and innovative development of the EU.</w:t>
      </w:r>
    </w:p>
    <w:p>
      <w:pPr/>
      <w:r>
        <w:rPr>
          <w:b/>
        </w:rPr>
        <w:t>POSSIBLE 2023:</w:t>
      </w:r>
      <w:r>
        <w:t xml:space="preserve"> Fairness in recommender systems: research landscape and future directions — https://doi.org/10.1007/s11257-023-09364-z</w:t>
      </w:r>
    </w:p>
    <w:p>
      <w:pPr/>
      <w:r>
        <w:rPr>
          <w:b/>
        </w:rPr>
        <w:t>Shared claim-specific concepts:</w:t>
      </w:r>
      <w:r>
        <w:t xml:space="preserve"> directions, create, find, questions; EU scope not established. This is a provisional connection, not an outcome finding.</w:t>
      </w:r>
    </w:p>
    <w:p>
      <w:pPr>
        <w:pStyle w:val="SourceNote"/>
      </w:pPr>
      <w:r>
        <w:rPr>
          <w:b/>
        </w:rPr>
        <w:t>Available abstract (not full text):</w:t>
      </w:r>
      <w:r>
        <w:t xml:space="preserve"> Abstract Recommender systems can strongly influence which information we see online, e.g., on social media, and thus impact our beliefs, decisions, and actions. At the same time, these systems can create substantial business value for different stakeholders. Given the growing potential impact of such AI-based systems on individuals, organizations, and society, questions of fairness have gained increased attention in recent years. However, research on fairness in recommender systems is still a developing area. In this survey, we first review the fundamental concepts and notions of fairness that were put forward in the area in the recent past. Afterward, through a review of more than 160 scholarly publications, we present an overview of how research in this field is currently operationalized, e.g., in terms of general research methodology, fairness measures, and algorithmic approaches. Overall, our analysis of recent works points to certain research gaps. In particular, we find that in many research works in computer science, very abstract problem operationalizations are prevalent and questions of the underlying normative claims and what represents a fair recommendation in the context of a given application are often not discussed in depth. These observations call for more interdisciplinary research to address fairness in recommendation in a more comprehensive and impactful manne</w:t>
      </w:r>
    </w:p>
    <w:p>
      <w:pPr>
        <w:pStyle w:val="Heading2"/>
      </w:pPr>
      <w:r>
        <w:t>554.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pStyle w:val="Heading2"/>
      </w:pPr>
      <w:r>
        <w:t>555.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2025:</w:t>
      </w:r>
      <w:r>
        <w:t xml:space="preserve"> Management of epithelial precancerous conditions and early neoplasia of the stomach (MAPS III): European Society of Gastrointestinal Endoscopy (ESGE), European Helicobacter and Microbiota Study Group (EHMSG) and European Society of Pathology (ESP) Guideline update 2025 — https://doi.org/10.1055/a-2529-5025</w:t>
      </w:r>
    </w:p>
    <w:p>
      <w:pPr/>
      <w:r>
        <w:rPr>
          <w:b/>
        </w:rPr>
        <w:t>Shared claim-specific concepts:</w:t>
      </w:r>
      <w:r>
        <w:t xml:space="preserve"> society, both, use, necessary; EU scope visible. This is a provisional connection, not an outcome finding.</w:t>
      </w:r>
    </w:p>
    <w:p>
      <w:pPr>
        <w:pStyle w:val="SourceNote"/>
      </w:pPr>
      <w:r>
        <w:rPr>
          <w:b/>
        </w:rPr>
        <w:t>Available abstract (not full text):</w:t>
      </w:r>
      <w:r>
        <w:t xml:space="preserve"> Main Recommendations At a population level, the European Society of Gastrointestinal Endoscopy (ESGE), the European Helicobacter and Microbiota Study Group (EHMSG), and the European Society of Pathology (ESP) suggest endoscopic screening for gastric cancer (and precancerous conditions) in high-risk regions (age-standardized rate [ASR] &gt; 20 per 100 000 person-years) every 2 to 3 years or, if cost–effectiveness has been proven, in intermediate risk regions (ASR 10–20 per 100 000 person-years) every 5 years, but not in low-risk regions (ASR &lt; 10). ESGE/EHMSG/ESP recommend that irrespective of country of origin, individual gastric risk assessment and stratification of precancerous conditions is recommended for first-time gastroscopy. ESGE/EHMSG/ESP suggest that gastric cancer screening or surveillance in asymptomatic individuals over 80 should be discontinued or not started, and that patients’ comorbidities should be considered when treatment of superficial lesions is planned. ESGE/EHMSG/ESP recommend that a high quality endoscopy including the use of virtual chromoendoscopy (VCE), after proper training, is performed for screening, diagnosis, and staging of precancerous conditions (atrophy and intestinal metaplasia) and lesions (dysplasia or cancer), as well as after endoscopic therapy. VCE should be used to guide the sampling site for biopsies in the case of suspected neoplastic l</w:t>
      </w:r>
    </w:p>
    <w:p>
      <w:pPr/>
      <w:r>
        <w:rPr>
          <w:b/>
        </w:rPr>
        <w:t>POSSIBLE 2025:</w:t>
      </w:r>
      <w:r>
        <w:t xml:space="preserve"> Agroecology Living Labs to transform food systems: a critical review at the science-policy-society nexus in Europe — https://doi.org/10.1080/21683565.2025.2560915</w:t>
      </w:r>
    </w:p>
    <w:p>
      <w:pPr/>
      <w:r>
        <w:rPr>
          <w:b/>
        </w:rPr>
        <w:t>Shared claim-specific concepts:</w:t>
      </w:r>
      <w:r>
        <w:t xml:space="preserve"> both, transformation, foster, process; EU scope visible. This is a provisional connection, not an outcome finding.</w:t>
      </w:r>
    </w:p>
    <w:p>
      <w:pPr>
        <w:pStyle w:val="SourceNote"/>
      </w:pPr>
      <w:r>
        <w:rPr>
          <w:b/>
        </w:rPr>
        <w:t>Available abstract (not full text):</w:t>
      </w:r>
      <w:r>
        <w:t xml:space="preserve"> Agroecology Living Labs (ALL) are a promising approach to support food system transformation toward sustainability. Amid rapid uptake in Europe, we critically review the foundational literature supporting ALL: sustainable transition and innovation theories and the literature on agricultural knowledge and innovation systems to highlight transformative potential. To conduct this review, a diverse team of both social and natural scientists engaged in a co-creation process. We found that transformative ALL: 1) align methods with agroecology principles, 2) utilize place-based transformation approaches, and 3) foster a paradigm shift to participatory knowledge production. We identify seeds of transformation or cross-cutting characteristics across dominant theories and research approaches to fill political space and support transformative ALL. The first seed emphasizes moving beyond technical innovation toward socio-ecological system governance. The second seed promotes developing ALL at the territory/landscape scale as a mediator for open innovation across the science-policy-society nexus. The third seed highlights the transformative potential of inclusive and participatory knowledge production within structures that scale via networks. ALL, if methodically facilitated and supported across decision-making scales, have the potential to usher in a new transformative participatory parad</w:t>
      </w:r>
    </w:p>
    <w:p>
      <w:pPr/>
      <w:r>
        <w:rPr>
          <w:b/>
        </w:rPr>
        <w:t>POSSIBLE 2025:</w:t>
      </w:r>
      <w:r>
        <w:t xml:space="preserve"> European Vision of a Gigabit Society: Evidence from Poland — https://doi.org/10.3390/su17031271</w:t>
      </w:r>
    </w:p>
    <w:p>
      <w:pPr/>
      <w:r>
        <w:rPr>
          <w:b/>
        </w:rPr>
        <w:t>Shared claim-specific concepts:</w:t>
      </w:r>
      <w:r>
        <w:t xml:space="preserve"> society, industry, digital, transformation, use; EU scope visible. This is a provisional connection, not an outcome finding.</w:t>
      </w:r>
    </w:p>
    <w:p>
      <w:pPr>
        <w:pStyle w:val="SourceNote"/>
      </w:pPr>
      <w:r>
        <w:rPr>
          <w:b/>
        </w:rPr>
        <w:t>Available abstract (not full text):</w:t>
      </w:r>
      <w:r>
        <w:t xml:space="preserve"> Digital transformation is a key driver of economic and social growth, with the development of broadband infrastructure and fifth-generation (5G) technologies forming the foundation of the Gigabit Society under the framework of the “Digital Decade of Europe”. Digitization also plays a key role in achieving the Sustainable Development Goals (SDGs), especially SDG 9 (Industry, Innovation and Infrastructure) by contributing to the development of smart cities and improving resource management and citizens’ quality of life. This article critically analyzes Poland’s progress in achieving European digital objectives drawing on European Commission data, especially the Digital Economy and Society Index (DESI). Poland has expanded fiber optic technology (FTTP) and digital public services. However, barriers include limited 5G implementation, low digital skills, and minimal use of advanced technologies in business. The results indicate the need for further regulatory reforms, increased investment, and systemic support for digital education. This article contributes by linking digital policy and technology to sustainable economic and social development in national and European contexts.</w:t>
      </w:r>
    </w:p>
    <w:p>
      <w:pPr/>
      <w:r>
        <w:rPr>
          <w:b/>
        </w:rPr>
        <w:t>POSSIBLE 2025:</w:t>
      </w:r>
      <w:r>
        <w:t xml:space="preserve"> On Heuristic Models, Assumptions, and Parameters — https://doi.org/10.1145/3735562</w:t>
      </w:r>
    </w:p>
    <w:p>
      <w:pPr/>
      <w:r>
        <w:rPr>
          <w:b/>
        </w:rPr>
        <w:t>Shared claim-specific concepts:</w:t>
      </w:r>
      <w:r>
        <w:t xml:space="preserve"> assumptions, society, process; EU scope not established. This is a provisional connection, not an outcome finding.</w:t>
      </w:r>
    </w:p>
    <w:p>
      <w:pPr>
        <w:pStyle w:val="SourceNote"/>
      </w:pPr>
      <w:r>
        <w:rPr>
          <w:b/>
        </w:rPr>
        <w:t>Available abstract (not full text):</w:t>
      </w:r>
      <w:r>
        <w:t xml:space="preserve"> Insightful interdisciplinary collaboration is essential to the principled governance of technology. When such efforts address the interaction between computation and society, they often focus on modeling, the process by which computer scientists formally define problems in order to enable algorithmic solutions. But modeling is a multifaceted and inherently imperfect process. Especially in interdisciplinary work, it often receives uneven scrutiny because of the practical challenges of communicating complex technical details to non-experts. We argue that there is an underappreciated if loose family of obscure and opaque technical caveats, choices, and qualifiers that the social effects of computing can depend just as much on as far more heavily scrutinized modeling choices. These artifacts are often used by researchers to article over the incomplete theoretical foundations of computing or to burden shift responsibility for the impact of normative design decisions. Furthermore, their nuanced technical nature often complicates thorough sociotechnical scrutiny of the discretionary decisions made to manage them. We describe three specific classes of such objects: heuristic models, assumptions, and parameters. We raise six reasons these objects may be hazardous to comprehensive analysis of computing and argue they deserve deliberate consideration as researchers explain scientific work</w:t>
      </w:r>
    </w:p>
    <w:p>
      <w:pPr/>
      <w:r>
        <w:rPr>
          <w:b/>
        </w:rPr>
        <w:t>POSSIBLE 2025:</w:t>
      </w:r>
      <w:r>
        <w:t xml:space="preserve"> Building resilient and creative universities: exploring the new normal for eight universities across Europe — https://doi.org/10.1007/s44217-025-00580-w</w:t>
      </w:r>
    </w:p>
    <w:p>
      <w:pPr/>
      <w:r>
        <w:rPr>
          <w:b/>
        </w:rPr>
        <w:t>Shared claim-specific concepts:</w:t>
      </w:r>
      <w:r>
        <w:t xml:space="preserve"> universities, practices, digital, transformation, foster; EU scope visible. This is a provisional connection, not an outcome finding.</w:t>
      </w:r>
    </w:p>
    <w:p>
      <w:pPr>
        <w:pStyle w:val="SourceNote"/>
      </w:pPr>
      <w:r>
        <w:rPr>
          <w:b/>
        </w:rPr>
        <w:t>Available abstract (not full text):</w:t>
      </w:r>
      <w:r>
        <w:t xml:space="preserve"> Abstract The rapid digital turn tested universities' resilience like never before. New modes of survival and creative actions were required to cope with the COVID-19 crisis and the extreme upheaval of established ways of teaching. While prior research has explored organizational resilience and creativity separately, their interconnection remains underexamined. This study addresses this gap by analyzing 68 interviews with university staff members working at eight European universities (located in Germany, the UK, Austria, and Estonia), investigating the interlink between organizational resilience and creativity during the pandemic and the abrupt uptake of educational technology (EdTech). We identify three organizational practices which illustrate the resilience-creativity nexus: Accumulating, Engaging, and Reassembling. Accumulating refers to universities cultivating resources and support structures, which may fall outside of normal routines, including investing in technical training and didactic support for teachers. Whereas, Engaging includes practices universities undertake to foster institutional exchange to find creative solutions for carrying out emergency remote teaching. Lastly, Reassembling refers to processes in which universities reinvent existing routines and invent new ones, including rethinking time-honoured teaching practices in light of new technological discover</w:t>
      </w:r>
    </w:p>
    <w:p>
      <w:pPr/>
      <w:r>
        <w:rPr>
          <w:b/>
        </w:rPr>
        <w:t>POSSIBLE 2025:</w:t>
      </w:r>
      <w:r>
        <w:t xml:space="preserve"> Incorporating Contemplative Practices into the Classroom: An Auto/ethnographic Inquiry — https://openalex.org/W7217594155</w:t>
      </w:r>
    </w:p>
    <w:p>
      <w:pPr/>
      <w:r>
        <w:rPr>
          <w:b/>
        </w:rPr>
        <w:t>Shared claim-specific concepts:</w:t>
      </w:r>
      <w:r>
        <w:t xml:space="preserve"> incorporating, practices, integrates; EU scope not established. This is a provisional connection, not an outcome finding.</w:t>
      </w:r>
    </w:p>
    <w:p>
      <w:pPr>
        <w:pStyle w:val="SourceNote"/>
      </w:pPr>
      <w:r>
        <w:rPr>
          <w:b/>
        </w:rPr>
        <w:t>Available abstract (not full text):</w:t>
      </w:r>
      <w:r>
        <w:t xml:space="preserve"> Contemplative practices are vital for socio-emotional wellbeing by integrating compassion, self-awareness, and ethical values to nurture life-oriented competencies. This autoethnographic study explores the alignment between personal experience, pedagogy, and contemplative practice. Emphasizing critical self-reflexivity, the study integrates autobiography and ethnography to bridge self and collective consciousness in the classroom. Through autoethnographic reflection, four key themes arose: emotional tensions in instructional delivery, masking of authentic ways of teaching, restoration of classroom dignity and shared vulnerability. Integrating mindfulness, reflective journaling, and somatic practices helped recognize emotional triggers and personal biases. This helped transform holistic learning spaces while enhancing students emotional resiliency and classroom engagement. The findings suggest that teachers' practices in somatic and emotional awareness aids students’ holistic wellbeing noting teachers’ presence, compassion, and relational growth.</w:t>
      </w:r>
    </w:p>
    <w:p>
      <w:pPr/>
      <w:r>
        <w:rPr>
          <w:b/>
        </w:rPr>
        <w:t>POSSIBLE 2024:</w:t>
      </w:r>
      <w:r>
        <w:t xml:space="preserve"> Meeting Abstracts for the Society for Simulation in Europe 2024 — https://doi.org/10.1186/s41077-024-00287-2</w:t>
      </w:r>
    </w:p>
    <w:p>
      <w:pPr/>
      <w:r>
        <w:rPr>
          <w:b/>
        </w:rPr>
        <w:t>Shared claim-specific concepts:</w:t>
      </w:r>
      <w:r>
        <w:t xml:space="preserve"> society, both; EU scope visible. This is a provisional connection, not an outcome finding.</w:t>
      </w:r>
    </w:p>
    <w:p>
      <w:pPr>
        <w:pStyle w:val="SourceNote"/>
      </w:pPr>
      <w:r>
        <w:rPr>
          <w:b/>
        </w:rPr>
        <w:t>Available abstract (not full text):</w:t>
      </w:r>
      <w:r>
        <w:t xml:space="preserve"> Advances in Simulation 2024, 9(1): O1 man cohort.In conclusion, the multidimensional assessment model used in our study was able to discriminate between 3rd and 4th year residents in both cohorts, demonstrating validity, but did not show differences among residents from two different training systems.</w:t>
      </w:r>
    </w:p>
    <w:p>
      <w:pPr/>
      <w:r>
        <w:rPr>
          <w:b/>
        </w:rPr>
        <w:t>POSSIBLE 2024:</w:t>
      </w:r>
      <w:r>
        <w:t xml:space="preserve"> Assumptions and simplifications in discrete-event simulation modelling — https://doi.org/10.1080/17477778.2024.2407369</w:t>
      </w:r>
    </w:p>
    <w:p>
      <w:pPr/>
      <w:r>
        <w:rPr>
          <w:b/>
        </w:rPr>
        <w:t>Shared claim-specific concepts:</w:t>
      </w:r>
      <w:r>
        <w:t xml:space="preserve"> incorporating, assumptions; EU scope not established. This is a provisional connection, not an outcome finding.</w:t>
      </w:r>
    </w:p>
    <w:p>
      <w:pPr>
        <w:pStyle w:val="SourceNote"/>
      </w:pPr>
      <w:r>
        <w:rPr>
          <w:b/>
        </w:rPr>
        <w:t>Available abstract (not full text):</w:t>
      </w:r>
      <w:r>
        <w:t xml:space="preserve"> All discrete-event simulation models are approximations of the real system that they represent. It is through making assumptions and incorporating simplifications into such models that they become an approximation. However, despite their importance, the 4definition, role and management of assumptions and simplifications is not well understood. In this paper we explore assumptions and simplifications in discrete-event simulation modelling in detail. Our approach is firstly to explore the existing literature on this topic, and then to draw this together with our extensive experience of real projects to recommend an approach to managing assumptions and simplifications in a simulation study. In doing so, we locate the role of assumptions and simplifications in a simulation study against knowledge acquisition and model abstraction respectively. We define the terms “assumptions” and “simplifications”, also identifying the role of “simplifying assumptions”. An approach to documenting, assessing and treating assumptions and simplifications which has been implemented in real projects is then described; and it is illustrated through application to a Ford Motor Company case study. This paper provides much needed clarity on the topic of assumptions and simplifications in simulation modelling, and it sets out a means for managing assumptions and simplifications during a simulation study.</w:t>
      </w:r>
    </w:p>
    <w:p>
      <w:pPr>
        <w:pStyle w:val="Heading2"/>
      </w:pPr>
      <w:r>
        <w:t>556.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2024:</w:t>
      </w:r>
      <w:r>
        <w:t xml:space="preserve"> Cooling efficacy of trees across cities is determined by background climate, urban morphology, and tree trait — https://doi.org/10.1038/s43247-024-01908-4</w:t>
      </w:r>
    </w:p>
    <w:p>
      <w:pPr/>
      <w:r>
        <w:rPr>
          <w:b/>
        </w:rPr>
        <w:t>Shared claim-specific concepts:</w:t>
      </w:r>
      <w:r>
        <w:t xml:space="preserve"> background, climate, heat, climates; EU scope not established. This is a provisional connection, not an outcome finding.</w:t>
      </w:r>
    </w:p>
    <w:p>
      <w:pPr>
        <w:pStyle w:val="SourceNote"/>
      </w:pPr>
      <w:r>
        <w:rPr>
          <w:b/>
        </w:rPr>
        <w:t>Available abstract (not full text):</w:t>
      </w:r>
      <w:r>
        <w:t xml:space="preserve"> Abstract Urban planners and other stakeholders often view trees as the ultimate panacea for mitigating urban heat stress; however, their cooling efficacy varies globally and is influenced by three primary factors: tree traits, urban morphology, and climate conditions. This study analyzes 182 studies on the cooling effects of urban trees across 17 climates in 110 global cities or regions. Tree implementation reduces peak monthly temperatures to below 26 °C in 83% of the cities. Trees can lower pedestrian-level temperatures by up to 12 °C through large radiation blockage and transpiration. In tropical, temperate, and continental climates, a mixed-use of deciduous and evergreen trees in open urban morphology provides approximately 0.5 °C more cooling than a single species approach. In arid climates, evergreen species predominate and demonstrate more effective cooling within compact urban morphology. Our study offers context-specific greening guidelines for urban planners to harness tree cooling in the face of global warming.</w:t>
      </w:r>
    </w:p>
    <w:p>
      <w:pPr/>
      <w:r>
        <w:rPr>
          <w:b/>
        </w:rPr>
        <w:t>POSSIBLE 2024:</w:t>
      </w:r>
      <w:r>
        <w:t xml:space="preserve"> Constructing transferable and interpretable machine learning models for black carbon concentrations — https://doi.org/10.1016/j.envint.2024.108449</w:t>
      </w:r>
    </w:p>
    <w:p>
      <w:pPr/>
      <w:r>
        <w:rPr>
          <w:b/>
        </w:rPr>
        <w:t>Shared claim-specific concepts:</w:t>
      </w:r>
      <w:r>
        <w:t xml:space="preserve"> varying, background, concentrations; EU scope visible. This is a provisional connection, not an outcome finding.</w:t>
      </w:r>
    </w:p>
    <w:p>
      <w:pPr>
        <w:pStyle w:val="SourceNote"/>
      </w:pPr>
      <w:r>
        <w:rPr>
          <w:b/>
        </w:rPr>
        <w:t>Available abstract (not full text):</w:t>
      </w:r>
      <w:r>
        <w:t xml:space="preserve"> Black carbon (BC) has received increasing attention from researchers due to its adverse health effects. However, in-situ BC measurements are often not included as a regulated variable in air quality monitoring networks. Machine learning (ML) models have been studied extensively to serve as virtual sensors to complement the reference instruments. This study evaluates and compares three white-box (WB) and four black-box (BB) ML models to estimate BC concentrations, with the focus to show their transferability and interpretability. We train the models with the long-term air pollutant and weather measurements in Barcelona urban background site, and test them in other European urban and traffic sites. Despite the difference in geographical locations and measurement sites, BC correlates the strongest with particle number concentration of accumulation mode (PNacc, r = 0.73–0.85) and nitrogen dioxide (NO2, r = 0.68–0.85) and the weakest with meteorological parameters. Due to its similarity of correlation behaviour, the ML models trained in Barcelona performs prominently at the traffic site in Helsinki (R2 = 0.80–0.86; mean absolute error MAE = 3.90–4.73 %) and at the urban background site in Dresden (R2 = 0.79–0.84; MAE = 4.23–4.82 %). WB models appear to explain less variability of BC than BB models, long short-term memory (LSTM) model of which outperforms the rest of the models. In t</w:t>
      </w:r>
    </w:p>
    <w:p>
      <w:pPr/>
      <w:r>
        <w:rPr>
          <w:b/>
        </w:rPr>
        <w:t>POSSIBLE 2023:</w:t>
      </w:r>
      <w:r>
        <w:t xml:space="preserve"> Costs and benefits of climate services for heat-health adaptation in Europe — https://doi.org/10.1093/eurpub/ckad160.371</w:t>
      </w:r>
    </w:p>
    <w:p>
      <w:pPr/>
      <w:r>
        <w:rPr>
          <w:b/>
        </w:rPr>
        <w:t>Shared claim-specific concepts:</w:t>
      </w:r>
      <w:r>
        <w:t xml:space="preserve"> background, climate, heat;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How future climate and tree distribution changes shape the biodiversity of macrofungi across Europe — https://doi.org/10.1111/ddi.13688</w:t>
      </w:r>
    </w:p>
    <w:p>
      <w:pPr/>
      <w:r>
        <w:rPr>
          <w:b/>
        </w:rPr>
        <w:t>Shared claim-specific concepts:</w:t>
      </w:r>
      <w:r>
        <w:t xml:space="preserve"> varying, climate, including; EU scope visible. This is a provisional connection, not an outcome finding.</w:t>
      </w:r>
    </w:p>
    <w:p>
      <w:pPr>
        <w:pStyle w:val="SourceNote"/>
      </w:pPr>
      <w:r>
        <w:rPr>
          <w:b/>
        </w:rPr>
        <w:t>Available abstract (not full text):</w:t>
      </w:r>
      <w:r>
        <w:t xml:space="preserve"> Abstract Aim Climate change is affecting biodiversity at an accelerating rate. Despite the importance of fungi in ecosystems in general, and in the global carbon and nitrogen cycle in particular, there is little research on the response of fungi to climate change compared with plants and animals. Earlier studies show that climatic factors and tree species are key determinants of macrofungal diversity and distribution at large spatial scales. However, our knowledge of how climate change will affect macrofungal diversity and distribution in the future remains poorly understood. Location Europe. Methods Using openly available occurrence data of 1845 macrofungal species from eight European countries (i.e. Norway, Sweden, Finland, Denmark, Netherlands, Germany, France and Spain), we built ensemble species distribution models to predict macrofungal response to climate change alone and combined climate and tree distribution change under the IPCC special report on 2080 emissions scenarios (SRES A2 and B2). Results Considering climate change alone, we predict that about 77% (74.1%–80.7%) of the modelled species will expand their distribution range, and around 57% (56.1%–58.4%) of the modelled area will have an increase in macrofungal species richness. However, when considering the combined climate and tree species distribution change, only 50% (50%–50.9%) of the species are predicted to</w:t>
      </w:r>
    </w:p>
    <w:p>
      <w:pPr/>
      <w:r>
        <w:rPr>
          <w:b/>
        </w:rPr>
        <w:t>POSSIBLE 2023:</w:t>
      </w:r>
      <w:r>
        <w:t xml:space="preserve"> Antimicrobial resistance in Germany and Europe – A systematic review on the increasing threat accelerated by climate change — https://doi.org/10.25646/11404</w:t>
      </w:r>
    </w:p>
    <w:p>
      <w:pPr/>
      <w:r>
        <w:rPr>
          <w:b/>
        </w:rPr>
        <w:t>Shared claim-specific concepts:</w:t>
      </w:r>
      <w:r>
        <w:t xml:space="preserve"> background, climate, july, warmer; EU scope visible. This is a provisional connection, not an outcome finding.</w:t>
      </w:r>
    </w:p>
    <w:p>
      <w:pPr>
        <w:pStyle w:val="SourceNote"/>
      </w:pPr>
      <w:r>
        <w:rPr>
          <w:b/>
        </w:rPr>
        <w:t>Available abstract (not full text):</w:t>
      </w:r>
      <w:r>
        <w:t xml:space="preserve"> Background: Antimicrobial Resistance (AMR) is one of the top ten global public health threats facing humanity, alongside climate change. Here, we aim to summarise the effects of climate change (i.e. raise of temperature, change in humidity or precipitation) on spread of antibiotic resistance and on infections with antibiotic-resistant bacteria in Germany. Methods: We conducted a literature search with articles published between January 2012 and July 2022. Two authors screened titles, abstracts and full texts and extracted the data systematically. Results: From originally 2,389 titles, we identified six studies, which met our inclusion criteria. These studies show that an increase in temperature may lead to higher antibiotic resistance rates and an increased risk of colonisation as well as spread of pathogens. Furthermore, the number of healthcare-associated infections increases with increased temperature. Data indicate that higher antibiotic use is present in areas with warmer mean temperature. Conclusions: European data are scarce, but all studies identified point towards an increasing AMR burden due to climate change. However, further studies are needed to draw attention to the links between climatic factors and AMR and develop targeted preventive measures.</w:t>
      </w:r>
    </w:p>
    <w:p>
      <w:pPr>
        <w:pStyle w:val="Heading2"/>
      </w:pPr>
      <w:r>
        <w:t>557.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2026:</w:t>
      </w:r>
      <w:r>
        <w:t xml:space="preserve"> Datasets and data spaces in the autonomous driving domain: insights and trends — https://doi.org/10.1186/s12544-026-00844-y</w:t>
      </w:r>
    </w:p>
    <w:p>
      <w:pPr/>
      <w:r>
        <w:rPr>
          <w:b/>
        </w:rPr>
        <w:t>Shared claim-specific concepts:</w:t>
      </w:r>
      <w:r>
        <w:t xml:space="preserve"> challenges, trends, driving, management; EU scope visible. This is a provisional connection, not an outcome finding.</w:t>
      </w:r>
    </w:p>
    <w:p>
      <w:pPr>
        <w:pStyle w:val="SourceNote"/>
      </w:pPr>
      <w:r>
        <w:rPr>
          <w:b/>
        </w:rPr>
        <w:t>Available abstract (not full text):</w:t>
      </w:r>
      <w:r>
        <w:t xml:space="preserve"> The rapid evolution of autonomous driving technologies is deeply reliant on high-quality datasets and robust data management solutions that cannot be achieved by a single actor working in isolation. This paper examines the growing role of datasets and data spaces in the mobility domain, providing a conceptual analysis of current approaches and identifying key challenges and emerging trends that inform the design of an autonomous vehicle data space framework. While peer-to-peer solutions for data sharing already exist, the concept of data spaces can significantly scale these approaches, creating a self-improving feedback loop that enhances the performance of AI-based driving models by matching the demand for data with the data offered by providers. Specifically, the paper addresses the challenge of acquiring intra-vehicular data to enhance assisted driving functionalities and proposes a methodology for building a data space specialized for automated driving applications. Finally, the paper explores representative use cases, including a Level 4 automated shuttle, TalTech iseAuto, Estonia, and an all-terrain vehicle provided by CERTH, Greece, by conceptualizing data sharing across different domains, where data providers and consumers exchange information within a data space framework, driving continuous improvement in model performance.</w:t>
      </w:r>
    </w:p>
    <w:p>
      <w:pPr/>
      <w:r>
        <w:rPr>
          <w:b/>
        </w:rPr>
        <w:t>POSSIBLE 2025:</w:t>
      </w:r>
      <w:r>
        <w:t xml:space="preserve"> Research Trend Analysis in the Field of Self-Driving Labs Using Network Analysis and Topic Modeling — https://doi.org/10.3390/systems13040253</w:t>
      </w:r>
    </w:p>
    <w:p>
      <w:pPr/>
      <w:r>
        <w:rPr>
          <w:b/>
        </w:rPr>
        <w:t>Shared claim-specific concepts:</w:t>
      </w:r>
      <w:r>
        <w:t xml:space="preserve"> first, identify, trends, second; EU scope not established. This is a provisional connection, not an outcome finding.</w:t>
      </w:r>
    </w:p>
    <w:p>
      <w:pPr>
        <w:pStyle w:val="SourceNote"/>
      </w:pPr>
      <w:r>
        <w:rPr>
          <w:b/>
        </w:rPr>
        <w:t>Available abstract (not full text):</w:t>
      </w:r>
      <w:r>
        <w:t xml:space="preserve"> A self-driving lab (SDL) system that automates experimental design, data collection, and analysis using robotics and artificial intelligence (AI) technologies. Its significance has grown substantially in recent years. This study analyzes the overall SDL research trends, examines changes in specific topics, visualizes the relational structure between authors to identify key contributors, and extracts major themes from extensive texts to highlight essential research content. To achieve these objectives, trend analysis, network analysis, and topic modeling were conducted on 352 research papers collected from the Web of Science between 2004 and 2023. To ensure the validity of the topic modeling results, a topic correlation matrix was also performed. The results revealed three key findings. First, SDL research has surged since 2019, driven by advancements in AI technologies, reflecting heightened activity in this field. Second, modern scientific research is advancing with a focus on data-driven approaches, artificial intelligence applications, and experimental optimization through the utilization of SDLs. Third, SDL research exhibits interdisciplinary convergence, encompassing material optimization, biological processes, and AI predictive algorithms. This study underscores the growing importance of SDLs as a research tool across diverse academic disciplines and provides practical in</w:t>
      </w:r>
    </w:p>
    <w:p>
      <w:pPr/>
      <w:r>
        <w:rPr>
          <w:b/>
        </w:rPr>
        <w:t>POSSIBLE 2025:</w:t>
      </w:r>
      <w:r>
        <w:t xml:space="preserve"> A Comparative Trends of Watershed Health and Its Driving Forces — https://doi.org/10.3390/w18010095</w:t>
      </w:r>
    </w:p>
    <w:p>
      <w:pPr/>
      <w:r>
        <w:rPr>
          <w:b/>
        </w:rPr>
        <w:t>Shared claim-specific concepts:</w:t>
      </w:r>
      <w:r>
        <w:t xml:space="preserve"> identify, challenges, trends, driving, forces, water; EU scope not established. This is a provisional connection, not an outcome finding.</w:t>
      </w:r>
    </w:p>
    <w:p>
      <w:pPr>
        <w:pStyle w:val="SourceNote"/>
      </w:pPr>
      <w:r>
        <w:rPr>
          <w:b/>
        </w:rPr>
        <w:t>Available abstract (not full text):</w:t>
      </w:r>
      <w:r>
        <w:t xml:space="preserve"> In recent decades, rapid socioeconomic development and population growth have led to the degradation of river and lake health worldwide, posing severe challenges to watershed ecological management. The growing intensity of land-use has significantly contributed to the accelerated deterioration of aquatic ecosystems. River and lake health assessment has evolved from single-parameter metrics (e.g., water quality) to multidimensional frameworks integrating hydrological, biological, and anthropogenic factors. This research conducted a bibliometric analysis of 1302 publications from 1996 to 2023 in the Web of Science database to identify research trends and hotspots. Results showed that publications exhibited a three-phase growth incubation (1996–2000), expansion (2001–2012), and acceleration (2013–2023), with the U.S., China, and Australia as leading contributors characterized by regionally clustered international collaborations. Research themes have shifted from single water quality parameters to integrated assessments. “Land-use”, “water quality”, and “biotic integrity” have emerged as core hotspots, forming a synergistic assessment framework that combines physicochemical, biological, and socioeconomic factors. The research scale underwent a spatial refinement process from the whole watershed to the buffer zone of rivers and lakes, and land-use effects on aquatic ecosystems vary </w:t>
      </w:r>
    </w:p>
    <w:p>
      <w:pPr/>
      <w:r>
        <w:rPr>
          <w:b/>
        </w:rPr>
        <w:t>POSSIBLE 2024:</w:t>
      </w:r>
      <w:r>
        <w:t xml:space="preserve"> Narrative Beginnings: Relations between First Full-Fledged Scenes and the Beginning of the Main Action — https://doi.org/10.1353/nar.2024.a916602</w:t>
      </w:r>
    </w:p>
    <w:p>
      <w:pPr/>
      <w:r>
        <w:rPr>
          <w:b/>
        </w:rPr>
        <w:t>Shared claim-specific concepts:</w:t>
      </w:r>
      <w:r>
        <w:t xml:space="preserve"> first, identify, main, alternative; EU scope not established. This is a provisional connection, not an outcome finding.</w:t>
      </w:r>
    </w:p>
    <w:p>
      <w:pPr>
        <w:pStyle w:val="SourceNote"/>
      </w:pPr>
      <w:r>
        <w:rPr>
          <w:b/>
        </w:rPr>
        <w:t>Available abstract (not full text):</w:t>
      </w:r>
      <w:r>
        <w:t xml:space="preserve"> ABSTRACT: This essay focuses on two important phenomena in the context of narrative “beginnings”: the beginning of the action proper and the first full-fledged scene (FFS), namely, the first time-section in the text that the author finds to be of consequence enough to deserve full scenic treatment. The point of departure for my discussion is Meir Sternberg’s claim that the FFS always signals the beginning of the action proper (and the end of the exposition) in the fabula. To refute this as an absolute claim, I examine several types of openings where the FFS either succeeds or precedes chronologically the beginning of the action proper. I thereby also try to demonstrate it is instructive to consider the FFS more generally as significant on aesthetic and rhetorical grounds within the narrative whole; it can perform various and possibly alternative functions to the one Sternberg attributes to it as necessary and constant. Moreover, regarding the question of establishing the beginning point of the action proper, I suggest as an alternative signpost another full-fledged scene—the first in what I call the “main linear sequence” of the work (the application of both criteria often leads to the same result, but not always). This alternative indicator is not without its limitations either, but these limitations are methodologically useful since they help us identify and explain cases whe</w:t>
      </w:r>
    </w:p>
    <w:p>
      <w:pPr/>
      <w:r>
        <w:rPr>
          <w:b/>
        </w:rPr>
        <w:t>POSSIBLE 2024:</w:t>
      </w:r>
      <w:r>
        <w:t xml:space="preserve"> Population of Kalmykia: Main Geodemographic Trends of the First Quarter of the 21st Century — https://doi.org/10.15688/re.volsu.2024.4.15</w:t>
      </w:r>
    </w:p>
    <w:p>
      <w:pPr/>
      <w:r>
        <w:rPr>
          <w:b/>
        </w:rPr>
        <w:t>Shared claim-specific concepts:</w:t>
      </w:r>
      <w:r>
        <w:t xml:space="preserve"> first, identify, main, trends, region; EU scope not established. This is a provisional connection, not an outcome finding.</w:t>
      </w:r>
    </w:p>
    <w:p>
      <w:pPr>
        <w:pStyle w:val="SourceNote"/>
      </w:pPr>
      <w:r>
        <w:rPr>
          <w:b/>
        </w:rPr>
        <w:t>Available abstract (not full text):</w:t>
      </w:r>
      <w:r>
        <w:t xml:space="preserve"> The article analyzes the main trends in the quantitative, spatial, and settlement dynamics of the population of Kalmykia in the first quarter of the 21 st century. It was found that migration was the main factor of geodemographic changes. The active outflow of population determined the increased rate of demographic losses in the republic (8.8% for 2002–2024 was the highest rate among regions in the South of Russia), despite the maintenance of a positive natural growth rate until the early 2020s. A slight reduction in the scale of migration loss in the 2000s and its new growth in the 2010s make it possible to identify two periods in the demographic dynamics of the republic’s population, which generally coincide with the first two decades of the 21 st century. The outflow of population was widespread, but its intensity varied significantly across the territory of Kalmykia. The maximum demographic losses (21–30%) in the first quarter of the century were suffered by the western and northwestern districts (Gorodovikovsky, Priyutnensky, Sarpinsky, Ketcherovsky), in which significant outflow was combined with a natural decrease in the population due to its national structure (high proportion of Russians). In the inter-regional exchange, all the territorial communities of Kalmykia, including the capital, lost their population. In the intraregional population circulation, the metropolit</w:t>
      </w:r>
    </w:p>
    <w:p>
      <w:pPr/>
      <w:r>
        <w:rPr>
          <w:b/>
        </w:rPr>
        <w:t>POSSIBLE 2024:</w:t>
      </w:r>
      <w:r>
        <w:t xml:space="preserve"> Research Trend Analysis in the Field of Self-Driving Lab Using Network Analysis and Topic Modeling — https://doi.org/10.20944/preprints202412.0512.v1</w:t>
      </w:r>
    </w:p>
    <w:p>
      <w:pPr/>
      <w:r>
        <w:rPr>
          <w:b/>
        </w:rPr>
        <w:t>Shared claim-specific concepts:</w:t>
      </w:r>
      <w:r>
        <w:t xml:space="preserve"> first, identify, trends, second; EU scope not established. This is a provisional connection, not an outcome finding.</w:t>
      </w:r>
    </w:p>
    <w:p>
      <w:pPr>
        <w:pStyle w:val="SourceNote"/>
      </w:pPr>
      <w:r>
        <w:rPr>
          <w:b/>
        </w:rPr>
        <w:t>Available abstract (not full text):</w:t>
      </w:r>
      <w:r>
        <w:t xml:space="preserve"> A self-driving lab (SDL) is a system that automates experiment design, data collection, and analysis using robotics and artificial intelligence (AI) technologies, and its significance has grown substantially in recent years. This study analyzes the overall research trends in SDL, examines changes in specific topics, visualizes the relational structure among authors to identify key contributors and extracts major themes from extensive texts to highlight essential research content. To achieve these objectives, trend analysis, network analysis, and topic modeling are conducted on 352 research papers collected from the Web of Science from 2004 to 2023. The results revealed three key findings. First, SDL research has surged since 2019, driven by the pandemic and advancements in AI technologies, reflecting heightened activity in this field. Second, several influential researchers have been identified as central figures in the network, playing pivotal roles in collaboration and information dissemination. Third, SDL research exhibits interdisciplinary convergence, encompassing areas such as material optimization, biological processes, and AI predictive algorithms. This study underscores the growing importance of SDL as a research tool across diverse academic disciplines and provides practical insights into sustainable future research directions and strategic approaches.</w:t>
      </w:r>
    </w:p>
    <w:p>
      <w:pPr/>
      <w:r>
        <w:rPr>
          <w:b/>
        </w:rPr>
        <w:t>POSSIBLE 2024:</w:t>
      </w:r>
      <w:r>
        <w:t xml:space="preserve"> Driving Efficiency and Competitiveness: Trends and Innovations in ERP Systems for the Wood Industry — https://doi.org/10.3390/f15020230</w:t>
      </w:r>
    </w:p>
    <w:p>
      <w:pPr/>
      <w:r>
        <w:rPr>
          <w:b/>
        </w:rPr>
        <w:t>Shared claim-specific concepts:</w:t>
      </w:r>
      <w:r>
        <w:t xml:space="preserve"> identify, main, challenges, trends, driving, systems; EU scope not established. This is a provisional connection, not an outcome finding.</w:t>
      </w:r>
    </w:p>
    <w:p>
      <w:pPr>
        <w:pStyle w:val="SourceNote"/>
      </w:pPr>
      <w:r>
        <w:rPr>
          <w:b/>
        </w:rPr>
        <w:t>Available abstract (not full text):</w:t>
      </w:r>
      <w:r>
        <w:t xml:space="preserve"> Enterprise Resource Planning (ERP) systems offer various functionalities to support an organization’s core functions. However, many anticipated benefits often need to materialize due to business context changes and users’ high expectations. Continuous adaptation and improvement are necessary to address user disappointments. This research focuses on ERP systems, exploring key factors influencing the success of their implementation. Recognizing challenges in ERP system implementation, this study provides a comprehensive literature review, identifying essential and contemporary Critical Success Factors (CSFs) influenced by technological advancements. Addressing challenges specific to the wood industry, this research introduces additional industry-adapted CSFs, including industry adaptability, integration with production machinery, effective warehouse management, and supply chain tracking. Furthermore, this paper emphasizes the need for continuous adaptation and improvement of ERP systems, especially in light of current trends and technological achievements. This study recommends a holistic approach, considering traditional or essential CSFs while adapting to new trends. Critical success factors in ERP implementation in the next decade involve considering cloud technology, artificial intelligence and machine learning, data security, mobile access, IoT integration, user experience, </w:t>
      </w:r>
    </w:p>
    <w:p>
      <w:pPr>
        <w:pStyle w:val="Heading2"/>
      </w:pPr>
      <w:r>
        <w:t>558.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megatrends, potential, current;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r>
        <w:rPr>
          <w:b/>
        </w:rPr>
        <w:t>POSSIBLE 2025:</w:t>
      </w:r>
      <w:r>
        <w:t xml:space="preserve"> Index assessment of the level of development of e-government in Ukraine in relation to world trends — https://doi.org/10.33108/galicianvisnyk_tntu2025.03.167</w:t>
      </w:r>
    </w:p>
    <w:p>
      <w:pPr/>
      <w:r>
        <w:rPr>
          <w:b/>
        </w:rPr>
        <w:t>Shared claim-specific concepts:</w:t>
      </w:r>
      <w:r>
        <w:t xml:space="preserve"> long-term, current, increasingly; EU scope visible. This is a provisional connection, not an outcome finding.</w:t>
      </w:r>
    </w:p>
    <w:p>
      <w:pPr>
        <w:pStyle w:val="SourceNote"/>
      </w:pPr>
      <w:r>
        <w:rPr>
          <w:b/>
        </w:rPr>
        <w:t>Available abstract (not full text):</w:t>
      </w:r>
      <w:r>
        <w:t xml:space="preserve"> Over the past few decades, the public administration sector around the world has been radically changing towards the formation of digital or electronic government. This has served as an important political priority for the effective provision of public services. Currently, the concept of digital government is no longer new, but with the rapid development of information and communication technologies, it is becoming increasingly complex, as the boundaries between physical and digital government are increasingly blurred, and the connections between different sectors are becoming more complex and interconnected. In fact, in the hybrid digital era, an integrated ecosystem of digital government is being formed, that is, a transition from traditional isolated models to more flexible and adaptive network systems that are better able to cope with the current complex needs of society [1]. Periodic large-scale UN reviews of e-government development in the world based on the EGDI Index serve as a solid basis for a detailed analysis of the main trends and national achievements from a global and regional perspective. The materials of these studies indicate that the pace of e-government development in Ukraine in recent years has outpaced both the global and average European ones. This allowed our country to take the highest positions in the ranking for the comprehensive indicator in 2024 – t</w:t>
      </w:r>
    </w:p>
    <w:p>
      <w:pPr/>
      <w:r>
        <w:rPr>
          <w:b/>
        </w:rPr>
        <w:t>POSSIBLE 2024:</w:t>
      </w:r>
      <w:r>
        <w:t xml:space="preserve"> Global Megatrends Impacts on the Landscape, Analysis Based on Key Drivers of the Megatrends and Landscape Change: Case Study of Danubian Lowland, Slovakia — https://doi.org/10.2478/eko-2024-0019</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Abstract Global megatrends (GMTs) reshape landscapes worldwide, posing challenges for sustainability. This study delves into the complex interplay between GMTs and landscape changes in the Danube Lowland region of Slovakia, a microcosm of broader trends. Leveraging the concept of representative potential geoecosystems (REPGES), we assess historical landscape transformations and correlate them with key GMT drivers. Results reveal significant urban expansion linked to GMT2, primarily impacting the Bratislava area. Simultaneously, GMT5-driven economic growth manifests in agricultural land expansion and the total loss of one REPGES type. Notably, these changes coincide with a decrease in ecological stability across the region. Spatial analysis further unravels the interplay of GMTs, highlighting areas under intense urban and agricultural pressure. Our findings not only shed light on specific GMT impacts in the Danube Lowland but also offer valuable insights for landscape management across diverse regions facing similar megatrends. By understanding these complex interactions, we can develop informed strategies to navigate the challenges and opportunities presented by a globalized world, promoting sustainable landscapes for the future.</w:t>
      </w:r>
    </w:p>
    <w:p>
      <w:pPr/>
      <w:r>
        <w:rPr>
          <w:b/>
        </w:rPr>
        <w:t>POSSIBLE 2024:</w:t>
      </w:r>
      <w:r>
        <w:t xml:space="preserve"> Assessing the driving forces for future housing design — https://doi.org/10.14744/megaron.2024.78477</w:t>
      </w:r>
    </w:p>
    <w:p>
      <w:pPr/>
      <w:r>
        <w:rPr>
          <w:b/>
        </w:rPr>
        <w:t>Shared claim-specific concepts:</w:t>
      </w:r>
      <w:r>
        <w:t xml:space="preserve"> megatrends, driving, forces; EU scope not established. This is a provisional connection, not an outcome finding.</w:t>
      </w:r>
    </w:p>
    <w:p>
      <w:pPr>
        <w:pStyle w:val="SourceNote"/>
      </w:pPr>
      <w:r>
        <w:rPr>
          <w:b/>
        </w:rPr>
        <w:t>Available abstract (not full text):</w:t>
      </w:r>
      <w:r>
        <w:t xml:space="preserve"> The COVID-19 pandemic has underscored the imperative for housing to adapt to various factors, such as spatial, functional, climatic, and aesthetic considerations.The pandemic has transformed the dynamics between occupants and their living environments, influencing how different age groups interact with dwelling spaces, as well as impacting work, learning, healthcare access, and services.Urban life dynamics, especially in metropolitan areas, have undergone significant shifts due to social, cultural, technological, environmental, and economic factors.These changes, propelled by urbanization, demographic changes, evolving social structures, challenges in housing accessibility, and the rapid advancement of communication technologies, demand innovative approaches to housing design and programming.This study aims to identify future housing design trends and tendencies within this evolving context.Using a systematic literature review methodology, the study analyzed 87 articles published between 2010 and 2023, selected from digital databases according to predetermined criteria.Through meta-synthesis, STEEP analysis, and Shannon entropy assessments, the study identified 21 megatrends and 72 driving forces across the social, technological, environmental, economic, and political dimensions of housing design.The findings lay the groundwork for future housing innovations and sustainability,</w:t>
      </w:r>
    </w:p>
    <w:p>
      <w:pPr/>
      <w:r>
        <w:rPr>
          <w:b/>
        </w:rPr>
        <w:t>POSSIBLE 2024:</w:t>
      </w:r>
      <w:r>
        <w:t xml:space="preserve"> From Aimless Stray To Charting The Way: Financing Policy Reforms To Bolster Indonesia’s Downstreaming Strategy — https://doi.org/10.22219/jrak.v14i3.35906</w:t>
      </w:r>
    </w:p>
    <w:p>
      <w:pPr/>
      <w:r>
        <w:rPr>
          <w:b/>
        </w:rPr>
        <w:t>Shared claim-specific concepts:</w:t>
      </w:r>
      <w:r>
        <w:t xml:space="preserve"> long-term, potential, system; EU scope not established. This is a provisional connection, not an outcome finding.</w:t>
      </w:r>
    </w:p>
    <w:p>
      <w:pPr>
        <w:pStyle w:val="SourceNote"/>
      </w:pPr>
      <w:r>
        <w:rPr>
          <w:b/>
        </w:rPr>
        <w:t>Available abstract (not full text):</w:t>
      </w:r>
      <w:r>
        <w:t xml:space="preserve"> Purpose: A major impediment to the entry of domestic firms into these sectors is limited access to financing. This study seeks to analyze the constraints to financing access in Indonesia and to formulate policy recommendations to address them by employing an integrative literature review and comparative analysis of East Asian countries. Methodology/approach: This paper employs an integrative literature review and comparative analysis to explore potential policy solutions for mobilizing capital for Indonesia’s downstream industry. Findings: Findings indicate that Indonesia’s financial system, following substantial liberalization, now tends to favor projects with short-term returns over long-term downstream manufacturing projects that are critical for economic transformation. Practical implications: Indonesia must direct its limited capital towards strategic downstream investments. The paper suggests three policy options: 1) providing direct preferential loans; 2) offering guarantees; and 3) injecting equity into targeted domestic firms. Originality/value: The recommendations come with several caveats, including robust governance, specific conditionalities, and stringent evaluation to ensure that financial support targets the most competitive enterprises that can meet the government’s long-term development goals. This research found that while the government's proactive financing</w:t>
      </w:r>
    </w:p>
    <w:p>
      <w:pPr/>
      <w:r>
        <w:rPr>
          <w:b/>
        </w:rPr>
        <w:t>POSSIBLE 2023:</w:t>
      </w:r>
      <w:r>
        <w:t xml:space="preserve"> Modern paradigms and megatrends of industrialdevelopment — https://doi.org/10.15407/econindustry2023.01.005</w:t>
      </w:r>
    </w:p>
    <w:p>
      <w:pPr/>
      <w:r>
        <w:rPr>
          <w:b/>
        </w:rPr>
        <w:t>Shared claim-specific concepts:</w:t>
      </w:r>
      <w:r>
        <w:t xml:space="preserve"> megatrends, long-term, current, increasingly; EU scope not established. This is a provisional connection, not an outcome finding.</w:t>
      </w:r>
    </w:p>
    <w:p>
      <w:pPr>
        <w:pStyle w:val="SourceNote"/>
      </w:pPr>
      <w:r>
        <w:rPr>
          <w:b/>
        </w:rPr>
        <w:t>Available abstract (not full text):</w:t>
      </w:r>
      <w:r>
        <w:t xml:space="preserve"> Implementation of long-term strategies by all industrial stakeholders. The global nature of the challenges necessitates the organic and harmonious integration of all national economies into a new paradigmatic development framework. This requires active rethinking of strategic concepts and industrial policies by political and economic elites at the national, regional, and global levels. There is a growing trend towards expanding the targeted multi-dimensionality of industrial development as a component of holistic socio-economic systems at any level. Thus, the task of deepening the balance and harmonization of individual vectors and processes, both in the sector itself and in related sectors of the economy, is becoming more urgent. As part of the implementation of the imperatives of the socio-humanitarian paradigm, megatrends are being formed to prioritize the inclusion of humanitarian progress goals in industrial strategies and policies, transition to customer-oriented business models, and reorientation of industrial activities to form/expand the "comfort zone" (in various dimensions). The trend of systemic changes in the models of production use of all types of resources on the basis of maximizing resources’ efficiency and environmental safety is strategically important for global industrial development. This will lead to a shift in emphasis in long-term strategies from maximi</w:t>
      </w:r>
    </w:p>
    <w:p>
      <w:pPr>
        <w:pStyle w:val="Heading2"/>
      </w:pPr>
      <w:r>
        <w:t>559.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2025:</w:t>
      </w:r>
      <w:r>
        <w:t xml:space="preserve"> TOWARDS THE EU NET-ZERO: ENERGY PERFORMANCE CONTRACTINGIN THE EUROPEAN UNION POLICY AND REGULATORY FRAMEWORK — https://doi.org/10.46763/scgw25112g203c</w:t>
      </w:r>
    </w:p>
    <w:p>
      <w:pPr/>
      <w:r>
        <w:rPr>
          <w:b/>
        </w:rPr>
        <w:t>Shared claim-specific concepts:</w:t>
      </w:r>
      <w:r>
        <w:t xml:space="preserve"> revision, energy, performance, directive; EU scope visible. This is a provisional connection, not an outcome finding.</w:t>
      </w:r>
    </w:p>
    <w:p>
      <w:pPr>
        <w:pStyle w:val="SourceNote"/>
      </w:pPr>
      <w:r>
        <w:rPr>
          <w:b/>
        </w:rPr>
        <w:t>Available abstract (not full text):</w:t>
      </w:r>
      <w:r>
        <w:t xml:space="preserve"> As part of the Fit for 55 legislative package, EU member states have committed to ambitious energy efficiency improvements, including a reduction in EU CO2 emissions of at least 55% by 2030, compared to 1990. The Fit for 55 package includes a holistic approach to all areas of economic life. One area that undoubtedly requires intervention is outdated and energy-intensive public infrastructure. Improving energy efficiency requires both adequate legislative and organizational preparation and the provision of financing for specific projects in this area. One means of improving energy efficiency is Energy Performance Contracting (EPC) - which involves the financing, implementation and provision of specific services in multi-year energy savings projects by specialized companies, so-called ESCO (Energy Saving Companies). The revision of the Energy Efficiency Directive of 2023 highlights the exemplary role of the public sector in the energy efficiency improvement process, particularly with regard to buildings and public procurement, as well as with regard to the promotion of Energy Performance Contracts. The paper discusses both the EU policy and legal framework for the implementation of EPC projects, to support and promote the development of this form of implementation and financing of public tasks.</w:t>
      </w:r>
    </w:p>
    <w:p>
      <w:pPr/>
      <w:r>
        <w:rPr>
          <w:b/>
        </w:rPr>
        <w:t>POSSIBLE 2025:</w:t>
      </w:r>
      <w:r>
        <w:t xml:space="preserve"> Zero‐Emission and Zero Demolition: Promoting Conservation Interests Through the Implementation of the Energy Performance of Buildings Directive — https://doi.org/10.17645/up.10631</w:t>
      </w:r>
    </w:p>
    <w:p>
      <w:pPr/>
      <w:r>
        <w:rPr>
          <w:b/>
        </w:rPr>
        <w:t>Shared claim-specific concepts:</w:t>
      </w:r>
      <w:r>
        <w:t xml:space="preserve"> energy, performance, building, directive, epbd, achieve; EU scope visible. This is a provisional connection, not an outcome finding.</w:t>
      </w:r>
    </w:p>
    <w:p>
      <w:pPr>
        <w:pStyle w:val="SourceNote"/>
      </w:pPr>
      <w:r>
        <w:rPr>
          <w:b/>
        </w:rPr>
        <w:t>Available abstract (not full text):</w:t>
      </w:r>
      <w:r>
        <w:t xml:space="preserve"> To achieve “zero‐emission” in buildings, “zero demolition”—keeping existing buildings in use—could be promoted to a greater extent. Continuous use can even prove to be beneficial for climate mitigation as well as for conservation of heritage values in the building stock. The Energy Performance of Buildings Directive (EPBD) has been revised and entered into force in the EU in May 2024. It gives member states the opportunity to adapt several central concepts, with the ultimate objective of achieving a decarbonised building stock by 2050. This study shows how conservation interests are conveyed and taken into account in the earliest stages of the EPBD implementation by two Swedish authorities with responsibility for heritage and built environment. The study aims to identify challenges and opportunities for aligning the implementation with conservation interests. Data have been collected through interviews with involved officials. An agnostic perspective is applied in the analysis, rejecting presumptions of conservation practices being intrinsically sustainable but highlighting the practices’ potential to contribute to sustainability. The new EPBD allows for national implementation in line with conservation interests, which include exemption from energy requirements for heritage buildings and promotion of circularity. Results from this study show that the two authorities focus on t</w:t>
      </w:r>
    </w:p>
    <w:p>
      <w:pPr/>
      <w:r>
        <w:rPr>
          <w:b/>
        </w:rPr>
        <w:t>POSSIBLE 2024:</w:t>
      </w:r>
      <w:r>
        <w:t xml:space="preserve"> Towards harmonising energy performance certificate indicators in Europe — https://doi.org/10.1016/j.jobe.2024.110323</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Achieving the European Union's ambitious goal of transforming buildings into carbon-neutral assets is crucial for combating climate change and improving energy efficiency. The harmonization of Energy Performance Certificates (EPCs) plays a vital role in this effort. It can provide a standardized measure of building energy performance, which is crucial for benchmarking and improving energy efficiency across Member States. In the context of the recast Energy Performance of Buildings Directive (EPBD) of 2024, this study examines the progress made by EU Member States in standardizing EPCs. The research aims to evaluate the implementation of EPC indicators, focusing on data quality, calculation methods, and costs. The methodological procedure followed for the study led to the development of a dedicated Cross Comparative Matrix (CCM) to assess the implementation of EPC indicators across 27 EU Member States and their reading feature allowed the declination into three scenarios for different EPC data analysis: qualitative, quantitative and burden costs. The findings reveal significant disparities, particularly in areas such as thermal comfort and smart readiness, due to the lack of a common methodology and local regulatory differences. While key indicators like energy performance class and primary energy use are widely implemented, compliance with EU standards varies. The study conclud</w:t>
      </w:r>
    </w:p>
    <w:p>
      <w:pPr/>
      <w:r>
        <w:rPr>
          <w:b/>
        </w:rPr>
        <w:t>POSSIBLE 2024:</w:t>
      </w:r>
      <w:r>
        <w:t xml:space="preserve"> Energy and environmental performance from field operation of commercial-scale SOFC systems — https://doi.org/10.1016/j.ijhydene.2024.08.332</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Solid Oxide Fuel Cells (SOFCs) are capable of generating electrical and thermal power with very high conversion efficiency and almost no pollutant emissions into the atmosphere. Despite extensive literature on SOFC-based energy system models and experimental testing at the cell and short-stack level, there is currently a lack of performance data for SOFC modules under actual field conditions. To fill this gap, the present work investigates the energy and environmental performance of six SOFC modules, ranging in size from 10 to 60 kW, over thousands of hours of operation. These systems, supplied by the three leading SOFC manufacturers in Europe, have been installed and operated in different non-residential buildings worldwide, as part of the European Comsos project. The aim of this study is to establish a comprehensive set of field operation data to characterise commercial-scale SOFC systems. Specifically, raw data are processed to derived electrical and thermal efficiency maps, degradation rates and pollutant emissions, including particulate matter (PM), nitrogen oxides (NOx) and carbon monoxide (CO). A comparison with competing technologies is also provided to better highlight the potential benefits of adopting SOFC-based cogeneration systems. Values in the range of 51–61% were found for the system-level electrical efficiency under rated conditions. The electrical efficiency a</w:t>
      </w:r>
    </w:p>
    <w:p>
      <w:pPr>
        <w:pStyle w:val="Heading2"/>
      </w:pPr>
      <w:r>
        <w:t>560.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r>
        <w:rPr>
          <w:b/>
        </w:rPr>
        <w:t>POSSIBLE 2024:</w:t>
      </w:r>
      <w:r>
        <w:t xml:space="preserve"> Soil Quality Index According to Diverse Land Use Systems Across the Europe — https://doi.org/10.1002/ldr.5438</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Soil quality index (SQI) can be an effective parameter to evaluate soil quality based on plant growth and ecosystem services at a large scale. According to the European Commission, around 60%–70% of the European soil is not healthy due to degradation and rapid conversion of land uses; however, detailed studies on soil quality according to different land uses in the entire Europe are very limited. We aimed to develop an SQI using the Land Use and Coverage Area Frame Survey (LUCAS) database for the existing croplands (230 samples), grasslands (53 samples), and woodlands (36 samples) to evaluate the overall soil quality across the continent. A total of five soil variables (sand, organic carbon, electrical conductivity, bacteria, and fungi) were selected for the minimum dataset based on principal component analysis from all 13 variables to avoid redundancy. The relationship between the developed SQI and climatic variables (precipitation and temperature) was also analyzed. We found that croplands had higher SQI (0.45 ± 0.09) than grasslands (0.44 ± 0.09) and woodlands (0.43 ± 0.1), with no significant differences among the land uses (p &gt; 0.05). The spatial analysis revealed higher SQI (&gt; 0.46) in the central part of the EU and lower (&lt; 0.46) in the northern and southwestern EU. The sub‐categorical assessment of land uses showed that broadleaved and mixed woodland had better</w:t>
      </w:r>
    </w:p>
    <w:p>
      <w:pPr/>
      <w:r>
        <w:rPr>
          <w:b/>
        </w:rPr>
        <w:t>POSSIBLE 2024:</w:t>
      </w:r>
      <w:r>
        <w:t xml:space="preserve"> A unifying modelling of multiple land degradation pathways in Europe — https://doi.org/10.1038/s41467-024-48252-x</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Is there a trade-off between human well-being and ecological footprint in European countries? — https://doi.org/10.1016/j.ecolecon.2024.108296</w:t>
      </w:r>
    </w:p>
    <w:p>
      <w:pPr/>
      <w:r>
        <w:rPr>
          <w:b/>
        </w:rPr>
        <w:t>Shared claim-specific concepts:</w:t>
      </w:r>
      <w:r>
        <w:t xml:space="preserve"> index, also, understand, effect; EU scope visible. This is a provisional connection, not an outcome finding.</w:t>
      </w:r>
    </w:p>
    <w:p>
      <w:pPr>
        <w:pStyle w:val="SourceNote"/>
      </w:pPr>
      <w:r>
        <w:rPr>
          <w:b/>
        </w:rPr>
        <w:t>Available abstract (not full text):</w:t>
      </w:r>
      <w:r>
        <w:t xml:space="preserve"> Human development, which encompasses aspects such as health, education, standard of living, and general well-being, is intrinsically linked to environmental sustainability. Studying the trade-off between these two aspects helps ensure that current needs are met without compromising the ability of future generations to meet their own needs. The present study aims to understand whether there is a trade-off between the Ecological Footprint (EF) and the Human Development Index (HDI), using data from 42 European countries from 2006 to 2018. Other variables were also employed (Financial Development Index, Globalization Index, Human Freedom Index, Urban Population, Biocapacity, Renewable Energy) in two main models, through several econometric tests (Interactive Fixed Effects, Common Correlated Effect Mean Group). Other models were estimated for robustness checks. It is concluded that there is a trade-off between the EF and the HDI. This leads to problems when trying to achieve human well-being and environmental sustainability simultaneously. This study is innovative as the relationship between human development and environmental degradation has not been analyzed using these two variables for European countries. Understanding the relationship between human development and EF is fundamental to developing effective policies. It is important to adopt integrated approaches that consider so</w:t>
      </w:r>
    </w:p>
    <w:p>
      <w:pPr/>
      <w:r>
        <w:rPr>
          <w:b/>
        </w:rPr>
        <w:t>POSSIBLE 2024:</w:t>
      </w:r>
      <w:r>
        <w:t xml:space="preserve"> Corruption Perception Index (CPI) in European countries: Monitoring with GIS — https://doi.org/10.4236/tel.2024.141010</w:t>
      </w:r>
    </w:p>
    <w:p>
      <w:pPr/>
      <w:r>
        <w:rPr>
          <w:b/>
        </w:rPr>
        <w:t>Shared claim-specific concepts:</w:t>
      </w:r>
      <w:r>
        <w:t xml:space="preserve"> index, also, understand; EU scope visible. This is a provisional connection, not an outcome finding.</w:t>
      </w:r>
    </w:p>
    <w:p>
      <w:pPr>
        <w:pStyle w:val="SourceNote"/>
      </w:pPr>
      <w:r>
        <w:rPr>
          <w:b/>
        </w:rPr>
        <w:t>Available abstract (not full text):</w:t>
      </w:r>
      <w:r>
        <w:t xml:space="preserve"> This paper examines the relationship between corruption and economic growth in European countries, taking into account that corruption is considered as a political, economic, cultural and moral problem. Specifically, this paper will focus on countries of the Eurozone, the European Union, the European Economic Area and the Central and Eastern European countries, including Turkey and Kazakhstan, over the period from 2005 to 2021. Our ultimate goal is to understand how corruption affects economic development by tracking the GDP per capita and the values of measured corruption and also how changes in GDP growth rates are affected by corruption changes. In addition to graphs, the survey provides numerical results displayed in charts using Geographical Information System (GIS). Our survey shows that all European countries with high GDP per capita tend to have low corruption values, with the exception of the countries in Central and Eastern Europe, including Turkey and Kazakhstan. The survey also shows that higher GDP per capita growth rates are correlated linearly with the reduction of the corruption levels in all categories of almost all European countries, with the exception the Central and Eastern European countries, including Turkey and Kazakhstan.</w:t>
      </w:r>
    </w:p>
    <w:p>
      <w:pPr/>
      <w:r>
        <w:rPr>
          <w:b/>
        </w:rPr>
        <w:t>POSSIBLE 2024:</w:t>
      </w:r>
      <w:r>
        <w:t xml:space="preserve"> Vine Copula Approach to Understand the Financial Dependence of the Istanbul Stock Exchange Index — https://doi.org/10.1007/s10614-023-10544-7</w:t>
      </w:r>
    </w:p>
    <w:p>
      <w:pPr/>
      <w:r>
        <w:rPr>
          <w:b/>
        </w:rPr>
        <w:t>Shared claim-specific concepts:</w:t>
      </w:r>
      <w:r>
        <w:t xml:space="preserve"> index, understand, pandemic; EU scope not established. This is a provisional connection, not an outcome finding.</w:t>
      </w:r>
    </w:p>
    <w:p>
      <w:pPr>
        <w:pStyle w:val="SourceNote"/>
      </w:pPr>
      <w:r>
        <w:rPr>
          <w:b/>
        </w:rPr>
        <w:t>Available abstract (not full text):</w:t>
      </w:r>
      <w:r>
        <w:t xml:space="preserve"> Abstract Recently, the complex dependence patterns among various stocks gained more importance. Measuring the dependency structure is critical for investors to manage their portfolio risks. Since the global financial crisis, researchers have been more interested in studying the dynamics of dependency within stock markets by using novel methodologies. This study aims to investigate a Regular-Vine copula approach to estimate the interdependence structure of the Istanbul Stock Exchange index (ISE100). For this purpose, we consider 32 stocks related to 6 sectors belonging to ISE100. To reflect the time-varying impacts of the 2008–2009 global financial crisis, the dependence analysis is conducted over pre-, during-, and post-global financial crisis periods. Portfolio analysis is considered via a rolling window approach to capture the changes in the dependence. We compare the Regular-Vine-based generalized autoregressive conditional heteroskedasticity (GARCH) against the conventional GARCH model with different innovations. Value at risk and expected shortfall risk measures are used to validate the models. Additionally, for the constructed portfolios, return performance is summarized using both Sharpe and Sortino ratios. To test the ability of the considered Regular-Vine approach on ISE100, another evaluation has been done during the COVID-19 pandemic crisis with various parameter set</w:t>
      </w:r>
    </w:p>
    <w:p>
      <w:pPr/>
      <w:r>
        <w:rPr>
          <w:b/>
        </w:rPr>
        <w:t>POSSIBLE 2023:</w:t>
      </w:r>
      <w:r>
        <w:t xml:space="preserve"> European Extreme Events Climate Index (E3CI) — https://doi.org/10.5194/egusphere-egu23-13344</w:t>
      </w:r>
    </w:p>
    <w:p>
      <w:pPr/>
      <w:r>
        <w:rPr>
          <w:b/>
        </w:rPr>
        <w:t>Shared claim-specific concepts:</w:t>
      </w:r>
      <w:r>
        <w:t xml:space="preserve"> use, index, also, useful; EU scope visible. This is a provisional connection, not an outcome finding.</w:t>
      </w:r>
    </w:p>
    <w:p>
      <w:pPr>
        <w:pStyle w:val="SourceNote"/>
      </w:pPr>
      <w:r>
        <w:rPr>
          <w:b/>
        </w:rPr>
        <w:t>Available abstract (not full text):</w:t>
      </w:r>
      <w:r>
        <w:t xml:space="preserve"> The European Extreme Events Climate Index (E3CI) is an innovative climate service (operational since January 2021) to assess the frequency and severity of weather-induced hazards over Europe. This service has been funded by Foundation Big Data and Artificial Intelligence for Human Development (IFAB) and developed through the collaboration between Fondazione CMCC Euro-Mediterranean Center on Climate Change (CMCC) and Leithà Unipol Group. Specifically, E3CI proposes to define a synthetic index aimed at providing information about the areas affected by different types of weather-induced hazards and the significance of such events. At this stage, E3CI permits equipping Europe, SADC (Southern African Development Community) and North America with an index similar to Actuaries Climate Index, (NA-ACI; actuariesclimateindex.org) developed over North America and already fully operational. From a methodological point of view, using ERA5 reanalysis data (Hersbach et al., 2020), E3CI permits evaluating seven main dynamics: cold and heat stresses, droughts, extreme precipitation, winds, the predisposing conditions leading to hail events and forest fire. Furthermore, five E3CI components are tested using a subset of regional climate projections from the EURO-CORDEX (Jacob et al., 2014, 2020; Giorgi and Gutowski, 2015) program at the highest available resolution (about 11 km) considering three</w:t>
      </w:r>
    </w:p>
    <w:p>
      <w:pPr>
        <w:pStyle w:val="Heading2"/>
      </w:pPr>
      <w:r>
        <w:t>561.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two, surveys, indicate, collaboration, data, between;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Barriers to Deprescribing Benzodiazepines in Older Adults in a Survey of European Physicians — https://doi.org/10.1001/jamanetworkopen.2024.59883</w:t>
      </w:r>
    </w:p>
    <w:p>
      <w:pPr/>
      <w:r>
        <w:rPr>
          <w:b/>
        </w:rPr>
        <w:t>Shared claim-specific concepts:</w:t>
      </w:r>
      <w:r>
        <w:t xml:space="preserve"> indicate, between, training, other; EU scope visible. This is a provisional connection, not an outcome finding.</w:t>
      </w:r>
    </w:p>
    <w:p>
      <w:pPr>
        <w:pStyle w:val="SourceNote"/>
      </w:pPr>
      <w:r>
        <w:rPr>
          <w:b/>
        </w:rPr>
        <w:t>Available abstract (not full text):</w:t>
      </w:r>
      <w:r>
        <w:t xml:space="preserve"> Importance: The use of benzodiazepine receptor agonists (BZRA) poses serious health risks to older adults. Although several guidelines recommend deprescribing, implementation in clinical practice remains limited. Objective: To identify physicians' barriers to and enablers of deprescribing BZRA in adults aged 65 years and older taking a BZRA for sleep problems; to determine factors associated with hospital physicians' intention to deprescribe BZRA and their self-reported routine BZRA deprescribing. Design, Setting, and Participants: This survey study included hospital physicians and general practitioners (GPs) working across 6 European Countries (Belgium, Greece, Norway, Poland, Spain, and Switzerland) between December 2022 and March 2023. Main Outcomes and Measures: Barriers identification via a 35-item questionnaire based upon the Theoretical Domains Framework (TDF). Responses were categorized as major barriers, moderate barriers, and enablers based on their mean scores. Multivariable logistic regressions were used to identify background characteristics and TDF-based domains associated with hospital physicians' intention to deprescribe and self-reported routine deprescribing. Results: Questionnaires from 240 hospital physicians and 96 GPs were analyzed. Most participants were women: 144 (61.0%) hospital physicians and 52 (54.2%) GPs. In terms of experience, the most common rep</w:t>
      </w:r>
    </w:p>
    <w:p>
      <w:pPr/>
      <w:r>
        <w:rPr>
          <w:b/>
        </w:rPr>
        <w:t>POSSIBLE 2025:</w:t>
      </w:r>
      <w:r>
        <w:t xml:space="preserve"> Management Measures and Trends of Biological Invasions in Europe: A Survey‐Based Assessment of Local Managers — https://doi.org/10.1111/gcb.70028</w:t>
      </w:r>
    </w:p>
    <w:p>
      <w:pPr/>
      <w:r>
        <w:rPr>
          <w:b/>
        </w:rPr>
        <w:t>Shared claim-specific concepts:</w:t>
      </w:r>
      <w:r>
        <w:t xml:space="preserve"> indicate, there, sharing, data, between, other; EU scope visible. This is a provisional connection, not an outcome finding.</w:t>
      </w:r>
    </w:p>
    <w:p>
      <w:pPr>
        <w:pStyle w:val="SourceNote"/>
      </w:pPr>
      <w:r>
        <w:rPr>
          <w:b/>
        </w:rPr>
        <w:t>Available abstract (not full text):</w:t>
      </w:r>
      <w:r>
        <w:t xml:space="preserve"> Biological invasions are a major threat to biodiversity, ecosystem functioning and nature's contributions to people worldwide. However, the effectiveness of invasive alien species (IAS) management measures and the progress toward achieving biodiversity targets remain uncertain due to limited and nonuniform data availability. Management success is usually assessed at a local level and documented in technical reports, often written in languages other than English, which makes such data notoriously difficult to collect at large geographic scales. Here we present the first European assessment of how managers perceive trends in IAS and the effectiveness of management measures to mitigate biological invasions. We developed a structured questionnaire translated into 18 languages and disseminated it to local and regional managers of IAS in Europe. We received responses from 1928 participants from 41 European countries, including 24 European Union (EU) Member States. Our results reveal substantial efforts in IAS monitoring and control, with invasive plants being the primary focus. Yet, there is a general perception of an increase in the numbers, occupied areas, and impacts of IAS across environment and taxonomic groups, particularly plants, over time. This perceived increase is consistent across both EU and non-EU countries, with respondents from EU countries demonstrating more certaint</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benefits, increased, already;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2025:</w:t>
      </w:r>
      <w:r>
        <w:t xml:space="preserve"> Research Note: Estimating Kinship Size of Older Adults in Europe With Models and Surveys — https://doi.org/10.1215/00703370-11961236</w:t>
      </w:r>
    </w:p>
    <w:p>
      <w:pPr/>
      <w:r>
        <w:rPr>
          <w:b/>
        </w:rPr>
        <w:t>Shared claim-specific concepts:</w:t>
      </w:r>
      <w:r>
        <w:t xml:space="preserve"> two, surveys, data, between, each; EU scope visible. This is a provisional connection, not an outcome finding.</w:t>
      </w:r>
    </w:p>
    <w:p>
      <w:pPr>
        <w:pStyle w:val="SourceNote"/>
      </w:pPr>
      <w:r>
        <w:rPr>
          <w:b/>
        </w:rPr>
        <w:t>Available abstract (not full text):</w:t>
      </w:r>
      <w:r>
        <w:t xml:space="preserve"> Measures of kinship size are increasingly common in sociodemographic studies. The size and structure of older adults' kinship networks can be ascertained via direct observation in a social survey or modeled using demographic techniques. Each approach has advantages and disadvantages, but whether the two provide comparable estimates of kinship size is an open question. In this research note, we answer this question using social survey data and demographic models to estimate the size of older adults' kinship networks in 22 European countries. We find an impressively high association between the two approaches, with important variations by the kin type considered. We discuss the reasons for the divergence in the estimates and provide guidance for researchers interested in using either approach to quantify kinship size.</w:t>
      </w:r>
    </w:p>
    <w:p>
      <w:pPr/>
      <w:r>
        <w:rPr>
          <w:b/>
        </w:rPr>
        <w:t>POSSIBLE 2024:</w:t>
      </w:r>
      <w:r>
        <w:t xml:space="preserve"> Mechanical thrombectomy practices in Europe: Insights from a survey of European neuroradiologists from the ESMINT — https://doi.org/10.1177/23969873241286000</w:t>
      </w:r>
    </w:p>
    <w:p>
      <w:pPr/>
      <w:r>
        <w:rPr>
          <w:b/>
        </w:rPr>
        <w:t>Shared claim-specific concepts:</w:t>
      </w:r>
      <w:r>
        <w:t xml:space="preserve"> two, surveys, data, between, training, other; EU scope visible. This is a provisional connection, not an outcome finding.</w:t>
      </w:r>
    </w:p>
    <w:p>
      <w:pPr>
        <w:pStyle w:val="SourceNote"/>
      </w:pPr>
      <w:r>
        <w:rPr>
          <w:b/>
        </w:rPr>
        <w:t>Available abstract (not full text):</w:t>
      </w:r>
      <w:r>
        <w:t xml:space="preserve"> BACKGROUND AND PURPOSE: Mechanical thrombectomy (MT) has revolutionized the prognosis of acute ischemic stroke. Indications for MT are constantly expanding across countries, presenting healthcare professionals, and institutions with the challenge of offering MT to the entire population despite geographic constraints, while also training enough interventional neuroradiologists (INR) for this highly technical-level procedure. We aimed to provide an overview of current European MT practices and organizations in 2021. MATERIALS AND METHODS: Members of the European Society of Minimally Invasive Neurological Therapy (ESMINT) were invited to complete two different online surveys from March to November 2021 to collect data on MT practice. RESULTS: A total of 240 individual responses from INR (from 33 European countries) were received. These included information from 56 thrombectomy-capable stroke centers (TCSC) data (across 26 European countries). The mean number of INR per center was 3.8 ± 1.43, median 4 (IQR, 3-4.5). Half of the centers (28/56, 50.00%) performed less than 150 MT per year. Most INR used a balloon guide catheter in less than 50% of cases (160/240, 66.67%), and limited the number of recanalization attempts to six passes to restore flow (209/240, 87.08%). Additionally, 37.92% of the respondents (91/240, 37.92%) indicated that they already performed MT for distal occlusio</w:t>
      </w:r>
    </w:p>
    <w:p>
      <w:pPr/>
      <w:r>
        <w:rPr>
          <w:b/>
        </w:rPr>
        <w:t>POSSIBLE 2024:</w:t>
      </w:r>
      <w:r>
        <w:t xml:space="preserve"> Current practices in clinical gait analysis in Europe: A comprehensive survey-based study from the European society for movement analysis in adults and children (ESMAC) standard initiative — https://doi.org/10.1016/j.gaitpost.2024.04.014</w:t>
      </w:r>
    </w:p>
    <w:p>
      <w:pPr/>
      <w:r>
        <w:rPr>
          <w:b/>
        </w:rPr>
        <w:t>Shared claim-specific concepts:</w:t>
      </w:r>
      <w:r>
        <w:t xml:space="preserve"> there, collaboration, data, between, training; EU scope visible. This is a provisional connection, not an outcome finding.</w:t>
      </w:r>
    </w:p>
    <w:p>
      <w:pPr>
        <w:pStyle w:val="SourceNote"/>
      </w:pPr>
      <w:r>
        <w:rPr>
          <w:b/>
        </w:rPr>
        <w:t>Available abstract (not full text):</w:t>
      </w:r>
      <w:r>
        <w:t xml:space="preserve"> BACKGROUND: Clinical gait analysis (CGA) is a systematic approach to comprehensively evaluate gait patterns, quantify impairments, plan targeted interventions, and evaluate the impact of interventions. However, international standards for CGA are currently lacking, resulting in various national initiatives. Standards are important to ensure safe and effective healthcare practices and to enable evidence-based clinical decision-making, facilitating interoperability, and reimbursement under national healthcare policies. Collaborative clinical and research work between European countries would benefit from common standards. RESEARCH OBJECTIVE: This study aimed to review the current laboratory practices for CGA in Europe. METHODS: A comprehensive survey was conducted by the European Society for Movement Analysis in Adults and Children (ESMAC), in close collaboration with the European national societies. The survey involved 97 gait laboratories across 16 countries. The survey assessed several aspects related to CGA, including equipment used, data collection, processing, and reporting methods. RESULTS: There was a consensus between laboratories concerning the data collected during CGA. The Conventional Gait Model (CGM) was the most used biomechanical model for calculating kinematics and kinetics. Respondents also reported the use of video recording, 3D motion capture systems, force pl</w:t>
      </w:r>
    </w:p>
    <w:p>
      <w:pPr/>
      <w:r>
        <w:rPr>
          <w:b/>
        </w:rPr>
        <w:t>POSSIBLE 2024:</w:t>
      </w:r>
      <w:r>
        <w:t xml:space="preserve"> A Critical Survey on Fairness Benefits of Explainable AI — https://doi.org/10.1145/3630106.3658990</w:t>
      </w:r>
    </w:p>
    <w:p>
      <w:pPr/>
      <w:r>
        <w:rPr>
          <w:b/>
        </w:rPr>
        <w:t>Shared claim-specific concepts:</w:t>
      </w:r>
      <w:r>
        <w:t xml:space="preserve"> two, benefits, between; EU scope not established. This is a provisional connection, not an outcome finding.</w:t>
      </w:r>
    </w:p>
    <w:p>
      <w:pPr>
        <w:pStyle w:val="SourceNote"/>
      </w:pPr>
      <w:r>
        <w:rPr>
          <w:b/>
        </w:rPr>
        <w:t>Available abstract (not full text):</w:t>
      </w:r>
      <w:r>
        <w:t xml:space="preserve"> In this critical survey, we analyze typical claims on the relationship between explainable AI (XAI) and fairness to disentangle the multidimensional relationship between these two concepts. Based on a systematic literature review and a subsequent qualitative content analysis, we identify seven archetypal claims from 175 scientific articles on the alleged fairness benefits of XAI. We present crucial caveats with respect to these claims and provide an entry point for future discussions around the potentials and limitations of XAI for specific fairness desiderata. Importantly, we notice that claims are often (i) vague and simplistic, (ii) lacking normative grounding, or (iii) poorly aligned with the actual capabilities of XAI. We suggest to conceive XAI not as an ethical panacea but as one of many tools to approach the multidimensional, sociotechnical challenge of algorithmic fairness. Moreover, when making a claim about XAI and fairness, we emphasize the need to be more specific about what kind of XAI method is used, which fairness desideratum it refers to, how exactly it enables fairness, and who is the stakeholder that benefits from XAI.</w:t>
      </w:r>
    </w:p>
    <w:p>
      <w:pPr/>
      <w:r>
        <w:rPr>
          <w:b/>
        </w:rPr>
        <w:t>POSSIBLE 2024:</w:t>
      </w:r>
      <w:r>
        <w:t xml:space="preserve"> How Can Recommender Systems Benefit from Large Language Models: A Survey — https://doi.org/10.1145/3678004</w:t>
      </w:r>
    </w:p>
    <w:p>
      <w:pPr/>
      <w:r>
        <w:rPr>
          <w:b/>
        </w:rPr>
        <w:t>Shared claim-specific concepts:</w:t>
      </w:r>
      <w:r>
        <w:t xml:space="preserve"> two, users, training; EU scope not established. This is a provisional connection, not an outcome finding.</w:t>
      </w:r>
    </w:p>
    <w:p>
      <w:pPr>
        <w:pStyle w:val="SourceNote"/>
      </w:pPr>
      <w:r>
        <w:rPr>
          <w:b/>
        </w:rPr>
        <w:t>Available abstract (not full text):</w:t>
      </w:r>
      <w:r>
        <w:t xml:space="preserve"> With the rapid development of online services and web applications, recommender systems (RS) have become increasingly indispensable for mitigating information overload and matching users’ information needs by providing personalized suggestions over items. Although the RS research community has made remarkable progress over the past decades, conventional recommendation models (CRM) still have some limitations, e.g., lacking open-domain world knowledge, and difficulties in comprehending users’ underlying preferences and motivations. Meanwhile, large language models (LLM) have shown impressive general intelligence and human-like capabilities for various natural language processing (NLP) tasks, which mainly stem from their extensive open-world knowledge, logical and commonsense reasoning abilities, as well as their comprehension of human culture and society. Consequently, the emergence of LLM is inspiring the design of RS and pointing out a promising research direction, i.e., whether we can incorporate LLM and benefit from their common knowledge and capabilities to compensate for the limitations of CRM. In this article, we conduct a comprehensive survey on this research direction, and draw a bird’s-eye view from the perspective of the whole pipeline in real-world RS. Specifically, we summarize existing research works from two orthogonal aspects: where and how to adapt LLM to RS. Fo</w:t>
      </w:r>
    </w:p>
    <w:p>
      <w:pPr/>
      <w:r>
        <w:rPr>
          <w:b/>
        </w:rPr>
        <w:t>POSSIBLE 2023:</w:t>
      </w:r>
      <w:r>
        <w:t xml:space="preserve"> Subspecialisation in radiology in Europe, a survey of the accreditation council of imaging — https://doi.org/10.1186/s13244-023-01481-y</w:t>
      </w:r>
    </w:p>
    <w:p>
      <w:pPr/>
      <w:r>
        <w:rPr>
          <w:b/>
        </w:rPr>
        <w:t>Shared claim-specific concepts:</w:t>
      </w:r>
      <w:r>
        <w:t xml:space="preserve"> two, there, offer, training, insight; EU scope visible. This is a provisional connection, not an outcome finding.</w:t>
      </w:r>
    </w:p>
    <w:p>
      <w:pPr>
        <w:pStyle w:val="SourceNote"/>
      </w:pPr>
      <w:r>
        <w:rPr>
          <w:b/>
        </w:rPr>
        <w:t>Available abstract (not full text):</w:t>
      </w:r>
      <w:r>
        <w:t xml:space="preserve"> BACKGROUND: To provide an overview of existing Subspecialty Exams and Diplomas in Radiology and their endorsement as well as to providing an insight into the status of subspecialisation in radiology in Europe. The European Training Curriculum for Subspecialisation in Radiology mentions thirteen fields of subspecialisation within radiology. The websites of the corresponding subspecialty societies were checked for Subspecialty Exams and Diplomas. In addition, we performed a survey among European radiologists regarding subspecialisation in radiology. RESULTS: Ten out of 13 European subspecialty societies offer a European subspecialty diploma. At least 7 out of the 10 European subspecialties societies in radiology offering a European subspecialty diploma obtained European Society of Radiology (ESR) endorsement. Two out of 10 obtained European Union of Medical Specialists-Council of European Specialist Medical Assessment endorsement. Survey among European radiologists who were ESR full members in March 2021 demonstrated that almost 20% of respondents indicated that they have no subspecialisation. Another 15% indicated that their area of subspecialisation is not recognised in their country of work. Eighty-four percent of respondents would like their area of subspecialisation in radiology to be officially recognised. According to the respondents, the major benefit of having their subs</w:t>
      </w:r>
    </w:p>
    <w:p>
      <w:pPr/>
      <w:r>
        <w:rPr>
          <w:b/>
        </w:rPr>
        <w:t>POSSIBLE 2023:</w:t>
      </w:r>
      <w:r>
        <w:t xml:space="preserve"> Landslide monitoring techniques in the Geological Surveys of Europe — https://doi.org/10.1007/s10346-022-02007-1</w:t>
      </w:r>
    </w:p>
    <w:p>
      <w:pPr/>
      <w:r>
        <w:rPr>
          <w:b/>
        </w:rPr>
        <w:t>Shared claim-specific concepts:</w:t>
      </w:r>
      <w:r>
        <w:t xml:space="preserve"> surveys, indicate, data, between, each; EU scope visible. This is a provisional connection, not an outcome finding.</w:t>
      </w:r>
    </w:p>
    <w:p>
      <w:pPr>
        <w:pStyle w:val="SourceNote"/>
      </w:pPr>
      <w:r>
        <w:rPr>
          <w:b/>
        </w:rPr>
        <w:t>Available abstract (not full text):</w:t>
      </w:r>
      <w:r>
        <w:t xml:space="preserve"> Abstract Landslide monitoring is a mandatory step in landslide risk assessment. It requires collecting data on landslide conditions (e.g., areal extent, landslide kinematics, surface topography, hydrogeometeorological parameters, and failure surfaces) from different time periods and at different scales, from site-specific to local, regional, and national, to assess landslide activity. In this analysis, we collected information on landslide monitoring techniques from 17 members of the Earth Observation and Geohazards Expert Group (from EuroGeoSurveys) deployed between 2005 and 2021. We examined the types of the 75 recorded landslides, the landslide techniques, spatial resolution, temporal resolution, status of the technique (operational, non-operational), time of using (before the event, during the event, after the event), and the applicability of the technique in early warning systems. The research does not indicate the accuracy of each technique but, rather, the extent to which Geological Surveys conduct landslide monitoring and the predominant techniques used. Among the types of landslides, earth slides predominate and are mostly monitored by geological and engineering geological mapping. The results showed that Geological Surveys mostly utilized more traditional monitoring techniques since they have a broad mandate to collect geological data. In addition, this paper provides</w:t>
      </w:r>
    </w:p>
    <w:p>
      <w:pPr>
        <w:pStyle w:val="Heading2"/>
      </w:pPr>
      <w:r>
        <w:t>562.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2025:</w:t>
      </w:r>
      <w:r>
        <w:t xml:space="preserve"> Standardizing the Quantification of the Energy Performance Gap in Buildings — https://doi.org/10.26868/25222708.2025.1342</w:t>
      </w:r>
    </w:p>
    <w:p>
      <w:pPr/>
      <w:r>
        <w:rPr>
          <w:b/>
        </w:rPr>
        <w:t>Shared claim-specific concepts:</w:t>
      </w:r>
      <w:r>
        <w:t xml:space="preserve"> objective, energy, various, climate; EU scope visible. This is a provisional connection, not an outcome finding.</w:t>
      </w:r>
    </w:p>
    <w:p>
      <w:pPr>
        <w:pStyle w:val="SourceNote"/>
      </w:pPr>
      <w:r>
        <w:rPr>
          <w:b/>
        </w:rPr>
        <w:t>Available abstract (not full text):</w:t>
      </w:r>
      <w:r>
        <w:t xml:space="preserve"> The Energy Performance Gap (EPG), defined as the discrepancy between simulated and measured energy performance of buildings, presents a significant challenge in the energy efficiency domain. Research on the magnitude of the EPG fails to provide an accurate assessment of its actual size, with claims suggesting that its challegning to make correlations between the extent of the gap and some typical characteristics such as climate, floor space and building type [1]. Moreover, literature indicates that the magnitude may vary for the same building when compared against different baselines, such as compliance models or energy benchmarks, even when using identical measured data.This study aims to address these inconsistencies by proposing a standardized method for quantifying the EPG at both building and system levels. To achieve this objective, a comprehensive literature review will be conducted focused on current challenges related to issues of idenftuing the magnitude by simly making comparisons between simulated and measured energy performance. Furthermore, various energy benchmarks in the UK will be explored which could serve as baselines for comparison against measured energy performance.A novel framework will be developed, encompassing a new definition and quantification method for the EPG at building and system levels. The framework will undergo validation through semi-structu</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climate, objectives;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Quantifying the impacts of policies on compensating for the hard-to-abate emissions of a smart energy city — https://doi.org/10.1016/j.segy.2025.100213</w:t>
      </w:r>
    </w:p>
    <w:p>
      <w:pPr/>
      <w:r>
        <w:rPr>
          <w:b/>
        </w:rPr>
        <w:t>Shared claim-specific concepts:</w:t>
      </w:r>
      <w:r>
        <w:t xml:space="preserve"> quantify, energy, climate, objectives, reach, neutrality; EU scope visible. This is a provisional connection, not an outcome finding.</w:t>
      </w:r>
    </w:p>
    <w:p>
      <w:pPr>
        <w:pStyle w:val="SourceNote"/>
      </w:pPr>
      <w:r>
        <w:rPr>
          <w:b/>
        </w:rPr>
        <w:t>Available abstract (not full text):</w:t>
      </w:r>
      <w:r>
        <w:t xml:space="preserve"> Frontrunner cities have adopted strict climate targets and evaluate a fifth of emissions to be hard-to-abate, requiring compensation for these emissions to reach carbon neutrality. Previous research on smart energy systems has largely neglected this need in local-level analyses. The present article addresses this gap by applying bottom-up energy system modeling in the case of the city of Tampere, Finland. The results quantify trade-offs between the need for transmission line expansion, electricity import, biomass consumption, and the ability to compensate for emissions with bioenergy carbon capture and storage (BECCS) when reaching carbon neutrality. This research finds that the use of an existing biomass-based combined heat and power (bio-CHP) plant with BECCS is limited by the demand for district heating (DH), challenged by individual heat pumps (HPs) and waste heat from the electrofuel production process. However, it is possible to simultaneously maintain some degree of bio-CHP and BECCS in combination with electrofuel production. Additionally, wind power deployment lowers total system cost across scenarios. In this way the city can not only serve abatement goals but also resilience and energy security objectives by virtue of the domestic, renewable-based qualities of biomass, wind and electrofuels. In this way, the city can contribute to policy coherence on the national and</w:t>
      </w:r>
    </w:p>
    <w:p>
      <w:pPr/>
      <w:r>
        <w:rPr>
          <w:b/>
        </w:rPr>
        <w:t>POSSIBLE 2025:</w:t>
      </w:r>
      <w:r>
        <w:t xml:space="preserve"> Quantifying the role of the forest-based bioeconomy in achieving green deal objectives in Latvia — https://doi.org/10.18174/681006</w:t>
      </w:r>
    </w:p>
    <w:p>
      <w:pPr/>
      <w:r>
        <w:rPr>
          <w:b/>
        </w:rPr>
        <w:t>Shared claim-specific concepts:</w:t>
      </w:r>
      <w:r>
        <w:t xml:space="preserve"> objective, quantify, energy, objectives; EU scope visible. This is a provisional connection, not an outcome finding.</w:t>
      </w:r>
    </w:p>
    <w:p>
      <w:pPr>
        <w:pStyle w:val="SourceNote"/>
      </w:pPr>
      <w:r>
        <w:rPr>
          <w:b/>
        </w:rPr>
        <w:t>Available abstract (not full text):</w:t>
      </w:r>
      <w:r>
        <w:t xml:space="preserve"> The global push towards sustainable development and environmental preservation has placed a spotlight on the bioeconomy, particularly the forest-based bioeconomy, as a crucial component in achieving these goals. Forests play an essential role in maintaining ecological balance and providing renewable resources, but also in supporting economic activities. In this context, understanding the contributions of the forest-based bioeconomy to broader sustainability objectives is increasingly important.The focus of this research is on Latvia, a country with a rich and diverse forest ecosystem that plays a critical role in its economy and environmental sustainability. Latvia's forest-based bioeconomy therefore presents a unique case for examining the forest-based bioeconomy.Despite the development of European and domestic action plans, there is a notable lack of quantitative assessment of these initiatives, especially for the forest-based bioeconomy. This leads to potentially suboptimal decision-making by governments, private businesses, and other stakeholders.The objective of this thesis is to quantify the significance of the forest-based bioeconomy and its contribution to achieving the goals outlined in the Green Deal in Latvia. To achieve this objective, the following four research questions have been formulated:1. To explore the ability of Latvia to reduce its dependence on imported </w:t>
      </w:r>
    </w:p>
    <w:p>
      <w:pPr/>
      <w:r>
        <w:rPr>
          <w:b/>
        </w:rPr>
        <w:t>POSSIBLE 2024:</w:t>
      </w:r>
      <w:r>
        <w:t xml:space="preserve"> Approaches to a New Regional Energy Security Model in the Perspective of the European Transition to Green Energy — https://doi.org/10.3390/economies12030061</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The EU energy sector became a very important one as a result of the war in Ukraine. On the other hand, the EU started in defining and implementing new strategies regarding green economy and sustainability. Even though these strategies cover short and medium periods, they have as a main goal the decrease in the EU’s dependence of energy imports. This research is focused on present challenges, risks, and uncertainties related to energy production and consumption in all EU member states. In order to achieve the research objectives, a huge statistical database, which covered 2012–2021, was used. The analysis is based on specific indicators regarding primary energy production; imports and exports; gross available energy; final energy consumption; non-energy consumption; energy dependency; and energy intensity. There are at least three research procedures used in this paper: a meta-analysis, a statistical analysis, and an econometric analysis, as well. Finally, the analysis points out the disparities between member states regarding energetic resources and energy dependency using a new model for quantifying risk factors in the European energy system. Moreover, new public policies are proposed by the authors under a cluster approach of the EU’s regions.</w:t>
      </w:r>
    </w:p>
    <w:p>
      <w:pPr/>
      <w:r>
        <w:rPr>
          <w:b/>
        </w:rPr>
        <w:t>POSSIBLE 2024:</w:t>
      </w:r>
      <w:r>
        <w:t xml:space="preserve"> Current European Energy Architecture — https://openalex.org/W7110603362</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The current European energy architecture is in continuous evolution, considering environmental and climate priorities, but also the need to ensure energy security and accessibility for all citizens. Within this architecture, Romania and the Republic of Moldova face specific challenges and opportunities. Romania has rich natural resources, including oil, natural gas, coal, and hydropower. However, there is still a need to modernize and diversify the energy mix to make it more environmentally sustainable and reduce dependence on fossil sources. In recent years, Romania has made progress in the development of renewable energy, such as wind and solar energy, but there is still a long way to go to achieve the European goals of reducing carbon emissions and increasing the proportion of renewable energy in total consumption. As for the Republic of Moldova, the country faces significant energy challenges, including heavy dependence on energy imports, aging infrastructure and the need for modernization. The Republic of Moldova aims to diversify its energy sources and improve its energy efficiency to become more independent and sustainable from an energy point of view. Partnerships with other states and international institutions, such as the European Union, play an important role in supporting these efforts. In the European context, both countries are motivated to align themselves with </w:t>
      </w:r>
    </w:p>
    <w:p>
      <w:pPr/>
      <w:r>
        <w:rPr>
          <w:b/>
        </w:rPr>
        <w:t>POSSIBLE 2023:</w:t>
      </w:r>
      <w:r>
        <w:t xml:space="preserve"> A Comparison of American, Canadian, and European Home Energy Performance in Heating Dominated – Moist Climates Based on Building Codes — https://doi.org/10.7275/4925868</w:t>
      </w:r>
    </w:p>
    <w:p>
      <w:pPr/>
      <w:r>
        <w:rPr>
          <w:b/>
        </w:rPr>
        <w:t>Shared claim-specific concepts:</w:t>
      </w:r>
      <w:r>
        <w:t xml:space="preserve"> quantify, energy, climate, objectives; EU scope visible. This is a provisional connection, not an outcome finding.</w:t>
      </w:r>
    </w:p>
    <w:p>
      <w:pPr>
        <w:pStyle w:val="SourceNote"/>
      </w:pPr>
      <w:r>
        <w:rPr>
          <w:b/>
        </w:rPr>
        <w:t>Available abstract (not full text):</w:t>
      </w:r>
      <w:r>
        <w:t xml:space="preserve"> This research compares the energy performance of a code-built residential building within the moist climate zone classification in Canada, Europe, and the Northeastern United States. The primary objectives are to reveal how specific differences in code requirements in similar climates influence a building’s energy profile, offer a means to quantify and evaluate the extent of energy savings as a result of each requirement, and provide a comparison of each location’s building culture and how this affects the standards in place.\nUsing the building energy simulation tool, DesignBuilder EnergyPlus Simulation, a model single-family home was created and input energy code requirements for each location. An evaluation of each location’s building culture is examined through such factors as the training of building professionals, commonly used materials and products, energy reduction goals, and cultural attitudes.\nThe results of this study point to the need for more advanced building practices, stricter code mandates, and higher performing products based on energy savings achieved from buildings built to different standards in equivalent climate zones. This has the potential to drive the development and use of better performing building materials and assemblies in the future.</w:t>
      </w:r>
    </w:p>
    <w:p>
      <w:pPr/>
      <w:r>
        <w:rPr>
          <w:b/>
        </w:rPr>
        <w:t>POSSIBLE 2023:</w:t>
      </w:r>
      <w:r>
        <w:t xml:space="preserve"> Quantification of the energy flexibility of residential building clusters: Impact of long-term refurbishment strategies of the italian building stock — https://doi.org/10.1016/j.enbuild.2023.113416</w:t>
      </w:r>
    </w:p>
    <w:p>
      <w:pPr/>
      <w:r>
        <w:rPr>
          <w:b/>
        </w:rPr>
        <w:t>Shared claim-specific concepts:</w:t>
      </w:r>
      <w:r>
        <w:t xml:space="preserve"> objective, quantify, energy, objectives, reach; EU scope visible. This is a provisional connection, not an outcome finding.</w:t>
      </w:r>
    </w:p>
    <w:p>
      <w:pPr>
        <w:pStyle w:val="SourceNote"/>
      </w:pPr>
      <w:r>
        <w:rPr>
          <w:b/>
        </w:rPr>
        <w:t>Available abstract (not full text):</w:t>
      </w:r>
      <w:r>
        <w:t xml:space="preserve"> A major refurbishment of the building stock is necessary to achieve the objectives of the energy transition. In addition to decreasing the overall energy demand, the energy efficiency of buildings can create a non-negligible reserve of flexibility and resilience for the entire energy system. Long-term refurbishment strategies can have an impact on such potential of the building sector that is still not widely exploited. In this work the objective is to quantify the influence of long-term refurbishment strategies, planned until 2050, on the energy flexibility reserve of the entire building stock. Reference clusters of residential buildings have been modelled to represent the current and future scenarios of the Italian building stock. Lumped parameter models representing archetypes of residential buildings are implemented to represent the Italian building stock. Current statistics on the composition of the building stock have been combined with European refurbishment targets to 2050 to define the current and future scenarios of the Italian building stock. Since the topic of quantifying the energy flexibility of clusters of buildings is still rather open, this study proposes an analysis based on a combination of different indicators derived from the literature and proposed ad hoc by the authors. They include flexibility curves, that correlate the demand of the cluster to the penal</w:t>
      </w:r>
    </w:p>
    <w:p>
      <w:pPr>
        <w:pStyle w:val="Heading2"/>
      </w:pPr>
      <w:r>
        <w:t>563.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r>
        <w:rPr>
          <w:b/>
        </w:rPr>
        <w:t>POSSIBLE 2025:</w:t>
      </w:r>
      <w:r>
        <w:t xml:space="preserve"> Should Firms Avoid Relying on Key Employees? Evidence From Inventors — https://doi.org/10.1111/eufm.70014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ABSTRACT Analysing inventor careers in U.S. public firms, we find that higher inventor‐base concentration enhances corporate innovation productivity in subsequent years, a relationship that remains consistent across various model specifications. Concentration improves the retention of individual inventors and teams, supporting the employee retention hypothesis. However, firms with concentrated inventor bases tend to emphasize exploitation over exploration in their innovation efforts. Moreover, the impact of inventor‐base concentration is moderated by factors such as technology or product lifecycle length and conglomerate status. These findings underscore the critical role of human capital management in driving firm innovation.</w:t>
      </w:r>
    </w:p>
    <w:p>
      <w:pPr/>
      <w:r>
        <w:rPr>
          <w:b/>
        </w:rPr>
        <w:t>POSSIBLE 2025:</w:t>
      </w:r>
      <w:r>
        <w:t xml:space="preserve"> Determinants of SME Growth and Competitiveness in the UK: Key Findings and Implications — https://doi.org/10.69565/jeba.v3i2.460</w:t>
      </w:r>
    </w:p>
    <w:p>
      <w:pPr/>
      <w:r>
        <w:rPr>
          <w:b/>
        </w:rPr>
        <w:t>Shared claim-specific concepts:</w:t>
      </w:r>
      <w:r>
        <w:t xml:space="preserve"> key, findings, require; EU scope not established. This is a provisional connection, not an outcome finding.</w:t>
      </w:r>
    </w:p>
    <w:p>
      <w:pPr>
        <w:pStyle w:val="SourceNote"/>
      </w:pPr>
      <w:r>
        <w:rPr>
          <w:b/>
        </w:rPr>
        <w:t>Available abstract (not full text):</w:t>
      </w:r>
      <w:r>
        <w:t xml:space="preserve"> This study investigates the determinants of small and medium-sized enterprise (SME) growth and competitiveness in the United Kingdom by examining how firm-level characteristics and capability-related factors influence sales performance and export participation. Using firm-level cross-sectional data from the World Bank Enterprise Survey, the study applies Ordinary Least Squares regression to analyse SME sales performance, measured through the natural logarithm of annual sales, and logistic regression to examine SME competitiveness, measured through direct export participation. The explanatory variables include formal finance, firm age, firm size, managerial experience, innovation, and quality certification. The findings show that SME sales performance and competitiveness are related but empirically distinct outcomes. Firm age has a positive and significant association with both sales performance and export competitiveness, suggesting that organisational maturity supports business stability and market development. Firm size is the strongest predictor of sales performance; however, it is negatively associated with export participation once sales performance is controlled. Quality certification emerges as a consistently significant factor, positively influencing both sales and competitiveness, highlighting the importance of standards, credibility, and market readiness. Formal finan</w:t>
      </w:r>
    </w:p>
    <w:p>
      <w:pPr/>
      <w:r>
        <w:rPr>
          <w:b/>
        </w:rPr>
        <w:t>POSSIBLE 2024:</w:t>
      </w:r>
      <w:r>
        <w:t xml:space="preserve"> National Diabetes Audit: key findings from latest Diabetes in Pregnancy report — https://doi.org/10.1002/pdi.2504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The use of continuous glucose monitoring technology has improved pregnancy outcomes for women with type 1 diabetes, according to the National Pregnancy in Diabetes audit report for the period 2021–2022. However, there were no such gains for women with type 2 diabetes. Steve Chaplin reports.</w:t>
      </w:r>
    </w:p>
    <w:p>
      <w:pPr/>
      <w:r>
        <w:rPr>
          <w:b/>
        </w:rPr>
        <w:t>POSSIBLE 2024:</w:t>
      </w:r>
      <w:r>
        <w:t xml:space="preserve"> Hydrology and Droughts in the Nile: A Review of Key Findings and Implications — https://doi.org/10.3390/w16172521</w:t>
      </w:r>
    </w:p>
    <w:p>
      <w:pPr/>
      <w:r>
        <w:rPr>
          <w:b/>
        </w:rPr>
        <w:t>Shared claim-specific concepts:</w:t>
      </w:r>
      <w:r>
        <w:t xml:space="preserve"> key, findings, large-scale; EU scope not established. This is a provisional connection, not an outcome finding.</w:t>
      </w:r>
    </w:p>
    <w:p>
      <w:pPr>
        <w:pStyle w:val="SourceNote"/>
      </w:pPr>
      <w:r>
        <w:rPr>
          <w:b/>
        </w:rPr>
        <w:t>Available abstract (not full text):</w:t>
      </w:r>
      <w:r>
        <w:t xml:space="preserve"> The Nile Basin has long been the subject of extensive research, reflecting its importance, which spans from its historical role in the development of ancient civilizations to its current significance in supporting rapidly changing socioeconomic conditions of the basin countries. This review synthesizes studies focusing on the past and future climate, hydrologic, and drought outlooks of the basin, and explores the roles played by large-scale atmospheric phenomena and water infrastructure on the basin’s climate and hydrology. Overall, the studies underscore the complexity of the Nile hydrological system and the necessity for improved modeling and data integration. This review serves as a guide to areas warranting further research by highlighting the uncertainties and inconsistencies among the different studies. It underscores the interconnectedness of climatic and hydrological processes in the basin and encourages the use of diverse data sources to address the data scarcity issue and ensemble models to reduce modeling uncertainty in future research. By summarizing the data and modeling resources employed in these studies, this review also provides a valuable resource for future modeling efforts to understand and explore of the basin’s complex climatic and hydrological dynamics.</w:t>
      </w:r>
    </w:p>
    <w:p>
      <w:pPr/>
      <w:r>
        <w:rPr>
          <w:b/>
        </w:rPr>
        <w:t>POSSIBLE 2024:</w:t>
      </w:r>
      <w:r>
        <w:t xml:space="preserve"> Understanding Return: Key Findings, Gaps, and Future Research — https://doi.org/10.47053/jdc.281124</w:t>
      </w:r>
    </w:p>
    <w:p>
      <w:pPr/>
      <w:r>
        <w:rPr>
          <w:b/>
        </w:rPr>
        <w:t>Shared claim-specific concepts:</w:t>
      </w:r>
      <w:r>
        <w:t xml:space="preserve"> key, findings, facilitate; EU scope not established. This is a provisional connection, not an outcome finding.</w:t>
      </w:r>
    </w:p>
    <w:p>
      <w:pPr>
        <w:pStyle w:val="SourceNote"/>
      </w:pPr>
      <w:r>
        <w:rPr>
          <w:b/>
        </w:rPr>
        <w:t>Available abstract (not full text):</w:t>
      </w:r>
      <w:r>
        <w:t xml:space="preserve"> The return of refugees to their home countries is often regarded as a desirable outcome in displacement contexts, enabling individuals to rebuild their lives in familiar environments. Nevertheless, returning home remains challenging and infrequent in many contexts. This note reviews the academic literature to identify key factors influencing refugees’ decisions to return, highlights gaps in current research, and suggests directions for future study. The evidence underscores that safety and security are preconditions for return. Beyond security, factors such as economic stability, property rights, access to services, and psychological and social connections to home communities are critical. The research also identifies challenges after return, including tensions between returnees and those who stayed behind, as well as difficulties with reintegration. Future research should investigate return dynamics from high-income countries, enhance conceptual frameworks for understanding the return processes, and differentiate return experiences for internally displaced persons (IDPs) and refugees. Additional focus is needed on climate-induced displacement, reintegration challenges, and the impact of information gaps on decision-making. Generating better data, including panel datasets, is essential for enabling more rigorous analyses of return dynamics. Addressing these research gaps could </w:t>
      </w:r>
    </w:p>
    <w:p>
      <w:pPr/>
      <w:r>
        <w:rPr>
          <w:b/>
        </w:rPr>
        <w:t>POSSIBLE 2023:</w:t>
      </w:r>
      <w:r>
        <w:t xml:space="preserve"> Introduction to the ESPAUR Webinar and Report 2021–2022: Key Findings and Stakeholder Engagement — https://doi.org/10.3390/msf2022015018</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During the coronavirus (COVID-19) pandemic, we saw significant decreases in the incidence of bloodstream infections (BSIs), antibiotic-resistant infections, and the burden of resistant infections. The reasons for this are complex and multifactorial, but likely, at least in part, due to changes in healthcare delivery and healthcare seeking behavior. As healthcare systems return to pre-pandemic ways of working, now is a pivotal moment to ensure focus remains on what is often referred to as the ‘silent pandemic’: antimicrobial resistance (AMR). The ninth English Surveillance Programme for Antimicrobial Utilization and Resistance (ESPAUR) report provides an overview of the national data on antibiotic prescribing and resistance, antimicrobial stewardship implementation, and awareness activities. The active contribution from and collaboration with the ESPAUR oversight group and the engagement of stakeholder organizations, including the devolved administrations, are also reported. Findings from the ESPAUR report were presented at a webinar on 23 November 2022.</w:t>
      </w:r>
    </w:p>
    <w:p>
      <w:pPr/>
      <w:r>
        <w:rPr>
          <w:b/>
        </w:rPr>
        <w:t>POSSIBLE 2023:</w:t>
      </w:r>
      <w:r>
        <w:t xml:space="preserve"> Hydrogen, a less disruptive pathway for domestic heat? Exploratory findings from public perceptions research — https://doi.org/10.1016/j.clpl.2023.100047</w:t>
      </w:r>
    </w:p>
    <w:p>
      <w:pPr/>
      <w:r>
        <w:rPr>
          <w:b/>
        </w:rPr>
        <w:t>Shared claim-specific concepts:</w:t>
      </w:r>
      <w:r>
        <w:t xml:space="preserve"> key, findings, less, heating; EU scope not established. This is a provisional connection, not an outcome finding.</w:t>
      </w:r>
    </w:p>
    <w:p>
      <w:pPr>
        <w:pStyle w:val="SourceNote"/>
      </w:pPr>
      <w:r>
        <w:rPr>
          <w:b/>
        </w:rPr>
        <w:t>Available abstract (not full text):</w:t>
      </w:r>
      <w:r>
        <w:t xml:space="preserve"> The disruption associated with heat decarbonisation has been identified as a key opportunity for hydrogen technologies in temperate countries and regions, where established distribution infrastructure and familiarity with natural gas boilers predominate. A key element of such claims is the empirically untested belief that citizens will prefer to minimise disruption and perceive hydrogen to be less disruptive than the network upgrades and retrofit measures needed to support electric and other low carbon heating technologies. This article reports on exploratory deliberative research with residents of Cardiff, Wales which examined public perceptions of heating disruptions. Our findings suggest that concerns over public responses to disruption may be overstated, particularly as they relate to construction and road excavation for network upgrade. Disruptions arising from permanent changes to building fabric may be more problematic for heat pump retrofit, however these may be greatly overshadowed by anxieties over the cost implications of moving to hydrogen fuel. Furthermore, the biographical patterning of citizen preferences raises significant questions for hydrogen roll-out strategies relying on regionalised network conversion. We conclude by arguing that far from a non-disruptive alternative to electrification, hydrogen risks being seen as posing substantial disruptions to precari</w:t>
      </w:r>
    </w:p>
    <w:p>
      <w:pPr/>
      <w:r>
        <w:rPr>
          <w:b/>
        </w:rPr>
        <w:t>POSSIBLE 2023:</w:t>
      </w:r>
      <w:r>
        <w:t xml:space="preserve"> Armed Conflicts in the Aftermath of Disasters: Key Findings — https://doi.org/10.7551/mitpress/14970.003.0007</w:t>
      </w:r>
    </w:p>
    <w:p>
      <w:pPr/>
      <w:r>
        <w:rPr>
          <w:b/>
        </w:rPr>
        <w:t>Shared claim-specific concepts:</w:t>
      </w:r>
      <w:r>
        <w:t xml:space="preserve"> key, findings, pathways, facilitate; EU scope not established. This is a provisional connection, not an outcome finding.</w:t>
      </w:r>
    </w:p>
    <w:p>
      <w:pPr>
        <w:pStyle w:val="SourceNote"/>
      </w:pPr>
      <w:r>
        <w:rPr>
          <w:b/>
        </w:rPr>
        <w:t>Available abstract (not full text):</w:t>
      </w:r>
      <w:r>
        <w:t xml:space="preserve"> This chapter summarizes and analyzes the key insights derived from the comprehensive case study evidence presented in the previous chapter.It also contextualizes the findings within wider debates on peace and conflict, disasters, climate change, environmental stress, and security.To do so, the chapter proceeds in three steps.First, I present summary statistics on armed conflict dynamics in the aftermath of disasters.Second, I conduct a qualitative comparative analysis (QCA) to identify which conditions or combinations of conditions can explain why disasters affect conflict dynamics in some cases but not in others.The final part of the chapter disentangles the different pathways connecting disasters to either conflict escalation or de-escalation. General Findings and Their Implications Armed Conflict Escalation, De-escalation, and ContinuationWithin the analytical framework of this book, disasters can interact with armed conflicts in three broad ways: they can, in combination with other factors, facilitate conflict escalation or conflict de-escalation or have no impact on conflict dynamics.As indicated in figure 5.1 later in the chapter, in 50% of the cases studied here, disasters did not shape armed conflict dynamics in any meaningful way.The reasons for this can be multifold, but often include one or several of four factors.First, other military, political, and economic driver</w:t>
      </w:r>
    </w:p>
    <w:p>
      <w:pPr>
        <w:pStyle w:val="Heading2"/>
      </w:pPr>
      <w:r>
        <w:t>564.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Climate Policy Feasibility across Europe Relies on the Conditional Middle — https://doi.org/10.31219/osf.io/pnvw8_v3</w:t>
      </w:r>
    </w:p>
    <w:p>
      <w:pPr/>
      <w:r>
        <w:rPr>
          <w:b/>
        </w:rPr>
        <w:t>Shared claim-specific concepts:</w:t>
      </w:r>
      <w:r>
        <w:t xml:space="preserve"> feasibility, climate; EU scope visible. This is a provisional connection, not an outcome finding.</w:t>
      </w:r>
    </w:p>
    <w:p>
      <w:pPr>
        <w:pStyle w:val="SourceNote"/>
      </w:pPr>
      <w:r>
        <w:rPr>
          <w:b/>
        </w:rPr>
        <w:t>Available abstract (not full text):</w:t>
      </w:r>
      <w:r>
        <w:t xml:space="preserve"> Political feasibility of climate policies hinges on persuading the moderate middle of the electorate. A survey evaluates climate policy preferences across 13 EU countries (n=19,328, Summer 2024), identifying `Conditionals', a crucial faction of moderates whose support shifts across 15 climate measures. Conditionals constitute 33\% of Europeans that are active voters for the dominant centrist and centre-right parties. Simulations indicate that even if currently undecided Conditionals simply moved to support, the number of policies with majority backing would more than double (from 4 to 10). Such changes do seem plausible, as Conditionals' preferences hinge less on fixed ideology or demographics, and rather upon things that policymakers can adjust, policy designs and the perceived cost–benefit balances. Overall, our findings emphasize that climate policy success depends on strategic engagement with diverse, moveable constituencies, where tailoring designs with visible benefits offers a pragmatic route to expand the feasibility frontier</w:t>
      </w:r>
    </w:p>
    <w:p>
      <w:pPr/>
      <w:r>
        <w:rPr>
          <w:b/>
        </w:rPr>
        <w:t>POSSIBLE 2025:</w:t>
      </w:r>
      <w:r>
        <w:t xml:space="preserve"> An Acceptability and Feasibility Study of a Nurse‐Led Model of Contraception and Abortion Care in Rural General Practice — https://doi.org/10.1111/jan.16777</w:t>
      </w:r>
    </w:p>
    <w:p>
      <w:pPr/>
      <w:r>
        <w:rPr>
          <w:b/>
        </w:rPr>
        <w:t>Shared claim-specific concepts:</w:t>
      </w:r>
      <w:r>
        <w:t xml:space="preserve"> unique, feasibility, three, preferred; EU scope not established. This is a provisional connection, not an outcome finding.</w:t>
      </w:r>
    </w:p>
    <w:p>
      <w:pPr>
        <w:pStyle w:val="SourceNote"/>
      </w:pPr>
      <w:r>
        <w:rPr>
          <w:b/>
        </w:rPr>
        <w:t>Available abstract (not full text):</w:t>
      </w:r>
      <w:r>
        <w:t xml:space="preserve"> AIM: To assess the acceptability and perceived feasibility of integrating a co-designed nurse-led model of contraception and medication abortion care within rural and regional general practices. DESIGN: Qualitative exploratory design utilising Sidani and Braden's indicators of acceptability and feasibility. METHODS: We conducted semi-structured interviews with 12 practice nurses, 8 general practitioners and 3 practice managers who currently or previously worked in rural, regional or remote general practice. Participants were recruited purposively through social media, partner organisation newsletters and snowballing. During the interview, participants were presented with an overview of the co-designed model of care and asked specific questions to gain feedback on its acceptability and perceived feasibility. Data were analysed in NVivo using template analysis and iterative categorisation. Findings were mapped according to Sidani and Braden's indicators of acceptability and feasibility. RESULTS: Three overarching themes were identified: nurses are acceptable providers, factors influencing the feasibility of the model and factors supporting greater feasibility of the model. Participants found the nurse-led model acceptable, describing nurses as suitable and sometimes preferred providers of long-acting reversible contraception and abortion care in rural and regional settings. They </w:t>
      </w:r>
    </w:p>
    <w:p>
      <w:pPr/>
      <w:r>
        <w:rPr>
          <w:b/>
        </w:rPr>
        <w:t>POSSIBLE 2024:</w:t>
      </w:r>
      <w:r>
        <w:t xml:space="preserve"> A unifying modelling of multiple land degradation pathways in Europe — https://doi.org/10.1038/s41467-024-48252-x</w:t>
      </w:r>
    </w:p>
    <w:p>
      <w:pPr/>
      <w:r>
        <w:rPr>
          <w:b/>
        </w:rPr>
        <w:t>Shared claim-specific concepts:</w:t>
      </w:r>
      <w:r>
        <w:t xml:space="preserve"> modelling, three, mitigation;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Effects of emissions caps on the costs and feasibility of low-carbon hydrogen in the European ammonia industry — https://doi.org/10.1038/s41467-024-48145-z</w:t>
      </w:r>
    </w:p>
    <w:p>
      <w:pPr/>
      <w:r>
        <w:rPr>
          <w:b/>
        </w:rPr>
        <w:t>Shared claim-specific concepts:</w:t>
      </w:r>
      <w:r>
        <w:t xml:space="preserve"> feasibility, target, emissions, reduction; EU scope visible. This is a provisional connection, not an outcome finding.</w:t>
      </w:r>
    </w:p>
    <w:p>
      <w:pPr>
        <w:pStyle w:val="SourceNote"/>
      </w:pPr>
      <w:r>
        <w:rPr>
          <w:b/>
        </w:rPr>
        <w:t>Available abstract (not full text):</w:t>
      </w:r>
      <w:r>
        <w:t xml:space="preserve"> Abstract The European ammonia industry emits 36 million tons of carbon dioxide annually, primarily from steam methane reforming (SMR) hydrogen production. These emissions can be mitigated by producing hydrogen via water electrolysis using dedicated renewables with grid backup. This study investigates the impact of decarbonization targets for hydrogen synthesis on the economic viability and technical feasibility of retrofitting existing European ammonia plants for on-site, semi-islanded electrolytic hydrogen production. Results show that electrolytic hydrogen cuts emissions, on average, by 85% (36%-100% based on grid price and carbon intensity), even without enforcing emission limits. However, an optimal lifespan average well-to-gate emission cap of 1 kg carbon dioxide equivalent (CO 2 e)/kg H 2 leads to a 95% reduction (92%-100%) while maintaining cost-competitiveness with SMR in renewable-rich regions (mean levelized cost of hydrogen (LCOH) of 4.1 euro/kg H 2 ). Conversely, a 100% emissions reduction target dramatically increases costs (mean LCOH: 6.3 euro/kg H 2 ) and land area for renewables installations, likely hindering the transition to electrolytic hydrogen in regions with poor renewables and limited land. Increasing plant flexibility effectively reduces costs, particularly in off-grid plants (mean reduction: 32%). This work guides policymakers in defining cost-effectiv</w:t>
      </w:r>
    </w:p>
    <w:p>
      <w:pPr/>
      <w:r>
        <w:rPr>
          <w:b/>
        </w:rPr>
        <w:t>POSSIBLE 2024:</w:t>
      </w:r>
      <w:r>
        <w:t xml:space="preserve"> Delisting Costs and Corporate Mobility in Europe — https://doi.org/10.67929/ecgi-law-813-2024</w:t>
      </w:r>
    </w:p>
    <w:p>
      <w:pPr/>
      <w:r>
        <w:rPr>
          <w:b/>
        </w:rPr>
        <w:t>Shared claim-specific concepts:</w:t>
      </w:r>
      <w:r>
        <w:t xml:space="preserve"> framework, analyses; EU scope visible. This is a provisional connection, not an outcome finding.</w:t>
      </w:r>
    </w:p>
    <w:p>
      <w:pPr>
        <w:pStyle w:val="SourceNote"/>
      </w:pPr>
      <w:r>
        <w:rPr>
          <w:b/>
        </w:rPr>
        <w:t>Available abstract (not full text):</w:t>
      </w:r>
      <w:r>
        <w:t xml:space="preserve"> There is considerable variation among capital markets in the frequency of voluntary and involuntary delistings, which has been attributed by some commentators to differences in the regulatory framework governing delisting decisions. However, there have been few systematic attempts to map these differences across legal systems and quantify the regulatory costs of delistings. This article analyses delisting regimes of major EU jurisdictions and several non-EU countries and develops indices that capture delisting costs. It shows that the delisting regimes of some EU Member States are prohibitively costly. The article then considers whether such delisting regimes are consistent with EU free movement rights. It concludes by critically evaluating a menu of policy options to ensure that delisting rules facilitate corporate mobility and an efficient allocation of capital in the EU.</w:t>
      </w:r>
    </w:p>
    <w:p>
      <w:pPr/>
      <w:r>
        <w:rPr>
          <w:b/>
        </w:rPr>
        <w:t>POSSIBLE 2024:</w:t>
      </w:r>
      <w:r>
        <w:t xml:space="preserve"> A model for the competitive benchmarking of energy costs — https://doi.org/10.1016/j.eneco.2024.107385</w:t>
      </w:r>
    </w:p>
    <w:p>
      <w:pPr/>
      <w:r>
        <w:rPr>
          <w:b/>
        </w:rPr>
        <w:t>Shared claim-specific concepts:</w:t>
      </w:r>
      <w:r>
        <w:t xml:space="preserve"> framework, target; EU scope not established. This is a provisional connection, not an outcome finding.</w:t>
      </w:r>
    </w:p>
    <w:p>
      <w:pPr>
        <w:pStyle w:val="SourceNote"/>
      </w:pPr>
      <w:r>
        <w:rPr>
          <w:b/>
        </w:rPr>
        <w:t>Available abstract (not full text):</w:t>
      </w:r>
      <w:r>
        <w:t xml:space="preserve"> Benchmarking is an essential tool for quantifying how a company's energy costs compare with those of competitors and understanding the sources of cost differences, with the ultimate goal of identifying strengths and opportunities for improving performance. The increasing relevance of energy as a factor in competitiveness has heightened interest in managing energy costs. This paper develops an analytical framework for benchmarking the energy cost variance across firms. In this framework, a cost frontier approach allows the decomposition of the observed energy cost gap between two firms, that is, the difference between the unit energy cost of a benchmark producer and the unit energy cost of a target firm. The unit energy cost gap is decomposed into six constituents: (i) energy prices; (ii) non-energy prices; (iii) energy efficiency; (iv) capital intensity; (v) outsourcing level; and (vi) production scale. We illustrate the implementation and usefulness of the proposed model via an empirical application of energy cost benchmarking on a sample of paper manufacturers.</w:t>
      </w:r>
    </w:p>
    <w:p>
      <w:pPr/>
      <w:r>
        <w:rPr>
          <w:b/>
        </w:rPr>
        <w:t>POSSIBLE 2024:</w:t>
      </w:r>
      <w:r>
        <w:t xml:space="preserve"> Implementation Feasibility and Hidden Costs of Statewide Scaling of Evidence-Based Therapies for Children and Adolescents — https://doi.org/10.1176/appi.ps.20230183</w:t>
      </w:r>
    </w:p>
    <w:p>
      <w:pPr/>
      <w:r>
        <w:rPr>
          <w:b/>
        </w:rPr>
        <w:t>Shared claim-specific concepts:</w:t>
      </w:r>
      <w:r>
        <w:t xml:space="preserve"> analyses, feasibility, three; EU scope not established. This is a provisional connection, not an outcome finding.</w:t>
      </w:r>
    </w:p>
    <w:p>
      <w:pPr>
        <w:pStyle w:val="SourceNote"/>
      </w:pPr>
      <w:r>
        <w:rPr>
          <w:b/>
        </w:rPr>
        <w:t>Available abstract (not full text):</w:t>
      </w:r>
      <w:r>
        <w:t xml:space="preserve"> OBJECTIVE: State mental health systems are retraining their workforces to deliver services supported by research. Knowledge about evidence-based therapies (EBTs) for child and adolescent disorders is robust, but the feasibility of their statewide scaling has not been examined. The authors reviewed implementation feasibility for 12 commonly used EBTs, defining feasibility for statewide scaling as an EBT having at least one study documenting acceptability, facilitators and barriers, or fidelity; at least one study with a racially and ethnically diverse sample; an entity for training, certification, or licensing; and fiscal data reflecting the costs of implementation. METHODS: The authors reviewed materials for 12 EBTs being scaled in New York State and conducted a literature review with search terms relevant to their implementation. Costs and certification information were supplemented by discussions with treatment developers and implementers. RESULTS: All 12 EBTs had been examined for implementation feasibility, but only three had been examined for statewide scaling. Eleven had been studied in populations reflecting racial-ethnic diversity, but few had sufficient power for subgroup analyses to demonstrate effectiveness with these samples. All had certifying or licensing entities. The per-clinician costs of implementation ranged from $500 to $3,500, with overall ongoing costs ran</w:t>
      </w:r>
    </w:p>
    <w:p>
      <w:pPr/>
      <w:r>
        <w:rPr>
          <w:b/>
        </w:rPr>
        <w:t>POSSIBLE 2023:</w:t>
      </w:r>
      <w:r>
        <w:t xml:space="preserve"> Techno-economic analysis of underground hydrogen storage in Europe — https://doi.org/10.1016/j.isci.2023.108771</w:t>
      </w:r>
    </w:p>
    <w:p>
      <w:pPr/>
      <w:r>
        <w:rPr>
          <w:b/>
        </w:rPr>
        <w:t>Shared claim-specific concepts:</w:t>
      </w:r>
      <w:r>
        <w:t xml:space="preserve"> union, three; EU scope visible. This is a provisional connection, not an outcome finding.</w:t>
      </w:r>
    </w:p>
    <w:p>
      <w:pPr>
        <w:pStyle w:val="SourceNote"/>
      </w:pPr>
      <w:r>
        <w:rPr>
          <w:b/>
        </w:rPr>
        <w:t>Available abstract (not full text):</w:t>
      </w:r>
      <w:r>
        <w:t xml:space="preserve"> Hydrogen storage is crucial to developing secure renewable energy systems to meet the European Union's 2050 carbon neutrality objectives. However, a knowledge gap exists concerning the site-specific performance and economic viability of utilizing underground gas storage (UGS) sites for hydrogen storage in Europe. We compile information on European UGS sites to assess potential hydrogen storage capacity and evaluate the associated current and future costs. The total hydrogen storage potential in Europe is 349 TWh of working gas energy (WGE), with site-specific capital costs ranging from $10 million to $1 billion. Porous media and salt caverns, boasting a minimum storage capacity of 0.5 TWh WGE, exhibit levelized costs of $1.5 and $0.8 per kilogram of hydrogen, respectively. It is estimated that future levelized costs associated with hydrogen storage can potentially decrease to as low as $0.4 per kilogram after three experience cycles. Leveraging these techno-economic considerations, we identify suitable storage sites.</w:t>
      </w:r>
    </w:p>
    <w:p>
      <w:pPr/>
      <w:r>
        <w:rPr>
          <w:b/>
        </w:rPr>
        <w:t>POSSIBLE 2022:</w:t>
      </w:r>
      <w:r>
        <w:t xml:space="preserve"> Update of model for wild ruminant abundance based on occurrence and first models based on hunting yield at European scale — https://doi.org/10.2903/sp.efsa.2022.en-7174</w:t>
      </w:r>
    </w:p>
    <w:p>
      <w:pPr/>
      <w:r>
        <w:rPr>
          <w:b/>
        </w:rPr>
        <w:t>Shared claim-specific concepts:</w:t>
      </w:r>
      <w:r>
        <w:t xml:space="preserve"> unique, modelling, framework, target; EU scope visible. This is a provisional connection, not an outcome finding.</w:t>
      </w:r>
    </w:p>
    <w:p>
      <w:pPr>
        <w:pStyle w:val="SourceNote"/>
      </w:pPr>
      <w:r>
        <w:rPr>
          <w:b/>
        </w:rPr>
        <w:t>Available abstract (not full text):</w:t>
      </w:r>
      <w:r>
        <w:t xml:space="preserve"> In a previous report, ENETWILD proposed a generic model framework to predict habitat suitability and likely occurrence for wild ruminant species using opportunistic presence data (occurrence records for wild ungulate species from the Global Biodiversity Information Facility). In this report, for the first time, we develop models based on hunting yield data (HY) for the most widely distributed wild ruminant species in Europe: roe deer (Capreolus capreolus) and red deer (Cervus elaphus). We also update models based on occurrence (roe deer, red deer, fallow deer (Dama dama), European moose (Alces alces) and muntjac (Muntiacus reevesi), evaluate the performance of both approaches, and compare outputs. As for HY models, we could not conduct one model per bioregion as there are not enough data for modelling in some bioregions, and therefore, we calibrated a unique model, including eco-geographical variables as predictors. The calibration plots for HY models showed a good predictive performance for red deer in the Eastern bioregion and roe deer at Eastern and Western. The abundance distribution pattern of red deer HY was widely scattered over all Europe, as expected for a widely distributed species which shows high ecological plasticity, and roe deer presented the highest abundance in Atlantic and Eastern Europe, progressively decreasing towards Northern Mediterranean bioregions. Over</w:t>
      </w:r>
    </w:p>
    <w:p>
      <w:pPr/>
      <w:r>
        <w:rPr>
          <w:b/>
        </w:rPr>
        <w:t>POSSIBLE 2022:</w:t>
      </w:r>
      <w:r>
        <w:t xml:space="preserve"> highRES-Europe: The high spatial and temporal Resolution Electricity System model for Europe — https://doi.org/10.1016/j.softx.2022.101003</w:t>
      </w:r>
    </w:p>
    <w:p>
      <w:pPr/>
      <w:r>
        <w:rPr>
          <w:b/>
        </w:rPr>
        <w:t>Shared claim-specific concepts:</w:t>
      </w:r>
      <w:r>
        <w:t xml:space="preserve"> co2, emissions, transport, infrastructure; EU scope visible. This is a provisional connection, not an outcome finding.</w:t>
      </w:r>
    </w:p>
    <w:p>
      <w:pPr>
        <w:pStyle w:val="SourceNote"/>
      </w:pPr>
      <w:r>
        <w:rPr>
          <w:b/>
        </w:rPr>
        <w:t>Available abstract (not full text):</w:t>
      </w:r>
      <w:r>
        <w:t xml:space="preserve"> The high spatial and temporal resolution electricity system model, highRES, is used to design cost-effective, flexible and weather resilient electricity systems for Great Britain and Europe. The model is specifically designed to analyse the effects of high shares of variable renewables and explore integration/flexibility options. As the proportion of renewables in electricity generation increases, there will be increasing imbalances between electricity demand and supply. highRES is a high-resolution electricity system model that simultaneously considers infrastructure planning (investment) and operational (dispatch) decisions to identify the most cost-effective strategies to cope with growing shares of intermittent renewables. It does this by comparing and trading off potential options to integrate renewables into the system including the extension of the transmission grid, interconnection with other countries, building flexible generation (e.g. gas power stations), renewable curtailment and energy storage. highRES is written in GAMS and its objective is to minimise power system investment and operational costs to meet hourly demand, subject to a number of unit and system constraints. It can model a variety of technical characteristics of thermal generators (e.g. ramping restrictions, minimum stable generation, startup costs, minimum up and down times) depending on the requirem</w:t>
      </w:r>
    </w:p>
    <w:p>
      <w:pPr>
        <w:pStyle w:val="Heading2"/>
      </w:pPr>
      <w:r>
        <w:t>565.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2025:</w:t>
      </w:r>
      <w:r>
        <w:t xml:space="preserve"> On and beyond the Creative City: performative narratives, policy translation, and frontiers of ‘splashing’ acts — https://doi.org/10.1016/j.ccs.2025.100654</w:t>
      </w:r>
    </w:p>
    <w:p>
      <w:pPr/>
      <w:r>
        <w:rPr>
          <w:b/>
        </w:rPr>
        <w:t>Shared claim-specific concepts:</w:t>
      </w:r>
      <w:r>
        <w:t xml:space="preserve"> narratives, performative, narrative, two; EU scope not established. This is a provisional connection, not an outcome finding.</w:t>
      </w:r>
    </w:p>
    <w:p>
      <w:pPr>
        <w:pStyle w:val="SourceNote"/>
      </w:pPr>
      <w:r>
        <w:rPr>
          <w:b/>
        </w:rPr>
        <w:t>Available abstract (not full text):</w:t>
      </w:r>
      <w:r>
        <w:t xml:space="preserve"> The Creative City often appears in the existing literature as a policy narrative that travels widely across borders. Scholars have long debated whether this travel resulted in a homogenisation of urban cultural policies and whether the narrative still had viability for the future. The term ‘narrative’, however, has often been taken for granted. This article thus explores the implications of thinking about the Creative City as a narrative, particularly a ‘travelling narrative’. Conceptually, it builds on two major frameworks. The first is a processual approach to narration as a fundamental act of organising reality. It emphasises unification or the organisation of different layers or elements into a coherent narrative. The second is a performative approach to translation as acts of re-narration. It highlights multiplication or how a policy narrative can be translated into multi-directional, even competing, policy acts across contexts. Empirically, the article examines the narrative form and accomplishment of the Creative City as it was taken up in Vietnam through the designation of Hanoi as a member of the UNESCO Creative Cities Network (UCCN). The analysis shows both possibilities and limitations of ‘splashing’ acts that sought to engage with the narrative in ways that could move beyond the frequently criticised power structures that set the travelling narrative in motion.</w:t>
      </w:r>
    </w:p>
    <w:p>
      <w:pPr/>
      <w:r>
        <w:rPr>
          <w:b/>
        </w:rPr>
        <w:t>POSSIBLE 2025:</w:t>
      </w:r>
      <w:r>
        <w:t xml:space="preserve"> Performative Equity and Institutional Hypocrisy in Higher Education: A Critique of Leadership Narratives and Policy Contradictions — https://doi.org/10.4236/ojl.2025.143019</w:t>
      </w:r>
    </w:p>
    <w:p>
      <w:pPr/>
      <w:r>
        <w:rPr>
          <w:b/>
        </w:rPr>
        <w:t>Shared claim-specific concepts:</w:t>
      </w:r>
      <w:r>
        <w:t xml:space="preserve"> narratives, performative; EU scope visible. This is a provisional connection, not an outcome finding.</w:t>
      </w:r>
    </w:p>
    <w:p>
      <w:pPr>
        <w:pStyle w:val="SourceNote"/>
      </w:pPr>
      <w:r>
        <w:rPr>
          <w:b/>
        </w:rPr>
        <w:t>Available abstract (not full text):</w:t>
      </w:r>
      <w:r>
        <w:t xml:space="preserve"> This article critically examines the widening gap between rhetorical commitments to equity, inclusion, and innovation in higher education and the lived realities of institutional leadership and policy enforcement. Drawing on the author’s direct experience within a U.S. university setting—juxtaposed with global parallels—the paper explores how performative leadership practices mask deeper systems of exclusion, silencing, and ideological gatekeeping. Through the lens of critical policy analysis, the article reveals how institutional narratives often valorize diversity while simultaneously marginalizing dissenting voices, critical scholarship (Mountz et al., 2020), and global perspectives that challenge neoliberal or bureaucratic orthodoxy. The paper further explores the international dimensions of this hypocrisy, comparing policy contradictions in the United States with similar patterns of institutional posturing and suppression observed in higher education systems in Europe, Asia, and Africa. In doing so, it argues that the performance of equity—uncoupled from structural change—undermines the moral legitimacy of higher education institutions and erodes public trust. The article concludes with a call for policy reform grounded in authentic leadership, intellectual freedom, and justice-driven governance.</w:t>
      </w:r>
    </w:p>
    <w:p>
      <w:pPr/>
      <w:r>
        <w:rPr>
          <w:b/>
        </w:rPr>
        <w:t>POSSIBLE 2025:</w:t>
      </w:r>
      <w:r>
        <w:t xml:space="preserve"> Understanding China's Policy Narratives During Crisis: A Narrative Policy Framework Approach — https://doi.org/10.1111/1468-5973.70105</w:t>
      </w:r>
    </w:p>
    <w:p>
      <w:pPr/>
      <w:r>
        <w:rPr>
          <w:b/>
        </w:rPr>
        <w:t>Shared claim-specific concepts:</w:t>
      </w:r>
      <w:r>
        <w:t xml:space="preserve"> narratives, narrative, types, citizens; EU scope not established. This is a provisional connection, not an outcome finding.</w:t>
      </w:r>
    </w:p>
    <w:p>
      <w:pPr>
        <w:pStyle w:val="SourceNote"/>
      </w:pPr>
      <w:r>
        <w:rPr>
          <w:b/>
        </w:rPr>
        <w:t>Available abstract (not full text):</w:t>
      </w:r>
      <w:r>
        <w:t xml:space="preserve"> ABSTRACT Narratives play a crucial role in crisis communication. Using qualitative content analysis within the Narrative Policy Framework, this study examines the policy narratives in 372 open letters issued by Chinese local governments during the COVID‐19 pandemic. The findings reveal that Chinese local governments constructed a narrative in which the entire society was in crisis, while the government was comprehensively responding, a portrayal that varied according to the different stages of the crisis. As for the characters, public servants were constructed as both heroes and victims, the COVID‐19 was cast as the villain, and citizens were portrayed as both victims and heroes. In terms of the moral, the open letters urged public servants to fulfil their professional duties, citizens to comply with existing policies, and broader social forces to actively participate. Finally, regarding the plot, the open letters constructed three distinct plot types centred on the interactions between public servants, the COVID‐19, and citizens, which collectively manifested as an overarching “People's Campaign” plot. This study offers insights into crisis communication by public organisations in non‐Western contexts and contributes to the understanding of policy narratives during the crisis.</w:t>
      </w:r>
    </w:p>
    <w:p>
      <w:pPr/>
      <w:r>
        <w:rPr>
          <w:b/>
        </w:rPr>
        <w:t>POSSIBLE 2025:</w:t>
      </w:r>
      <w:r>
        <w:t xml:space="preserve"> Narratives and Framing in Policy Making — https://doi.org/10.1111/ropr.70053</w:t>
      </w:r>
    </w:p>
    <w:p>
      <w:pPr/>
      <w:r>
        <w:rPr>
          <w:b/>
        </w:rPr>
        <w:t>Shared claim-specific concepts:</w:t>
      </w:r>
      <w:r>
        <w:t xml:space="preserve"> narratives, lead, energy, narrative, distinguished, types; EU scope not established. This is a provisional connection, not an outcome finding.</w:t>
      </w:r>
    </w:p>
    <w:p>
      <w:pPr>
        <w:pStyle w:val="SourceNote"/>
      </w:pPr>
      <w:r>
        <w:rPr>
          <w:b/>
        </w:rPr>
        <w:t>Available abstract (not full text):</w:t>
      </w:r>
      <w:r>
        <w:t xml:space="preserve"> Narratives and framing have become central analytical tools in research on policy processes and shape the understanding of attention shifts, coalition dynamics, and policy change. Building on this dynamic, recent work has attempted to combine the analysis of narratives with institutional approaches (Schlaufer et al. 2022; Domorenok and Graziano 2023). In doing so, it has been recognized that narratives not only explain policy conflict, but also structure the rules and norms that govern collective action. This issue of Review of Policy Research (RPR) brings together recent contributions that advance both the theoretical foundations and practical applications of narrative and framing research. Together, the articles in this issue demonstrate that narratives and frames are not only key drivers of attention, conflict, and change in traditional policy arenas such as environmental or security policy, but also shape science communication, reputation management, and evidence use in policymaking. They highlight how narrative and framing approaches increasingly intersect with established policy process theories, as well as with methodological innovations ranging from network analysis to sentiment analysis, providing a unifying analytical lens for understanding complex policy dynamics. One of the most active debates within this broader landscape concerns how the Narrative Policy Framework</w:t>
      </w:r>
    </w:p>
    <w:p>
      <w:pPr/>
      <w:r>
        <w:rPr>
          <w:b/>
        </w:rPr>
        <w:t>POSSIBLE 2025:</w:t>
      </w:r>
      <w:r>
        <w:t xml:space="preserve"> Toward intelligence or ignorance? Performativity and uncertainty in government tech narratives — https://doi.org/10.1016/j.giq.2025.102032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Emerging technologies are often accompanied by optimistic “tech narratives” that emphasize their potential benefits to society. These narratives appear in various sources, including public policy documents, media coverage, and academic literature. However, identifying their origins and underlying rationale can be challenging. This paper addresses the research question (RQ): How can government tech narratives be traced and unveiled? To answer this question, we draw on the theoretical frameworks of “performativity” and “uncertainty assessment” to develop a two-step approach for investigating tech narratives. We apply this methodology to trace a narrative promoting the benefits of artificial intelligence (AI) in the Swedish public sector back to its source, an emerging government AI policy program. Our analysis reveals a hybridization of economic and political interests, as well as a recognized ignorance reflected in the lack of scrutiny of highly uncertain calculations. By presenting this two-step methodology for tracing and critically examining tech narratives, this paper makes a methodological contribution. In applying this approach, we also provide empirical insights into how tech narratives facilitate the materialization of technological infrastructures. • Emerging technologies are frequently accompanied by optimistic narratives in policy, media, and academic literature. • Th</w:t>
      </w:r>
    </w:p>
    <w:p>
      <w:pPr/>
      <w:r>
        <w:rPr>
          <w:b/>
        </w:rPr>
        <w:t>POSSIBLE 2025:</w:t>
      </w:r>
      <w:r>
        <w:t xml:space="preserve"> Patterns of Emotionalisation in Policy Narratives — https://openalex.org/W7111620421</w:t>
      </w:r>
    </w:p>
    <w:p>
      <w:pPr/>
      <w:r>
        <w:rPr>
          <w:b/>
        </w:rPr>
        <w:t>Shared claim-specific concepts:</w:t>
      </w:r>
      <w:r>
        <w:t xml:space="preserve"> narratives, narrative, opposing; EU scope visible. This is a provisional connection, not an outcome finding.</w:t>
      </w:r>
    </w:p>
    <w:p>
      <w:pPr>
        <w:pStyle w:val="SourceNote"/>
      </w:pPr>
      <w:r>
        <w:rPr>
          <w:b/>
        </w:rPr>
        <w:t>Available abstract (not full text):</w:t>
      </w:r>
      <w:r>
        <w:t xml:space="preserve"> We empirically explore the drive towards emotionalisation in policy narratives in a highly technical, yet polarised, policy debate: the Farm to Fork strategy (F2F) of the EU.We do so by leveraging the Narrative Policy Framework (NPF) and applying it to the official statements of the Hungarian Government (opposing F2F).We first develop expectations drawing on the literature.For example, we expect correlations between NPF categories and emotions.The villain should be associated with anger and fear, the victim with compassion-empathy, the hero with pride.The plot can have different emotional associations.The doomsday should be discursively represented to elicit fear.Next, we built a corpus of 53 narratives decomposed into 794 sentences.This corpus is coded first at the level of NPF categories, then for the presence-absence of emotions and, when present, the exact type of emotion.Human coding is benchmarked against a large language model developed in the MORES project.We find that Hungary articulates its F2F position with emotional narratives bereft of empirical substance.When it is politically feasible, Hungary goes for rhetorical entrapment, asking the Commission to account for the lack of evidence-based tests and impact studies.The association NPF category-emotion works well, especially at the level of characters like the hero, the victim, and the villain.Our findings contribute</w:t>
      </w:r>
    </w:p>
    <w:p>
      <w:pPr/>
      <w:r>
        <w:rPr>
          <w:b/>
        </w:rPr>
        <w:t>POSSIBLE 2025:</w:t>
      </w:r>
      <w:r>
        <w:t xml:space="preserve"> The Plastic Excise Policy Debate in Indonesia: A Narrative Policy Analysis ApproachThe Plastic Excise Policy Debate in Indonesia: A Narrative Policy Analysis Approach — https://doi.org/10.51505/ijebmr.2025.9523</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The plastic excise policy in Indonesia has been a subject of debate since its proposal was submitted in 2016. This policy aims to reduce single-use plastic consumption and address the growing plastic waste problem. However, there are significant differences in opinion regarding its effectiveness and impact. This study uses Narrative Policy Analysis (NPA) to explore the policy’s narratives and counter-narratives articulated by policy actors, industry stakeholders, and the public. Using a post-positivist framework, this study analyzes the construction and framing of policy through discourse. Data were collected via media content analysis and document study, focusing on news articles and government publications from trusted sources between 2016 and 2025. The analysis identifies the dominant narrative supporting the policy, particularly from the Ministry of Finance, and the counter-narratives from the Ministry of Industry and various industry associations. Findings suggest that although the policy has strong support from civil society and environmental organizations, it faces opposition due to concerns about its impact on production costs and industry competitiveness. To resolve the tensions between these narratives, the study recommends a more inclusive policy development process and the integration of the plastic excise policy with a broader waste management strategy.</w:t>
      </w:r>
    </w:p>
    <w:p>
      <w:pPr/>
      <w:r>
        <w:rPr>
          <w:b/>
        </w:rPr>
        <w:t>POSSIBLE 2025:</w:t>
      </w:r>
      <w:r>
        <w:t xml:space="preserve"> The policy narrative of the outsourcing system in Indonesia — https://doi.org/10.22146/jkap.97330</w:t>
      </w:r>
    </w:p>
    <w:p>
      <w:pPr/>
      <w:r>
        <w:rPr>
          <w:b/>
        </w:rPr>
        <w:t>Shared claim-specific concepts:</w:t>
      </w:r>
      <w:r>
        <w:t xml:space="preserve"> stakeholders, implementation, narrative; EU scope not established. This is a provisional connection, not an outcome finding.</w:t>
      </w:r>
    </w:p>
    <w:p>
      <w:pPr>
        <w:pStyle w:val="SourceNote"/>
      </w:pPr>
      <w:r>
        <w:rPr>
          <w:b/>
        </w:rPr>
        <w:t>Available abstract (not full text):</w:t>
      </w:r>
      <w:r>
        <w:t xml:space="preserve"> Law No. 6/2023, which ratifies Government Regulation in Lieu of Law No. 2/2022 on Job Creation, defines outsourcing as the delegation of part of work implementation to other companies through a written outsourcing agreement. This study aims to analyze the narrative structure of Indonesia’s outsourcing policy using the Narrative Policy Framework (NPF), focusing on key elements such as characters (heroes, villains, and victims), setting, plot, and moral of the story. A total of 132 news articles were randomly selected using the keyword “outsourcing” from online sources between November 2, 2020, and December 31, 2023. The data were analyzed using the Discourse Network Analysis (DNA) application. The resulting narrative portrays both workers and outsourcing companies as victims, while the government, outsourcing companies, and service user companies appear both as villains and heroes. The setting includes various regions in Indonesia and covers aspects of job creation and enhancement, workers’ income and welfare, internal company policies, and human resource management. The narrative plot highlights employment policies, associated challenges, and governance of labor regulations. The moral of the story emphasizes the need for effective labor regulations, strict enforcement of employment policies and laws, ongoing policy evaluation, and robust worker protection mechanisms. To foster </w:t>
      </w:r>
    </w:p>
    <w:p>
      <w:pPr/>
      <w:r>
        <w:rPr>
          <w:b/>
        </w:rPr>
        <w:t>POSSIBLE 2024:</w:t>
      </w:r>
      <w:r>
        <w:t xml:space="preserve"> Cultural policy in translation: Performative concepts, narratives, and knowledge — https://openalex.org/W7165823969</w:t>
      </w:r>
    </w:p>
    <w:p>
      <w:pPr/>
      <w:r>
        <w:rPr>
          <w:b/>
        </w:rPr>
        <w:t>Shared claim-specific concepts:</w:t>
      </w:r>
      <w:r>
        <w:t xml:space="preserve"> narratives, performative; EU scope not established. This is a provisional connection, not an outcome finding.</w:t>
      </w:r>
    </w:p>
    <w:p>
      <w:pPr>
        <w:pStyle w:val="SourceNote"/>
      </w:pPr>
      <w:r>
        <w:rPr>
          <w:b/>
        </w:rPr>
        <w:t>Available abstract (not full text):</w:t>
      </w:r>
      <w:r>
        <w:t xml:space="preserve"> © 2024 Thuy Thi Thu Tran</w:t>
      </w:r>
    </w:p>
    <w:p>
      <w:pPr/>
      <w:r>
        <w:rPr>
          <w:b/>
        </w:rPr>
        <w:t>POSSIBLE 2024:</w:t>
      </w:r>
      <w:r>
        <w:t xml:space="preserve"> Exploring the eternal struggle: The Narrative Policy Framework and status quo versus policy change — https://doi.org/10.1007/s11077-024-09537-6</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Abstract This article proposes an integration of the Narrative Policy Framework (NPF) with prospect theory to investigate how the status quo and policy change are recounted in public debates. By integrating insights from prospect theory into the Narrative Policy Framework (NPF), we investigate narratives in the policy domain of farm animal welfare, which is characterized by a strong polarization of actor coalitions. We compare public debates in France and Germany between 2020 and 2021. Our analysis shows that the NPF’s analytical strength is enhanced by integrating the distinction between status quo and policy change in narrative elements. This distinction enables further empirical nuancing of actors’ narrative communication, and in combination with insights from prospect theory, it allows for new conjectures about actors’ use of narrative strategies such as the devil shift and the angel shift. In addition to the theoretical contribution, we shed light on debates surrounding farm animal welfare in Western Europe: Both animal welfare and agricultural coalitions are unsatisfied with the status quo, but they promote policy change of different kinds.</w:t>
      </w:r>
    </w:p>
    <w:p>
      <w:pPr/>
      <w:r>
        <w:rPr>
          <w:b/>
        </w:rPr>
        <w:t>POSSIBLE 2024:</w:t>
      </w:r>
      <w:r>
        <w:t xml:space="preserve"> An Exploration of Refugee Policy Using Social Construction Theory and the Narrative Policy Framework — https://doi.org/10.18122/td.2282.boisestate</w:t>
      </w:r>
    </w:p>
    <w:p>
      <w:pPr/>
      <w:r>
        <w:rPr>
          <w:b/>
        </w:rPr>
        <w:t>Shared claim-specific concepts:</w:t>
      </w:r>
      <w:r>
        <w:t xml:space="preserve"> narratives, narrative, two; EU scope not established. This is a provisional connection, not an outcome finding.</w:t>
      </w:r>
    </w:p>
    <w:p>
      <w:pPr>
        <w:pStyle w:val="SourceNote"/>
      </w:pPr>
      <w:r>
        <w:rPr>
          <w:b/>
        </w:rPr>
        <w:t>Available abstract (not full text):</w:t>
      </w:r>
      <w:r>
        <w:t xml:space="preserve"> Social Construction Theory and Narrative Policy Framework are cohesive products to assess policymaking by examining social construction variables and the formation of narratives. Although I use each independently and together, using them in conjunction helps to ascertain the difference between what someone does and says. Often, there is a substantive disconnect between the two. As with many policy arenas, interest in refugee policy has ebbed and flowed over the past ten years as the United States fluctuates from Democrat to Republican and back to Democrat administrations. Various administrations, media outlets, and separate communities often portray refugees differently; some favorably toward refugees, and some do so negatively. Using Social Construction Theory and Narrative Policy Framework, I explore how various entities or individuals verbally portray their interpretation of the refugee population’s deservedness compared to their actions or lack thereof in refugee policy. Using the three-essay dissertation model, I evaluate what changed since the completion of a similar dissertation in 2017 exploring refugee policy; I assess what policymakers say about refugee policy, how a federal administration’s refugee narrative possibly influenced a state leader’s narrative, and the treatment and portrayal of the refugee population and the policymakers influencing refugee policy in Bois</w:t>
      </w:r>
    </w:p>
    <w:p>
      <w:pPr>
        <w:pStyle w:val="Heading2"/>
      </w:pPr>
      <w:r>
        <w:t>566.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r>
        <w:rPr>
          <w:b/>
        </w:rPr>
        <w:t>POSSIBLE 2025:</w:t>
      </w:r>
      <w:r>
        <w:t xml:space="preserve"> Quantitative Indicators for Open Research Data: National Monitoring and Development Challenges — https://doi.org/10.6084/m9.figshare.30751973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presentation explores the current and proposed quantitative indicators for research data in the national monitoring and their development process. It reviews the discussion in the National Open Science and Research Steering Group and assesses the maturity and suitability of these indicators for evaluating the advancement of the policy component on open access to research data.The Declaration for Open Science and Research (2025–2030) and the supporting policies guide Finland’s open science efforts. The development is assessed with the national monitoring model that tracks progress against objectives and actions related to the culture for open scholarship, research data, methods and infrastructures, publishing, and education. Assessment is divided into four ways of promoting: policy documents, services, collaboration and outputs. Monitoring draws on data from the Finnish Research Information Hub, complemented by a survey addressed to research performing organisations. The survey gathers information especially on the policy documents, services and collaboration.The model allows for the introduction of new indicators as national and international data sources evolve.Quantitative indicators for research data are a major challenge in the monitoring model. These indicators remain underdeveloped. There is a lack of reliable and comprehensive data sources for this information. None</w:t>
      </w:r>
    </w:p>
    <w:p>
      <w:pPr/>
      <w:r>
        <w:rPr>
          <w:b/>
        </w:rPr>
        <w:t>POSSIBLE 2024:</w:t>
      </w:r>
      <w:r>
        <w:t xml:space="preserve"> European Youth Work Developments and Challenges—A Meta-Synthesis — https://doi.org/10.3390/youth4030075</w:t>
      </w:r>
    </w:p>
    <w:p>
      <w:pPr/>
      <w:r>
        <w:rPr>
          <w:b/>
        </w:rPr>
        <w:t>Shared claim-specific concepts:</w:t>
      </w:r>
      <w:r>
        <w:t xml:space="preserve"> challenges, developments, national, activity; EU scope visible. This is a provisional connection, not an outcome finding.</w:t>
      </w:r>
    </w:p>
    <w:p>
      <w:pPr>
        <w:pStyle w:val="SourceNote"/>
      </w:pPr>
      <w:r>
        <w:rPr>
          <w:b/>
        </w:rPr>
        <w:t>Available abstract (not full text):</w:t>
      </w:r>
      <w:r>
        <w:t xml:space="preserve"> Youth work has become a well-developed European field of activity in terms of structure and content, not at least since the adoption of the European Youth Work Agenda (2020). Through a meta-synthesis of three structural studies on youth work in Europe, this article provides three main considerations. Firstly, the article makes an analytical distinction between European youth work and youth work in Europe, thus clarifying the general concept of “youth work”. Secondly, this analytical distinction helps to systematise and classify the topics being dealt with by actors in the field of youth work: youth work as a European framework (role of European documents; transfer between levels; youth work in times of crises), youth work development at the national, regional and local level (youth work legal framework; funding; recognition, quality and professionalisation; innovations), and the multi-dimensional challenges of shrinking spaces for both young people and youth work (youth work as an independent field of action; shortage of skilled labour; austerity measures; young people moving away; rise of extremism). Thirdly, the discursive openings the different concepts and narratives of youth work can offer are outlined. In this way, the article hopes to contribute to the (further) development of youth work theory in Europe.</w:t>
      </w:r>
    </w:p>
    <w:p>
      <w:pPr/>
      <w:r>
        <w:rPr>
          <w:b/>
        </w:rPr>
        <w:t>POSSIBLE 2024:</w:t>
      </w:r>
      <w:r>
        <w:t xml:space="preserve"> DEVELOPMENTS AND CHALLENGES REGARDING THE EUROPEAN CAPITAL MARKETS INTEGRATION PROJECT — https://doi.org/10.55654/jfs.2024.9.16.13</w:t>
      </w:r>
    </w:p>
    <w:p>
      <w:pPr/>
      <w:r>
        <w:rPr>
          <w:b/>
        </w:rPr>
        <w:t>Shared claim-specific concepts:</w:t>
      </w:r>
      <w:r>
        <w:t xml:space="preserve"> challenges, developments, progress, national; EU scope visible. This is a provisional connection, not an outcome finding.</w:t>
      </w:r>
    </w:p>
    <w:p>
      <w:pPr>
        <w:pStyle w:val="SourceNote"/>
      </w:pPr>
      <w:r>
        <w:rPr>
          <w:b/>
        </w:rPr>
        <w:t>Available abstract (not full text):</w:t>
      </w:r>
      <w:r>
        <w:t xml:space="preserve"> The concept of a Capital Market Union exerts significant influence over debates within the European Union. Achieving a Capital Market Union is seen as a means of fostering deeper integration, promoting economic growth, and encouraging sustainable investments. This paper explores the status of the project regarding the Capital Market Union, focusing on key developments, challenges, and potential impacts on the financial system of the European Union. The evidence presented emphasize the role of the Capital Market Union in providing alternative financing channels, reducing fragmentation, and diversifying investment opportunities within the European Union. Although progress was made, the Capital Market Union faces a multitude of challenges that affect its efficiency and sustainability. These include regulatory barriers, divergent national practices, geopolitical uncertainties, and the impact of COVID-19 on market dynamics. Furthermore, the potential impact of a fully accomplished Capital Market Union is considered, including its effects on economic stability, risk management, and the global competitiveness of the European Union. The analysis also addresses implications for market participants, investors, regulatory authorities, and the broader socio-economic context within the European Union. Ultimately, the paper underscores the importance of the Capital Market Union as an acceler</w:t>
      </w:r>
    </w:p>
    <w:p>
      <w:pPr/>
      <w:r>
        <w:rPr>
          <w:b/>
        </w:rPr>
        <w:t>POSSIBLE 2024:</w:t>
      </w:r>
      <w:r>
        <w:t xml:space="preserve"> The challenger advantage – how challenger parties disrupt mainstream party dominance in the European Parliament — https://doi.org/10.1080/13501763.2024.2391510</w:t>
      </w:r>
    </w:p>
    <w:p>
      <w:pPr/>
      <w:r>
        <w:rPr>
          <w:b/>
        </w:rPr>
        <w:t>Shared claim-specific concepts:</w:t>
      </w:r>
      <w:r>
        <w:t xml:space="preserve"> developments, responses; EU scope visible. This is a provisional connection, not an outcome finding.</w:t>
      </w:r>
    </w:p>
    <w:p>
      <w:pPr>
        <w:pStyle w:val="SourceNote"/>
      </w:pPr>
      <w:r>
        <w:rPr>
          <w:b/>
        </w:rPr>
        <w:t>Available abstract (not full text):</w:t>
      </w:r>
      <w:r>
        <w:t xml:space="preserve"> Under what conditions can challenger parties disrupt mainstream party dominance in democratic institutions? While extant work describes the cultural and economic developments that benefit challengers and parties’ programmatic responses to these, I demonstrate when and how challengers exploit these conditions in their political communication. Theoretically, I posit that challenger parties have relatively stronger vote-seeking incentives than mainstream parties. These collective incentives affect individual parliamentarians’ cost–benefit calculations. Challenger parliamentarians will engage in anti-establishment rhetoric and issue-entrepreneurship when these signals are more likely to reach the voting public and pay-off electorally. I test this theory by analysing parliamentary debates from the European Parliament (1999–2016) through a novel combination of word embeddings and bespoke dictionaries. I find that challenger parties indeed pursue different communication strategies than mainstream parties. Challenger parliamentarians engage in anti-establishment rhetoric in the run-up to elections and issue-entrepreneurship during crises. This is because these factors make speeches more likely to be transmitted to voters. These results demonstrate that challengers adjust their political communication in opportune moments giving them a competitive advantage over less flexible mainstream</w:t>
      </w:r>
    </w:p>
    <w:p>
      <w:pPr/>
      <w:r>
        <w:rPr>
          <w:b/>
        </w:rPr>
        <w:t>POSSIBLE 2024:</w:t>
      </w:r>
      <w:r>
        <w:t xml:space="preserve"> Globalisation Challenges in the Development of Ukraine's National Information Policy — https://doi.org/10.57239/pjlss-2024-22.2.00778</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study aims to identify the main directions for creating and implementing a comprehensive, adaptive, and practical information policy that meets modern challenges and threats, strengthens national security, ensures stable economic development, and promotes social progress.Research methods: analysis of scientific publications and legal acts, economic system and scenario analysis.The leading positions of the legal framework for forming Ukraine's information policy at the current stage of development have been determined.The functional focus of national programmes and initiatives to improve media literacy among the population in Ukraine has been outlined.Ukraine's place in the global and European information space has been analysed according to social progress indicators, information, and communications development in 2023.The development of e-commerce in Ukraine from 2018 to 2021 has been highlighted.The main aspects of the information war in Ukraine under current socio-economic and geopolitical conditions have been summarised.The main directions of the information policy development strategy for ensuring adequate protection of Ukraine's information space have been formulated.Alternative scenarios for developing Ukraine's information policy for 2025-2030 have been presented.</w:t>
      </w:r>
    </w:p>
    <w:p>
      <w:pPr/>
      <w:r>
        <w:rPr>
          <w:b/>
        </w:rPr>
        <w:t>POSSIBLE 2024:</w:t>
      </w:r>
      <w:r>
        <w:t xml:space="preserve"> Therapeutic proteins: developments, progress, challenges, and future perspectives — https://doi.org/10.1007/s13205-024-03958-z</w:t>
      </w:r>
    </w:p>
    <w:p>
      <w:pPr/>
      <w:r>
        <w:rPr>
          <w:b/>
        </w:rPr>
        <w:t>Shared claim-specific concepts:</w:t>
      </w:r>
      <w:r>
        <w:t xml:space="preserve"> challenges, developments, progress;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Sea Level Rise in Europe: Governance context and challenges — https://doi.org/10.5194/sp-3-slre1-7-2024</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Abstract. Sea-level rise (SLR) will affect Europe’s coasts over the coming decades and beyond giving rise to challenges for governing coastal and marine areas. Progress is being made in adapting to and addressing these challenges at both national and sub-national levels across all major European sea basins. This chapter assesses progress in coastal adaptation governance in Europe by, first, characterizing the socio-economic and political contexts in European sea basins, and then reviewing coastal adaptation relevant policy frameworks in place at regional and national levels within each of these sea basins. Regional frameworks reviewed consist in Regional Sea Conventions and are assessed for their legal status and their inclusion of SLR information. National coastal policy frameworks reviewed include national adaptation plans focusing on coastal areas and marine spatial planning instruments for all European member states, as well as public financing arrangements for coastal adaptation, focusing on flood risk reduction measures. Key national policies for coastal adaptation are assessed for which coastal hazards they address, the extent to which they incorporate sea-level rise information, and their inclusion of SLR specific adaptation measures. Finally, the chapter presents governance challenges that arise due to the complexity of adaptation to SLR, i.e., time horizon and uncerta</w:t>
      </w:r>
    </w:p>
    <w:p>
      <w:pPr>
        <w:pStyle w:val="Heading2"/>
      </w:pPr>
      <w:r>
        <w:t>567.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2024:</w:t>
      </w:r>
      <w:r>
        <w:t xml:space="preserve"> An in-depth multivariate analysis of PM2.5 concentration and associated premature deaths in Europe and its strategic relationship with sustainability — https://doi.org/10.1016/j.acags.2024.100184</w:t>
      </w:r>
    </w:p>
    <w:p>
      <w:pPr/>
      <w:r>
        <w:rPr>
          <w:b/>
        </w:rPr>
        <w:t>Shared claim-specific concepts:</w:t>
      </w:r>
      <w:r>
        <w:t xml:space="preserve"> strategic, identifying, goals; EU scope visible. This is a provisional connection, not an outcome finding.</w:t>
      </w:r>
    </w:p>
    <w:p>
      <w:pPr>
        <w:pStyle w:val="SourceNote"/>
      </w:pPr>
      <w:r>
        <w:rPr>
          <w:b/>
        </w:rPr>
        <w:t>Available abstract (not full text):</w:t>
      </w:r>
      <w:r>
        <w:t xml:space="preserve"> The strategic importance of sustainability is evident when it comes, for example, to health. Public policies aimed at mitigating the effects of harmful substances, such as fine particulate matter (PM 2.5), are justified by the direct link between fine particulate matter and the health of citizens, in this case, premature deaths. An advanced statistical and exhaustive analysis of different areas and countries shows a strong link between exposure to PM2.5, premature deaths in other countries, and significant differences in PM2.5 levels between urban and rural areas. Although PM2.5 concentration has decreased in most countries studied, this effort must be continued and aligned with the Sustainable Development Goals of the 2030 Agenda, underlining the need to implement effective air pollution control policies to reduce the health risks associated with PM2.5 exposure. To this end, identifying temporal trends and geographical patterns can guide the development of specific interventions tailored to the needs of each region.</w:t>
      </w:r>
    </w:p>
    <w:p>
      <w:pPr>
        <w:pStyle w:val="Heading2"/>
      </w:pPr>
      <w:r>
        <w:t>568.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2024:</w:t>
      </w:r>
      <w:r>
        <w:t xml:space="preserve"> Exploring European decarbonisation pathways in the Power Decisions Game — https://doi.org/10.1186/s13705-024-00469-w</w:t>
      </w:r>
    </w:p>
    <w:p>
      <w:pPr/>
      <w:r>
        <w:rPr>
          <w:b/>
        </w:rPr>
        <w:t>Shared claim-specific concepts:</w:t>
      </w:r>
      <w:r>
        <w:t xml:space="preserve"> pathways, climate, used;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2023:</w:t>
      </w:r>
      <w:r>
        <w:t xml:space="preserve"> Critical Heritage Studies and the Futures of Europe — https://doi.org/10.14324/111.9781800083936</w:t>
      </w:r>
    </w:p>
    <w:p>
      <w:pPr/>
      <w:r>
        <w:rPr>
          <w:b/>
        </w:rPr>
        <w:t>Shared claim-specific concepts:</w:t>
      </w:r>
      <w:r>
        <w:t xml:space="preserve"> presents, series, urban, climate, used; EU scope visible. This is a provisional connection, not an outcome finding.</w:t>
      </w:r>
    </w:p>
    <w:p>
      <w:pPr>
        <w:pStyle w:val="SourceNote"/>
      </w:pPr>
      <w:r>
        <w:rPr>
          <w:b/>
        </w:rPr>
        <w:t>Available abstract (not full text):</w:t>
      </w:r>
      <w:r>
        <w:t xml:space="preserve"> Cultural and natural heritage are central to ‘Europe’ and ‘the European project’. They were bound up in the emergence of nation-states in the eighteenth and nineteenth centuries, where they were used to justify differences over which border conflicts were fought. Later, the idea of a ‘common European heritage’ provided a rationale for the development of the European Union. Now, the emergence of ‘new’ populist nationalisms shows how the imagined past continues to play a role in cultural and social governance, while a series of interlinked social and ecological crises are changing the ways that heritage operates. New discourses and ontologies are emerging to reconfigure heritage for the circumstances of the present and the uncertainties of the future. Taking the current role of heritage in Europe as its starting point, Critical Heritage Studies and the Futures of Europe presents a number of case studies that explore key themes in this transformation. Contributors draw on a range of disciplinary perspectives to consider, variously, the role of heritage and museums in the migration and climate ‘emergencies’; approaches to urban heritage conservation and practices of curating cities; digital and digitised heritage; the use of heritage as a therapeutic resource; and critical approaches to heritage and its management. Taken together, the chapters explore the multiple ontologies throug</w:t>
      </w:r>
    </w:p>
    <w:p>
      <w:pPr/>
      <w:r>
        <w:rPr>
          <w:b/>
        </w:rPr>
        <w:t>POSSIBLE 2022:</w:t>
      </w:r>
      <w:r>
        <w:t xml:space="preserve"> European Security — https://doi.org/10.5771/9783748936459</w:t>
      </w:r>
    </w:p>
    <w:p>
      <w:pPr/>
      <w:r>
        <w:rPr>
          <w:b/>
        </w:rPr>
        <w:t>Shared claim-specific concepts:</w:t>
      </w:r>
      <w:r>
        <w:t xml:space="preserve"> presents, series, order; EU scope visible. This is a provisional connection, not an outcome finding.</w:t>
      </w:r>
    </w:p>
    <w:p>
      <w:pPr>
        <w:pStyle w:val="SourceNote"/>
      </w:pPr>
      <w:r>
        <w:rPr>
          <w:b/>
        </w:rPr>
        <w:t>Available abstract (not full text):</w:t>
      </w:r>
      <w:r>
        <w:t xml:space="preserve"> War with all its horrors has returned to the continent. Russia, with her war against Ukraine, has turned the entire post-war order upside down and triggered another crisis for Europe. Geopolitics must be based on a clear vision of a desired state, an assessment of the environment and an honest analysis of one’s own capabilities and means. The (geo)political decision must explore all legal boundaries to put aggressors permanently in their place. The EU has experienced a series of crises since 2008. Only a ‚sine ira et studio‘ approach will overcome this permanent crisis. This book presents the geopolitical options for security, foreign and economic policy, and strategic decisions.</w:t>
      </w:r>
    </w:p>
    <w:p>
      <w:pPr/>
      <w:r>
        <w:rPr>
          <w:b/>
        </w:rPr>
        <w:t>POSSIBLE 2022:</w:t>
      </w:r>
      <w:r>
        <w:t xml:space="preserve"> Greening Europe — https://openalex.org/W7137726371</w:t>
      </w:r>
    </w:p>
    <w:p>
      <w:pPr/>
      <w:r>
        <w:rPr>
          <w:b/>
        </w:rPr>
        <w:t>Shared claim-specific concepts:</w:t>
      </w:r>
      <w:r>
        <w:t xml:space="preserve"> presents, series; EU scope visible. This is a provisional connection, not an outcome finding.</w:t>
      </w:r>
    </w:p>
    <w:p>
      <w:pPr>
        <w:pStyle w:val="SourceNote"/>
      </w:pPr>
      <w:r>
        <w:rPr>
          <w:b/>
        </w:rPr>
        <w:t>Available abstract (not full text):</w:t>
      </w:r>
      <w:r>
        <w:t xml:space="preserve"> The third installment of the ‘European Public Investment Outlook’ series is an important and timely publication that draws together recent analyses to recommend significant increases in public investment in green ventures. Compelling data from key economists affiliated with international organizations like the International Monetary Fund, European Investment Bank and the European Commission, as well as academic departments and policy institutes are a clarion call for green investment to boost the economy and put the planet on a sustainable path. Like its predecessors, the book presents the issues in a lucid and navigable manner. Part I explores the EU’s current levels of green public investment, as well as the challenges ahead in achieving net zero carbon emissions after years of decreasing funding and the obstacles presented by the COVID-19 pandemic and the Russian invasion of Ukraine. The public investment trends of France, Germany, Italy and Spain are systematically evaluated, as well as the REPowerEU policy – accelerated in Spring 2022 – to move away from Russia’s supply of fossil fuels. Part II focuses on the investment needed for green transition; the important economic and fiscal effects and benefits this would bring; and the reality of what is required before 2030 to achieve the EU’s carbon-neutral targets by 2050. Greening Europe is essential reading for economists, en</w:t>
      </w:r>
    </w:p>
    <w:p>
      <w:pPr/>
      <w:r>
        <w:rPr>
          <w:b/>
        </w:rPr>
        <w:t>POSSIBLE 2022:</w:t>
      </w:r>
      <w:r>
        <w:t xml:space="preserve"> European journal of science archives conferences series — https://doi.org/10.5281/zenodo.6481391</w:t>
      </w:r>
    </w:p>
    <w:p>
      <w:pPr/>
      <w:r>
        <w:rPr>
          <w:b/>
        </w:rPr>
        <w:t>Shared claim-specific concepts:</w:t>
      </w:r>
      <w:r>
        <w:t xml:space="preserve"> series, provide, order, used; EU scope visible. This is a provisional connection, not an outcome finding.</w:t>
      </w:r>
    </w:p>
    <w:p>
      <w:pPr>
        <w:pStyle w:val="SourceNote"/>
      </w:pPr>
      <w:r>
        <w:rPr>
          <w:b/>
        </w:rPr>
        <w:t>Available abstract (not full text):</w:t>
      </w:r>
      <w:r>
        <w:t xml:space="preserve"> Institute for Scientific Research and Publication\n\n&amp;\n\nResearch and Publishing Center virtualconferences. press\n\n \n\nEuropean journal of science archives conferences series/ Konferenzreihe der europäischen Zeitschrift für Wissenschaftsarchive\n\nInternet address: http://ifsrp.edu.ge/\n\nE-mail: info@ifsrp.edu.ge/\n\nPublished by Institute for Scientific Research and Publication &amp; Research and Publishing Center virtualconferences. press\n\nIssued monthly\n\nDOI https://doi.org/10.5281/zenodo.6481360\n\nHausarztzentrum Aachen-Forst Trierer Str. 67, 52078 Aachener, Germany\n\n \n\nRequirements for the authors.\n\nThe manuscript authors must provide reliable results of the work done, as well as an\n\nobjective judgment on the significance of the study. The data underlying the work should\n\nbe presented accurately, without errors. The work should contain enough details and bibliographic references for possible reproduction. False or knowingly erroneous statements\n\nare perceived as unethical behavior and unacceptable.\n\nAuthors should make sure that the original work is submitted and, if other authors' works or claims are used, provide appropriate bibliographic references or citations. Plagiarism\n\ncan exist in many forms - from representing someone else’s work as copyright to copying or paraphrasing significant parts of another’s work without attribution, as well as claim</w:t>
      </w:r>
    </w:p>
    <w:p>
      <w:pPr>
        <w:pStyle w:val="Heading2"/>
      </w:pPr>
      <w:r>
        <w:t>569.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pStyle w:val="Heading2"/>
      </w:pPr>
      <w:r>
        <w:t>570.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2025:</w:t>
      </w:r>
      <w:r>
        <w:t xml:space="preserve"> The future of EU tax policy harmonisation: Cost of non-Europe report — https://doi.org/10.2861/8675836</w:t>
      </w:r>
    </w:p>
    <w:p>
      <w:pPr/>
      <w:r>
        <w:rPr>
          <w:b/>
        </w:rPr>
        <w:t>Shared claim-specific concepts:</w:t>
      </w:r>
      <w:r>
        <w:t xml:space="preserve"> agreement, commission, council; EU scope visible. This is a provisional connection, not an outcome finding.</w:t>
      </w:r>
    </w:p>
    <w:p>
      <w:pPr>
        <w:pStyle w:val="SourceNote"/>
      </w:pPr>
      <w:r>
        <w:rPr>
          <w:b/>
        </w:rPr>
        <w:t>Available abstract (not full text):</w:t>
      </w:r>
      <w:r>
        <w:t xml:space="preserve"> tax rules but also from inconsistent administrative procedures, digitalisation gaps and duplicated requirements across jurisdictions.In this context, the fragmentation of national tax regimes undermines the EU's capacity to uphold fair competition, ensure fiscal sustainability and deliver on its strategic objectives.It weakens the collective ability to address cross-border tax evasion, enforce equitable taxation of digital and intangible assets and respond to global developments such as the OECD/G20 minimum corporate tax agreement.Moreover, the rising demand for a more competitive, socially cohesive and strategically autonomous Europe -as underscored in the Letta and Draghi reports 2 -places renewed emphasis on the need for coherence in tax policy.From the perspective of European integration, a more coordinated tax framework is thus essential to support the smooth functioning of the internal market.Fragmentation in tax rules could act as a de facto barrier to investment, 3 labour mobility, 4 and cross-border services, 5 eroding the core economic freedoms of the Union.6 It also contributes to legal uncertainty, as recent State aid investigations and rulings by the Court of Justice of the European Union (e.g. in the Apple and Amazon cases) have shown, 7 potentially deterring both investors and Member States from pursuing optimal tax strategies.While full harmonisation may remain </w:t>
      </w:r>
    </w:p>
    <w:p>
      <w:pPr/>
      <w:r>
        <w:rPr>
          <w:b/>
        </w:rPr>
        <w:t>POSSIBLE 2024:</w:t>
      </w:r>
      <w:r>
        <w:t xml:space="preserve"> From Policy to Practice: Upper Bound Cost Estimates of Europes Green Hydrogen Ambitions — https://doi.org/10.48550/arxiv.2406.07149</w:t>
      </w:r>
    </w:p>
    <w:p>
      <w:pPr/>
      <w:r>
        <w:rPr>
          <w:b/>
        </w:rPr>
        <w:t>Shared claim-specific concepts:</w:t>
      </w:r>
      <w:r>
        <w:t xml:space="preserve"> increase, commission; EU scope visible. This is a provisional connection, not an outcome finding.</w:t>
      </w:r>
    </w:p>
    <w:p>
      <w:pPr>
        <w:pStyle w:val="SourceNote"/>
      </w:pPr>
      <w:r>
        <w:rPr>
          <w:b/>
        </w:rPr>
        <w:t>Available abstract (not full text):</w:t>
      </w:r>
      <w:r>
        <w:t xml:space="preserve"> As the European countries strive to meet their ambitious climate goals, renewable hydrogen has emerged to aid in decarbonizing energy-intensive sectors and support the overall energy transition. To ensure that hydrogen production aligns with these goals, the European Commission has introduced criteria for additionality, temporal correlation, and geographical correlation. These criteria are designed to ensure that hydrogen production from renewable sources supports the growth of renewable energy. This study assesses the impact of these criteria on green hydrogen production, focusing on production costs and technology impacts. The European energy market is simulated up to 2048 using stochastic programming, applying these requirements exclusively to green hydrogen production without the phased-in compliance period outlined in the EU regulations. The findings show that meeting the criteria will increase expected system costs by 82 billion euro from 2024 to 2048, largely due to the rapid shift from fossil fuels to renewable energy. The additionality requirement, which mandates the use of new renewable energy installations for electrolysis, proves to be the most expensive, but also the most effective in accelerating renewable energy adoption.</w:t>
      </w:r>
    </w:p>
    <w:p>
      <w:pPr/>
      <w:r>
        <w:rPr>
          <w:b/>
        </w:rPr>
        <w:t>POSSIBLE 2024:</w:t>
      </w:r>
      <w:r>
        <w:t xml:space="preserve"> Policy complexity and implementation performance in the European Union — https://doi.org/10.1111/rego.12580</w:t>
      </w:r>
    </w:p>
    <w:p>
      <w:pPr/>
      <w:r>
        <w:rPr>
          <w:b/>
        </w:rPr>
        <w:t>Shared claim-specific concepts:</w:t>
      </w:r>
      <w:r>
        <w:t xml:space="preserve"> between, commission; EU scope visible. This is a provisional connection, not an outcome finding.</w:t>
      </w:r>
    </w:p>
    <w:p>
      <w:pPr>
        <w:pStyle w:val="SourceNote"/>
      </w:pPr>
      <w:r>
        <w:rPr>
          <w:b/>
        </w:rPr>
        <w:t>Available abstract (not full text):</w:t>
      </w:r>
      <w:r>
        <w:t xml:space="preserve"> This study examines the relationship between the complexity of EU directives and their successful implementation at the national level. Moving beyond the state‐of‐the‐art, we propose a comprehensive framework considering structural, linguistic, and relational dimensions of policy complexity. We argue that policy complexity entails higher transaction costs, hindering effective implementation. Using a novel dataset covering roughly 1000 directives from 1994 to 2022, we find strong evidence of policy complexity negatively impacting implementation performance. Moreover, we find that states with higher administrative capacity are better able to process high complexity efficiently and that Eurosceptic member states attract fewer infringement proceedings in highly complex policy environments than Europhile member states. This could alternatively point to strategic enforcement behavior of the Commission or to bureaucracies that are less Eurosceptic than their political masters might wish for. Our study thereby contributes to a deeper understanding of the challenges of successful implementation of EU directives.</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increase, between;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Policy challenges for agroforestry implementation in Europe — https://doi.org/10.3389/ffgc.2023.1127601</w:t>
      </w:r>
    </w:p>
    <w:p>
      <w:pPr/>
      <w:r>
        <w:rPr>
          <w:b/>
        </w:rPr>
        <w:t>Shared claim-specific concepts:</w:t>
      </w:r>
      <w:r>
        <w:t xml:space="preserve"> increase, between; EU scope visible. This is a provisional connection, not an outcome finding.</w:t>
      </w:r>
    </w:p>
    <w:p>
      <w:pPr>
        <w:pStyle w:val="SourceNote"/>
      </w:pPr>
      <w:r>
        <w:rPr>
          <w:b/>
        </w:rPr>
        <w:t>Available abstract (not full text):</w:t>
      </w:r>
      <w:r>
        <w:t xml:space="preserve"> Agroforestry (AF) is a sustainable land use practice and system that increases the ecosystem services delivery from agricultural lands compared with treeless systems. Agroforestry can be considered a practice when linked to plot scale (silvoarable, silvopasture, homegarden, woody linear landscape strips, and forest farming), and a system when associated with the global farm scale. The enhancement of the ecosystem services is associated with the use and promotion of the biodiversity caused by the presence of trees that optimizes the use of the resources if adequate species are mixed. Agroforestry can be implemented at temporal and spatial scales. At the temporal scale, the use of woody perennials to increase soil fertility is a traditional technique that improves soil health and reduces the need of using herbicides (e.g., the legume Ulex sown for 10 years in between crop cultivation). Five agroforestry practices can be implemented at the plot level: silvopasture, silvoarable/alley cropping, homegardens/kitchengardens, woody linear landscape strips, and forest farming. A farm including these practices is considered an agroforestry system working at the landscape level when several farms are mixed. In spite of the acknowledgment that AF has at the European level for being included as part of Pillars I and II, the spread of AF is limited across Europe. Four challenges, linked with </w:t>
      </w:r>
    </w:p>
    <w:p>
      <w:pPr>
        <w:pStyle w:val="Heading2"/>
      </w:pPr>
      <w:r>
        <w:t>571.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2025:</w:t>
      </w:r>
      <w:r>
        <w:t xml:space="preserve"> Towards a harmonized operational earthquake forecasting model for Europe — https://doi.org/10.5194/nhess-25-991-2025</w:t>
      </w:r>
    </w:p>
    <w:p>
      <w:pPr/>
      <w:r>
        <w:rPr>
          <w:b/>
        </w:rPr>
        <w:t>Shared claim-specific concepts:</w:t>
      </w:r>
      <w:r>
        <w:t xml:space="preserve"> findings, highlight, not; EU scope visible. This is a provisional connection, not an outcome finding.</w:t>
      </w:r>
    </w:p>
    <w:p>
      <w:pPr>
        <w:pStyle w:val="SourceNote"/>
      </w:pPr>
      <w:r>
        <w:rPr>
          <w:b/>
        </w:rPr>
        <w:t>Available abstract (not full text):</w:t>
      </w:r>
      <w:r>
        <w:t xml:space="preserve"> Abstract. We develop a harmonized earthquake forecasting model for Europe based on the Epidemic-type Aftershock Sequence (ETAS) model to describe the spatio-temporal evolution of aftershock sequences. We propose a method modification that integrates information from the European Seismic Hazard Model (ESHM20) about the spatial variation of background seismicity during ETAS parameter inversion based on the expectation-maximization (EM) algorithm. Other modifications to the basic ETAS model are explored, namely fixing the productivity term to a higher value to balance the more productive triggering by high-magnitude events with their much rarer occurrence, and replacing the b-value estimate with one relying on the b-positive method to observe the possible effect of short-term incompleteness on model parameters. Retrospective and pseudo-prospective tests demonstrate that ETAS-based models outperform the time-independent benchmark model as well as an ETAS model calibrated on global data. The background-informed ETAS variant achieves the highest score in the pseudo-prospective experiment, but the performance difference to the second-best model is not significant. Our findings highlight promising areas for future exploration, such as avoiding the simplification of using a single b-value for the entire region or reevaluating the completeness of the used seismic catalogs.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findings, also, climate;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r>
        <w:rPr>
          <w:b/>
        </w:rPr>
        <w:t>POSSIBLE 2025:</w:t>
      </w:r>
      <w:r>
        <w:t xml:space="preserve"> Analysis of solar and wind energy utilisation in Europe and Africa — https://doi.org/10.70132/z8468559752</w:t>
      </w:r>
    </w:p>
    <w:p>
      <w:pPr/>
      <w:r>
        <w:rPr>
          <w:b/>
        </w:rPr>
        <w:t>Shared claim-specific concepts:</w:t>
      </w:r>
      <w:r>
        <w:t xml:space="preserve"> findings, highlight, achieving, policies, climate; EU scope visible. This is a provisional connection, not an outcome finding.</w:t>
      </w:r>
    </w:p>
    <w:p>
      <w:pPr>
        <w:pStyle w:val="SourceNote"/>
      </w:pPr>
      <w:r>
        <w:rPr>
          <w:b/>
        </w:rPr>
        <w:t>Available abstract (not full text):</w:t>
      </w:r>
      <w:r>
        <w:t xml:space="preserve"> The increasing reliance on renewable energy sources is essential for achieving global sustainability, with solar and wind energy playing pivotal roles in mitigating climate change and reducing dependency on fossil fuels.This study presents an in-depth comparative analysis of solar and wind energy utilisation in Europe and Africa, examining the key differences in resource availability, adoption rates, technological advancements, economic factors, and policy frameworks.Europe has made significant progress integrating renewable energy into its energy mix through comprehensive policies, substantial financial investments, and cutting-edge technological developments.In contrast, despite possessing immense renewable energy potential, particularly in solar energy, Africa faces considerable challenges, including inadequate infrastructure, limited funding, and inconsistent policy implementation.The findings highlight the barriers and opportunities for both regions and propose strategies to optimise renewable energy deployment, fostering sustainable development across diverse socio-economic contexts.</w:t>
      </w:r>
    </w:p>
    <w:p>
      <w:pPr/>
      <w:r>
        <w:rPr>
          <w:b/>
        </w:rPr>
        <w:t>POSSIBLE 2025:</w:t>
      </w:r>
      <w:r>
        <w:t xml:space="preserve"> Green Finance, Innovation, and Financial Markets: Shaping Industrial Resilience in China and Europe — https://doi.org/10.55991/j.rjef.94187</w:t>
      </w:r>
    </w:p>
    <w:p>
      <w:pPr/>
      <w:r>
        <w:rPr>
          <w:b/>
        </w:rPr>
        <w:t>Shared claim-specific concepts:</w:t>
      </w:r>
      <w:r>
        <w:t xml:space="preserve"> findings, highlight, achieving, also, support, green; EU scope visible. This is a provisional connection, not an outcome finding.</w:t>
      </w:r>
    </w:p>
    <w:p>
      <w:pPr>
        <w:pStyle w:val="SourceNote"/>
      </w:pPr>
      <w:r>
        <w:rPr>
          <w:b/>
        </w:rPr>
        <w:t>Available abstract (not full text):</w:t>
      </w:r>
      <w:r>
        <w:t xml:space="preserve"> This study examines the impact of green finance (GF), industrial innovation (II), and financial market dynamics (FMD) on industrial resilience (IR) in China and selected European industrialized nations. Panel data from 2003 to 2022 is utilized for empirical analysis. The study used FMOLS regression techniques to control for unobserved heterogeneity across countries. Similarly, GMM estimation is employed to address endogeneity concerns and validate the outcomes. This study proposes three empirical models for achieving its objectives. The models include a baseline model evaluating direct impacts, an interaction model investigating moderating connections, and a region-specific model comparing China with Europe. Findings reveal that GF, II, and FMD significantly enhance IR. Interaction effects indicate that the combined impact of GF and II, GF and FMD, and II and FMD also positively influence IR in the selected panel. Further examination of the regional comparisons reveals that while FMD is more substantial in Europe, China achieves more from GF and II. These results confirm the hypotheses of the study and highlight the importance of financial structures and policy frameworks in shaping industrial resilience. The study further recommends stronger financial market integration with sustainability initiatives in China and increased support for innovation in Europe.</w:t>
      </w:r>
    </w:p>
    <w:p>
      <w:pPr/>
      <w:r>
        <w:rPr>
          <w:b/>
        </w:rPr>
        <w:t>POSSIBLE 2025:</w:t>
      </w:r>
      <w:r>
        <w:t xml:space="preserve"> From pastures to plates: The thorny path to achieving deforestation-free cattle from Brazil to European consumers — https://doi.org/10.1016/j.ecolecon.2025.108524</w:t>
      </w:r>
    </w:p>
    <w:p>
      <w:pPr/>
      <w:r>
        <w:rPr>
          <w:b/>
        </w:rPr>
        <w:t>Shared claim-specific concepts:</w:t>
      </w:r>
      <w:r>
        <w:t xml:space="preserve"> findings, highlight, achieving, require, not; EU scope visible. This is a provisional connection, not an outcome finding.</w:t>
      </w:r>
    </w:p>
    <w:p>
      <w:pPr>
        <w:pStyle w:val="SourceNote"/>
      </w:pPr>
      <w:r>
        <w:rPr>
          <w:b/>
        </w:rPr>
        <w:t>Available abstract (not full text):</w:t>
      </w:r>
      <w:r>
        <w:t xml:space="preserve"> The EU regulation on Deforestation-Free Products (EUDR) enacted in 2023 aims to reduce deforestation connected to commodities imported to the EU, including cattle products. In Brazil, the EUDR pressures the local cattle supply chain towards more sustainable production. However, the potential effects of the EUDR on reducing deforestation in this sector are unclear and require scrutiny. Drawing on the concept of Telecoupling, we investigate the challenges and potential impacts of implementing the EUDR in the Brazilian cattle supply chain. We interviewed 19 Brazilian stakeholders representing the private sector, NGOs , investigative journals, banks, and governmental institutions through semi-structured questionnaires complemented with secondary data analysis. Our findings reveal the extent to which historical challenges, such as the lack of law enforcement and low productivity persist, and the possible spillover effects , including market and production leakages. Additionally, the study shows how the EUDR may lead to potential negative impacts for small-scale ranchers . We highlight the need to implement a transparent and integrated public birth-to-slaughter traceability system for cattle in Brazil to guarantee the EUDR's effectiveness. If European and Brazilian governments, cattle producers, and meatpacking companies are not able to address these issues, EUDR's objective to reduc</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findings, emissions, policies, support, not, climate;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pStyle w:val="Heading2"/>
      </w:pPr>
      <w:r>
        <w:t>572.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2024:</w:t>
      </w:r>
      <w:r>
        <w:t xml:space="preserve"> Climate and host plant availability are favourable to the establishment of Lycorma delicatula in Europe — https://doi.org/10.1111/afe.12665</w:t>
      </w:r>
    </w:p>
    <w:p>
      <w:pPr/>
      <w:r>
        <w:rPr>
          <w:b/>
        </w:rPr>
        <w:t>Shared claim-specific concepts:</w:t>
      </w:r>
      <w:r>
        <w:t xml:space="preserve"> two, ecological, evaluate; EU scope visible. This is a provisional connection, not an outcome finding.</w:t>
      </w:r>
    </w:p>
    <w:p>
      <w:pPr>
        <w:pStyle w:val="SourceNote"/>
      </w:pPr>
      <w:r>
        <w:rPr>
          <w:b/>
        </w:rPr>
        <w:t>Available abstract (not full text):</w:t>
      </w:r>
      <w:r>
        <w:t xml:space="preserve">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spain, green;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New Approaches to Generate Data to Measure the Progress of Decarbonization of the Building Stock in Europe and Spain — https://doi.org/10.1007/978-3-031-51829-4_12</w:t>
      </w:r>
    </w:p>
    <w:p>
      <w:pPr/>
      <w:r>
        <w:rPr>
          <w:b/>
        </w:rPr>
        <w:t>Shared claim-specific concepts:</w:t>
      </w:r>
      <w:r>
        <w:t xml:space="preserve"> two, spain, energy, consumption; EU scope visible. This is a provisional connection, not an outcome finding.</w:t>
      </w:r>
    </w:p>
    <w:p>
      <w:pPr>
        <w:pStyle w:val="SourceNote"/>
      </w:pPr>
      <w:r>
        <w:rPr>
          <w:b/>
        </w:rPr>
        <w:t>Available abstract (not full text):</w:t>
      </w:r>
      <w:r>
        <w:t xml:space="preserve"> Abstract The European Commission has initiated efforts to establish indicator frameworks for monitoring building renovation policies and the decarbonization progress of the building stock, to be developed by EU Member States. The chapter suggests that the use of emerging technologies can improve the quality and availability of data for this purpose, focusing on two specific technologies whose potential is explored for the case of Spain. These technologies are, on one hand, georeferencing and automated cross-referencing of existing data, and, on the other, the Digital Building Logbook (DBL). The results of the study show that georeferencing and automated cross-referencing applications include calculating solar potential and estimating energy production, consumption, and emissions using Urban Energy Models (UBEMs). The UBEM, applied to Spain, enables the collection of previously unavailable indicators, improving data availability and quality mainly in the subjects of ‘An overview of the general characteristics of the national building stock’ and ‘An overview of the energy characteristics of the national building stock’. Examining the feasibility of collecting indicators through the DBL indicates that close to 69% of all necessary indicators for monitoring building renovation policies can be obtained. However, challenges in realizing DBL's full potential involve undefined tool mod</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between, based, variations;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Ecological and environmental factors affecting the risk of tick-borne encephalitis in Europe, 2017 to 2021 — https://doi.org/10.2807/1560-7917.es.2023.28.42.2300121</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BackgroundTick-borne encephalitis (TBE) is a disease which can lead to severe neurological symptoms, caused by the TBE virus (TBEV). The natural transmission cycle occurs in foci and involves ticks as vectors and several key hosts that act as reservoirs and amplifiers of the infection spread. Recently, the incidence of TBE in Europe has been rising in both endemic and new regions.AimIn this study we want to provide comprehensive understanding of the main ecological and environmental factors that affect TBE spread across Europe.MethodsWe searched available literature on covariates linked with the circulation of TBEV in Europe. We then assessed the best predictors for TBE incidence in 11 European countries by means of statistical regression, using data on human infections provided by the European Surveillance System (TESSy), averaged between 2017 and 2021.ResultsWe retrieved data from 62 full-text articles and identified 31 different covariates associated with TBE occurrence. Finally, we selected eight variables from the best model, including factors linked to vegetation cover, climate, and the presence of tick hosts.DiscussionThe existing literature is heterogeneous, both in study design and covariate types. Here, we summarised and statistically validated the covariates affecting the variability of TBEV across Europe. The analysis of the factors enhancing disease emergence is a </w:t>
      </w:r>
    </w:p>
    <w:p>
      <w:pPr/>
      <w:r>
        <w:rPr>
          <w:b/>
        </w:rPr>
        <w:t>POSSIBLE 2023:</w:t>
      </w:r>
      <w:r>
        <w:t xml:space="preserve"> Hepatitis A occurrence and outbreaks in Europe over the past two decades: A systematic review — https://doi.org/10.1111/jvh.13821</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Hepatitis A (HA) is a vaccine-preventable liver disease with &gt;170 million new cases occurring yearly. In recent outbreaks in the USA, hospitalization and case-fatality ratios were &gt;60% and ~1%, respectively. In Europe, endemicity persists and outbreaks continue to occur. We performed a systematic literature review to understand the changes in HA occurrence in Europe over the past two decades. PubMed and Embase were systematically searched for peer-reviewed articles published between 1 January 2001 and 14 April 2021 using terms covering HA, 11 selected European countries, outbreaks, outcomes and HA virus circulation. Here, we focus on HA occurrence and outbreaks in the five countries with the largest population and the most comprehensive vaccination recommendations: France, Germany, Italy, Spain and the UK; 118 reports included data for these five European countries. Notification rates (≤9.7/100,000 population) and percentages of men among cases (≤83.0%) peaked in 2017. The number of person-to-person-transmitted cases and outbreaks decreased in children but increased in other risk groups, such as men who have sex with men (MSM). Sexually transmitted outbreaks in MSM clustered around 2017. Travel-related outbreaks were few; the proportion of travel-related cases decreased during the past two decades, while the number of domestic cases increased. Despite the existing risk-based va</w:t>
      </w:r>
    </w:p>
    <w:p>
      <w:pPr/>
      <w:r>
        <w:rPr>
          <w:b/>
        </w:rPr>
        <w:t>POSSIBLE 2023:</w:t>
      </w:r>
      <w:r>
        <w:t xml:space="preserve"> Simultaneous detections of Olenecamptus bilobus (Fabricius, 1801) (Cerambycidae, Dorcaschematini) in Europe — https://doi.org/10.3897/bdj.11.e114432</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Background: Europe has a long history of non-native species introductions given its central role in global trade in recent centuries. Currently, approximately two hundred cerambycid species have been found in Europe, as the result of introductions between and within biogeographical regions; still, despite better monitoring and stronger restrictions, the arrivals and spread of non-native Cerambycidae continue. New information: (Fabricius, 1801) on the basis of three specimens recorded almost simultaneously in Spain and Greece, respectively.</w:t>
      </w:r>
    </w:p>
    <w:p>
      <w:pPr/>
      <w:r>
        <w:rPr>
          <w:b/>
        </w:rPr>
        <w:t>POSSIBLE 2023:</w:t>
      </w:r>
      <w:r>
        <w:t xml:space="preserve"> Land Use and Land Cover Changes in Depopulated Areas of Mediterranean Europe: A Case Study in Two Inland Provinces of Spain — https://doi.org/10.3390/land12111967</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Depopulation often leads to the abandonment of agricultural land and the resulting process of afforestation and reforestation. In this paper, we study the land use changes between 2000 and 2018 in two Spanish provinces, Soria and Teruel. The provinces chosen as case studies are of particular interest because they have some of the lowest population densities in Europe and continue to suffer depopulation processes that have been ongoing since the mid-20th century. The reasons for this are not immediately clear given that unlike other European regions with similar population density values, for example in Northern Scandinavia, they are not exposed to extreme climatic conditions, nor are they located in isolated mountain regions. Using the CORINE Land Cover database, we observed that in both provinces, there has been an expansion in shrub and forest land uses and a decline in agriculture due largely to the fact that certain areas have been abandoned by their inhabitants, although in other parts of these provinces, the amount of land used for agriculture has increased. Urban growth over this period has been minimal. In the coming years, it seems likely that the population of these areas will continue to fall, given that the policies carried out over decades to try to revert this trend have not been successful.</w:t>
      </w:r>
    </w:p>
    <w:p>
      <w:pPr>
        <w:pStyle w:val="Heading2"/>
      </w:pPr>
      <w:r>
        <w:t>573.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2024:</w:t>
      </w:r>
      <w:r>
        <w:t xml:space="preserve"> Import Dynamics in the Central and Eastern European Countries — https://doi.org/10.57017/jaes.v19.2(84).04</w:t>
      </w:r>
    </w:p>
    <w:p>
      <w:pPr/>
      <w:r>
        <w:rPr>
          <w:b/>
        </w:rPr>
        <w:t>Shared claim-specific concepts:</w:t>
      </w:r>
      <w:r>
        <w:t xml:space="preserve"> further, imports, international, positive; EU scope visible. This is a provisional connection, not an outcome finding.</w:t>
      </w:r>
    </w:p>
    <w:p>
      <w:pPr>
        <w:pStyle w:val="SourceNote"/>
      </w:pPr>
      <w:r>
        <w:rPr>
          <w:b/>
        </w:rPr>
        <w:t>Available abstract (not full text):</w:t>
      </w:r>
      <w:r>
        <w:t xml:space="preserve"> The dynamics of imports in Central and Eastern European countries are closely related to foreign direct investment and government policies. By reducing tariff and non-tariff barriers to imports and promoting trade and investment liberalization, governments can attract foreign capital and diversify the range of products and services available in the host economy. This interconnection between imports and foreign direct investment can have a positive impact on economic development and global integration, depending on national strategies and policies. The article examines the dynamics of imports in Central and Eastern European countries in relation to foreign direct investment and government policies and aims to identify trends, import differences, and adjustments made by each country to improve their economic development. The research highlights the ongoing evolution of international trade in the region and advocates for a strategic approach to trade and economic policy for economic expansion and resilience to external shocks.© 2024 The Author(s). This article is distributed under the terms of the license CC-BY 4.0., which permits any further distribution in any medium, provided the original work is properly cited.</w:t>
      </w:r>
    </w:p>
    <w:p>
      <w:pPr/>
      <w:r>
        <w:rPr>
          <w:b/>
        </w:rPr>
        <w:t>POSSIBLE 2022:</w:t>
      </w:r>
      <w:r>
        <w:t xml:space="preserve"> Future area expansion outweighs increasing drought risk for soybean in Europe — https://doi.org/10.1111/gcb.16562</w:t>
      </w:r>
    </w:p>
    <w:p>
      <w:pPr/>
      <w:r>
        <w:rPr>
          <w:b/>
        </w:rPr>
        <w:t>Shared claim-specific concepts:</w:t>
      </w:r>
      <w:r>
        <w:t xml:space="preserve"> further, imports, climate;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Different Effect of Inward Foreign Direct Investment, Outward Foreign Direct Investment, Imports, and Exports on Greenhouse Gas Emission across 24 European Union Countries — https://doi.org/10.54691/bcpbm.v34i.3186</w:t>
      </w:r>
    </w:p>
    <w:p>
      <w:pPr/>
      <w:r>
        <w:rPr>
          <w:b/>
        </w:rPr>
        <w:t>Shared claim-specific concepts:</w:t>
      </w:r>
      <w:r>
        <w:t xml:space="preserve"> further, imports, lower, reduce, positive; EU scope visible. This is a provisional connection, not an outcome finding.</w:t>
      </w:r>
    </w:p>
    <w:p>
      <w:pPr>
        <w:pStyle w:val="SourceNote"/>
      </w:pPr>
      <w:r>
        <w:rPr>
          <w:b/>
        </w:rPr>
        <w:t>Available abstract (not full text):</w:t>
      </w:r>
      <w:r>
        <w:t xml:space="preserve"> The European Union (EU) has achieved remarkable progress in reducing greenhouse gas emission with the help of the emission trade system (ETS) and other environmental policies for the past decades. The main purpose of current study is to empirically investigate different effects of inward foreign direct investment, outward foreign direct investment (FDI), imports and exports on greenhouse gas (GHG) emissions for different level of GDP per capita. Panel data set of 24 European Union countries was selected from 2013 to 2017. And these 24 countries would be further divided into two groups based on their GDP per capita. The result indicates that inward FDI would decrease GHG emission for high GDP per capita group, whereas it increases the GHG emission for low GDP per capita group, suggesting the existence of “pollution haven” in countries with lower GDP per capita. On the contrary, the effect of outward FDI on GHG emission would be positive for high GDP per capita group but negative for low GDP per capita group. Meanwhile, exports would increase GHG emission for low GDP per capita group but decrease GHG emission for high GDP per capita group. Besides, imports would also be a contributor of GHG emission for high GDP per capita group. The conclusion drawn from this study implicates that, to reduce the domestic GHG emissions, countries with different level of GDP per capita should have</w:t>
      </w:r>
    </w:p>
    <w:p>
      <w:pPr>
        <w:pStyle w:val="Heading2"/>
      </w:pPr>
      <w:r>
        <w:t>574.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2024:</w:t>
      </w:r>
      <w:r>
        <w:t xml:space="preserve"> Geodiversity data for Europe — https://doi.org/10.1098/rsta.2023.0173</w:t>
      </w:r>
    </w:p>
    <w:p>
      <w:pPr/>
      <w:r>
        <w:rPr>
          <w:b/>
        </w:rPr>
        <w:t>Shared claim-specific concepts:</w:t>
      </w:r>
      <w:r>
        <w:t xml:space="preserve"> here, data, between;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obtained, data, between, countries,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In temperate Europe, fire is already here: The case of The Netherlands — https://doi.org/10.1007/s13280-023-01960-y</w:t>
      </w:r>
    </w:p>
    <w:p>
      <w:pPr/>
      <w:r>
        <w:rPr>
          <w:b/>
        </w:rPr>
        <w:t>Shared claim-specific concepts:</w:t>
      </w:r>
      <w:r>
        <w:t xml:space="preserve"> here, data, countries;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2023:</w:t>
      </w:r>
      <w:r>
        <w:t xml:space="preserve"> Canopy height and biomass map for Europe — https://doi.org/10.5281/zenodo.8154444</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Data Description These datasets were generated from the research article "The overlooked contribution of trees outside forests to tree cover and woody biomass across Europe". Here we publish aggregated version of canopy cover and height map, and original biomass map at 30m resolution. The biomass map are calculated from the canopy cover and height maps using allometric equations. The original canopy cover and height maps are derived from 3m resolution PlanetScope imagery (research license with Planet Labs Inc) in 2019, are available on request sliu@ign.ku.dk or martin.brandt@mailbox.org. Data Visualisation at 3m resolution: https://ee-chm-eu-2019.projects.earthengine.app/view/euchm Data Use Agreement The datasets are restricted to use only for research and scientific purposes, and shall not be used for any commercial purposes. Any usage beyond the permitted scope requires explicit written consent from the relevant parties. The restrictions using the datasets are coupled with the research license, which can be accessed here: https://assets.planet.com/docs/ToS_EducationAndResearch.pdf The user agrees to assume all risks and liabilities associated with the interpretation and use of any data or results obtained from the datasets. The University of Copenhagen, Planet Labs Inc, and any affiliated parties shall not be held liable for any consequences arising from the misuse of the dat</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here, obtained, data, between;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2022:</w:t>
      </w:r>
      <w:r>
        <w:t xml:space="preserve"> Environmental risks from artificial nighttime lighting widespread and increasing across Europe — https://doi.org/10.1126/sciadv.abl6891</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The nighttime environment of much of Earth is being changed rapidly by the introduction of artificial lighting. While data on spatial and temporal variation in the intensity of artificial lighting have been available at a regional and global scale, data on variation in its spectral composition have only been collected for a few locations, preventing variation in associated environmental and human health risks from being mapped. Here, we use imagery obtained using digital cameras by astronauts on the International Space Station to map variation in the spectral composition of lighting across Europe for 2012-2013 and 2014-2020. These show a regionally widespread spectral shift, from that associated principally with high-pressure sodium lighting to that associated with broad white light-emitting diodes and with greater blue emissions. Reexpressing the color maps in terms of spectral indicators of environmental pressures, we find that this trend is widely increasing the risk of harmful effects to ecosystems.</w:t>
      </w:r>
    </w:p>
    <w:p>
      <w:pPr/>
      <w:r>
        <w:rPr>
          <w:b/>
        </w:rPr>
        <w:t>POSSIBLE 2022:</w:t>
      </w:r>
      <w:r>
        <w:t xml:space="preserve"> The utility of the ‘Arable Weeds and Management in Europe’ database: Challenges and opportunities of combining weed survey data at a European scale — https://doi.org/10.1111/wre.12562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Over the last 30 years, many studies have surveyed weed vegetation on arable land. The 'Arable Weeds and Management in Europe' (AWME) database is a collection of 36 of these surveys and the associated management data. Here, we review the challenges associated with combining disparate datasets and explore some of the opportunities for future research that present themselves thanks to the AWME database. We present three case studies repeating previously published national scale analyses with data from a larger spatial extent. The case studies, originally done in France, Germany and the UK, explore various aspects of weed ecology (community composition, management and environmental effects and within-field distributions) and use a range of statistical techniques (canonical correspondence analysis, redundancy analysis and generalised linear mixed models) to demonstrate the utility and versatility of the AWME database. We demonstrate that (i) the standardisation of abundance data to a common measure, before the analysis of the combined dataset, has little impact on the outcome of the analyses, (ii) the increased extent of environmental or management gradients allows for greater confidence in conclusions and (iii) the main conclusions of analyses done at different spatial scales remain consistent. These case studies demonstrate the utility of a Europe-wide weed survey database, for c</w:t>
      </w:r>
    </w:p>
    <w:p>
      <w:pPr/>
      <w:r>
        <w:rPr>
          <w:b/>
        </w:rPr>
        <w:t>POSSIBLE 2022:</w:t>
      </w:r>
      <w:r>
        <w:t xml:space="preserve"> High-Resolution Mapping of Winter Cereals in Europe by Time Series Landsat and Sentinel Images for 2016–2020 — https://doi.org/10.3390/rs14092120</w:t>
      </w:r>
    </w:p>
    <w:p>
      <w:pPr/>
      <w:r>
        <w:rPr>
          <w:b/>
        </w:rPr>
        <w:t>Shared claim-specific concepts:</w:t>
      </w:r>
      <w:r>
        <w:t xml:space="preserve"> here, obtained, data, countries; EU scope visible. This is a provisional connection, not an outcome finding.</w:t>
      </w:r>
    </w:p>
    <w:p>
      <w:pPr>
        <w:pStyle w:val="SourceNote"/>
      </w:pPr>
      <w:r>
        <w:rPr>
          <w:b/>
        </w:rPr>
        <w:t>Available abstract (not full text):</w:t>
      </w:r>
      <w:r>
        <w:t xml:space="preserve"> Winter cereals, including wheat, rye, barley, and triticale, are important food crops, and it is crucial to identify the distribution of winter cereals for monitoring crop growth and predicting yield. The production and plating area of winter cereals in Europe both contribute 12.57% to the total global cereal production and plating area in 2020. However, the distribution maps of winter cereals with high spatial resolution are scarce in Europe. Here, we first used synthetic aperture radar (SAR) data from Sentinel-1 A/B, in the Interferometric Wide (IW) swath mode, to distinguish rapeseed and winter cereals; we then used a time-weighted dynamic time warping (TWDTW) method to discriminate winter cereals from other crops by comparing the similarity of seasonal changes in the Normalized Difference Vegetation Index (NDVI) from Landsat and Sentinel-2 images. We generated winter cereal maps for 2016–2020 that cover 32 European countries with 30 m spatial resolution. Validation using field samples obtained from the Google Earth Engine (GEE) platform show that the producer’s and user’s accuracies are 91% ± 7.8% and 89% ± 10.3%, respectively, averaged over 32 countries in Europe. The winter cereal map agrees well with agricultural census data for planted winter cereal areas at municipal and country levels, with the averaged coefficient of determination R2 as 0.77 ± 0.15 for 2016–2019. In </w:t>
      </w:r>
    </w:p>
    <w:p>
      <w:pPr>
        <w:pStyle w:val="Heading2"/>
      </w:pPr>
      <w:r>
        <w:t>575.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2023:</w:t>
      </w:r>
      <w:r>
        <w:t xml:space="preserve"> Inventive Activity for Climate Change Mitigation: An Insight into the Maritime Industry — https://doi.org/10.3390/en16217403</w:t>
      </w:r>
    </w:p>
    <w:p>
      <w:pPr/>
      <w:r>
        <w:rPr>
          <w:b/>
        </w:rPr>
        <w:t>Shared claim-specific concepts:</w:t>
      </w:r>
      <w:r>
        <w:t xml:space="preserve"> maritime, insight; EU scope not established. This is a provisional connection, not an outcome finding.</w:t>
      </w:r>
    </w:p>
    <w:p>
      <w:pPr>
        <w:pStyle w:val="SourceNote"/>
      </w:pPr>
      <w:r>
        <w:rPr>
          <w:b/>
        </w:rPr>
        <w:t>Available abstract (not full text):</w:t>
      </w:r>
      <w:r>
        <w:t xml:space="preserve"> Climate change mitigation is one of the most important challenges facing the modern world. It is necessary to monitor the development of new concepts and technologies and take a stab at identifying disruptive innovations, which have the potential of becoming real climate-friendly game changers. The aim of this paper is to examine the patterns of inventive activity aimed at mitigating climate change in the maritime industry with respect to other transport modes. Appropriate research tools in the area of patent analysis were selected and utilised. A new class of patents related to climate change in maritime transport (CPC-Y02T70/00) was used as a data source. The original value of the study consists of offering a complete picture of the efforts made in patenting activity in climate change mitigation in the maritime transport, with a look at leading applicants and countries, knowledge flows, the most robustly developed and underdeveloped technical fields. A map of technical knowledge flows for climate change mitigation in transport was constructed. The research results show that inventions for the maritime industry are less hermetic than those for air and road transport; however, they are not as much linked with previously developed solutions. The most intensively developed technical fields include the design and construction of watercraft hulls (1) and measures to reduce greenhou</w:t>
      </w:r>
    </w:p>
    <w:p>
      <w:pPr/>
      <w:r>
        <w:rPr>
          <w:b/>
        </w:rPr>
        <w:t>POSSIBLE 2022:</w:t>
      </w:r>
      <w:r>
        <w:t xml:space="preserve"> Priorities for the Sustainability of Maritime and Coastal Passenger Transport in Europe — https://openalex.org/W7166957792</w:t>
      </w:r>
    </w:p>
    <w:p>
      <w:pPr/>
      <w:r>
        <w:rPr>
          <w:b/>
        </w:rPr>
        <w:t>Shared claim-specific concepts:</w:t>
      </w:r>
      <w:r>
        <w:t xml:space="preserve"> maritime, sustainable; EU scope visible. This is a provisional connection, not an outcome finding.</w:t>
      </w:r>
    </w:p>
    <w:p>
      <w:pPr>
        <w:pStyle w:val="SourceNote"/>
      </w:pPr>
      <w:r>
        <w:rPr>
          <w:b/>
        </w:rPr>
        <w:t>Available abstract (not full text):</w:t>
      </w:r>
      <w:r>
        <w:t xml:space="preserve"> Maritime transport is both a major source of environmental pollution and a great opportunity for reducing road traffic. Moreover, for some Mediterranean countries, maritime transport offers a way to improve cross-border connectivity. However difficult this may be, improving maritime passenger transport is one way to increase cross-border connectivity and, in some cases, reduce the use of private cars. For this reason, the European Union is pursuing an intensive policy in support of the sustainable development of maritime transport, working on many fronts, including the strengthening of EU legislation on this topic, technical and financial support to reducing emissions from international shipping, investments for the improving of port facilities and infrastructures, involving national governments and regions in the definition of roadmaps and new targets towards 2050. There are many possible directions for improving maritime transport: ship technologies, port management, interchange connectivity, transit planning, and so on. The goal of this book is to collect rigorous contributions about what are currently considered to be the main areas of improvement to be pursued in cross-border maritime passenger transport. The book opens with an overview of EU policies on maritime and coastal transport. In the following chapters, a series of analyses and tools are proposed whose systematic </w:t>
      </w:r>
    </w:p>
    <w:p>
      <w:pPr/>
      <w:r>
        <w:rPr>
          <w:b/>
        </w:rPr>
        <w:t>POSSIBLE 2022:</w:t>
      </w:r>
      <w:r>
        <w:t xml:space="preserve"> The role of Latvia's maritime spatial planning in promoting the European Green Deal — https://doi.org/10.7163/eu21.2022.42.4</w:t>
      </w:r>
    </w:p>
    <w:p>
      <w:pPr/>
      <w:r>
        <w:rPr>
          <w:b/>
        </w:rPr>
        <w:t>Shared claim-specific concepts:</w:t>
      </w:r>
      <w:r>
        <w:t xml:space="preserve"> maritime, insight, deal; EU scope visible. This is a provisional connection, not an outcome finding.</w:t>
      </w:r>
    </w:p>
    <w:p>
      <w:pPr>
        <w:pStyle w:val="SourceNote"/>
      </w:pPr>
      <w:r>
        <w:rPr>
          <w:b/>
        </w:rPr>
        <w:t>Available abstract (not full text):</w:t>
      </w:r>
      <w:r>
        <w:t xml:space="preserve"> In an era of dynamic maritime spatial planning movement development, this paper offers insight into the relationship between Latvia’s national Maritime Spatial Plan 2030 and the European Green Deal. The paper analyses what this might signify concerning the implementation and subsequent assessment of the plan by exploring the role of the maritime spatial plan in Latvia’s planning system. Beginning with a brief history of how the national plan came to be, the paper then describes and evaluates the position of the maritime spatial plan within Latvia’s planning framework before examining the connection between the maritime spatial plan and the Green Deal, identifying contact points. This paper offers a starting framework for studying how closely maritime spatial planning is related to and capable of supporting ─ or at the very least taking into account ─ the goals of the Green Deal. The conclusion is that implementation of maritime spatial planning is rooted in the state planning system, the interconnection among policy documents, and the specifics of the maritime spatial plan itself.</w:t>
      </w:r>
    </w:p>
    <w:p>
      <w:pPr>
        <w:pStyle w:val="Heading2"/>
      </w:pPr>
      <w:r>
        <w:t>576.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2023:</w:t>
      </w:r>
      <w:r>
        <w:t xml:space="preserve"> Europe in Law and Literature — https://doi.org/10.1515/9783111075693</w:t>
      </w:r>
    </w:p>
    <w:p>
      <w:pPr/>
      <w:r>
        <w:rPr>
          <w:b/>
        </w:rPr>
        <w:t>Shared claim-specific concepts:</w:t>
      </w:r>
      <w:r>
        <w:t xml:space="preserve"> construct, alternative; EU scope visible. This is a provisional connection, not an outcome finding.</w:t>
      </w:r>
    </w:p>
    <w:p>
      <w:pPr>
        <w:pStyle w:val="SourceNote"/>
      </w:pPr>
      <w:r>
        <w:rPr>
          <w:b/>
        </w:rPr>
        <w:t>Available abstract (not full text):</w:t>
      </w:r>
      <w:r>
        <w:t xml:space="preserve"> Europe is a broad and multifaceted construct, variously understood as a geographical, political, legal, institutional, social, or cultural formation. It is characterized by numerous conflicts and processes of negotiation that have accompanied or sustained the development of normative orders and divergent conceptions of law, both in relation to individual states and to Europe as a whole. The same applies to the field of literature, language, and aesthetics; numerous myths and ideologies have shaped today’s understanding of Europe and still support it today. This volume examines how such processes were legally structured, and literarily addressed, criticized, and complemented. Its interdisciplinary perspective and open and dynamic, both dialogical and dialectical format intends to replicate the fragmented, sometimes conflicting, but always productive mosaic of voices, ideas, and concepts that have constituted and still constitute Europe, whether in the past, present, or future. Instead of resolving any of the complexities and contradictions that frame discussions on law, literature, and Europe, it aims to induce further engagement and confrontations with new and alternative visions of Europe.</w:t>
      </w:r>
    </w:p>
    <w:p>
      <w:pPr/>
      <w:r>
        <w:rPr>
          <w:b/>
        </w:rPr>
        <w:t>POSSIBLE 2023:</w:t>
      </w:r>
      <w:r>
        <w:t xml:space="preserve"> A phenomenological inquiry of building and living in European Earthship homes — https://doi.org/10.1680/jinam.23.00028</w:t>
      </w:r>
    </w:p>
    <w:p>
      <w:pPr/>
      <w:r>
        <w:rPr>
          <w:b/>
        </w:rPr>
        <w:t>Shared claim-specific concepts:</w:t>
      </w:r>
      <w:r>
        <w:t xml:space="preserve"> aim, alternative, shift; EU scope visible. This is a provisional connection, not an outcome finding.</w:t>
      </w:r>
    </w:p>
    <w:p>
      <w:pPr>
        <w:pStyle w:val="SourceNote"/>
      </w:pPr>
      <w:r>
        <w:rPr>
          <w:b/>
        </w:rPr>
        <w:t>Available abstract (not full text):</w:t>
      </w:r>
      <w:r>
        <w:t xml:space="preserve"> Earthships remain a relatively underexplored type of sustainable/alternative home. This is the first study to investigate the personal experiences of constructing and living in European Earthship homes. The aim of this study is to reveal insights into the ‘hands-on’ practical experience of persons who have constructed their own Earthship homes and to gather insights into the collective experience of these dwellers on the realities of living full time in an Earthship home. A phenomenological methodology, using an inductive research approach, was utilised through a qualitative research strategy to solicit insights into the personal experiences of these unique persons. The main themes and sub-themes that emerge from the analysis are that anyone from any background can make the shift to building/living in an Earthship home. However, a mixed skill set and knowledge of building trades, plus physical and emotional prowess, are needed for the long-haul build process, which, together with access to financial means and/or available materials, are critical factors that influence the outcome of the Earthship building. Meanwhile, once constructed, off-grid living in an Earthship home gives dwellers a greater connectivity with the natural world, raises awareness of consumerism and leads to enhanced appreciation of human impacts.</w:t>
      </w:r>
    </w:p>
    <w:p>
      <w:pPr/>
      <w:r>
        <w:rPr>
          <w:b/>
        </w:rPr>
        <w:t>POSSIBLE 2022:</w:t>
      </w:r>
      <w:r>
        <w:t xml:space="preserve"> Narrating Europe: (Re‐)constructed and Contested Visions of the European Project in Citizens' Discourse — https://doi.org/10.1111/jcms.13364</w:t>
      </w:r>
    </w:p>
    <w:p>
      <w:pPr/>
      <w:r>
        <w:rPr>
          <w:b/>
        </w:rPr>
        <w:t>Shared claim-specific concepts:</w:t>
      </w:r>
      <w:r>
        <w:t xml:space="preserve"> four, developed; EU scope visible. This is a provisional connection, not an outcome finding.</w:t>
      </w:r>
    </w:p>
    <w:p>
      <w:pPr>
        <w:pStyle w:val="SourceNote"/>
      </w:pPr>
      <w:r>
        <w:rPr>
          <w:b/>
        </w:rPr>
        <w:t>Available abstract (not full text):</w:t>
      </w:r>
      <w:r>
        <w:t xml:space="preserve"> Changes in public opinion and civil society over the last decade have shown that citizens, particularly in old EU Member States, have developed more complex attitudes towards European integration. While the European project was previously generally described as a teleological depoliticized project, aiming at building peace and comforting growth, different competing visions of the European project are nowadays acknowledged and surface among the public on occasions, like referendums or treaty negotiations. While EU official narratives are documented by studies on the European institutions or the visions of leaders and parties, their empirical analysis at the citizens' level is still fragmented. Using focus group data in four countries (France, Portugal, Italy and Belgium) and three social groups (21 group interviews), we provide a comparative qualitative answer to how citizens envision European integration. Our results show that, first, official narratives do not fail to reach citizens, but they are also loosened, contested, and do not systematically produce a sense of common belonging. Second, they highlight the importance of socio‐economic contexts, as well as national and personal experience in the re‐appropriation of these narratives.</w:t>
      </w:r>
    </w:p>
    <w:p>
      <w:pPr/>
      <w:r>
        <w:rPr>
          <w:b/>
        </w:rPr>
        <w:t>POSSIBLE 2022:</w:t>
      </w:r>
      <w:r>
        <w:t xml:space="preserve"> Alternative Institutional Strategies for Constructing Monetary Theories — https://doi.org/10.31063/altereconomics/2022.19-2.4</w:t>
      </w:r>
    </w:p>
    <w:p>
      <w:pPr/>
      <w:r>
        <w:rPr>
          <w:b/>
        </w:rPr>
        <w:t>Shared claim-specific concepts:</w:t>
      </w:r>
      <w:r>
        <w:t xml:space="preserve"> alternative, important, framework; EU scope not established. This is a provisional connection, not an outcome finding.</w:t>
      </w:r>
    </w:p>
    <w:p>
      <w:pPr>
        <w:pStyle w:val="SourceNote"/>
      </w:pPr>
      <w:r>
        <w:rPr>
          <w:b/>
        </w:rPr>
        <w:t>Available abstract (not full text):</w:t>
      </w:r>
      <w:r>
        <w:t xml:space="preserve"> The article discusses the new strategies for studying macro-economic processes and relationships between the monetary and real variables in light of the transformations of the modern economy. The research aims to describe the strategies of constructing monetary theories of mainstream economics and to develop an approach for studying endogenous institutional relationships in monetary processes. Conceptually, the study uses as a point of departure the idea that economic entities pursue value-based and economic motives. Such an approach reflects the intersubjective nature of the economy and helps overcome the extremes of methodological individualism and methodological holism. The study shows how the institutional characteristics of the strategies in question are determined by orthodox and heterodox versions of Keynesian economics. The paradigmal limitations of the given strategies may stem from the fact that methodologically they rely on individualism, which leads to exogenous interpretations of institutions and monetary phenomena. Therefore, it is impossible to explain the emergence of market prices as an institutional phenomena by drawing on the neo-classical versions of the theory of value. Macro-economic indicators in mainstream economics are exogenous aggregated variables. The study traces the development of the paradigmal framework of classical political economy and Marx’s i</w:t>
      </w:r>
    </w:p>
    <w:p>
      <w:pPr/>
      <w:r>
        <w:rPr>
          <w:b/>
        </w:rPr>
        <w:t>POSSIBLE 2022:</w:t>
      </w:r>
      <w:r>
        <w:t xml:space="preserve"> Screening of Cooling Technologies in Europe: Alternatives to Vapour Compression and Possible Market Developments — https://doi.org/10.3390/su14052971</w:t>
      </w:r>
    </w:p>
    <w:p>
      <w:pPr/>
      <w:r>
        <w:rPr>
          <w:b/>
        </w:rPr>
        <w:t>Shared claim-specific concepts:</w:t>
      </w:r>
      <w:r>
        <w:t xml:space="preserve"> aim, alternative; EU scope visible. This is a provisional connection, not an outcome finding.</w:t>
      </w:r>
    </w:p>
    <w:p>
      <w:pPr>
        <w:pStyle w:val="SourceNote"/>
      </w:pPr>
      <w:r>
        <w:rPr>
          <w:b/>
        </w:rPr>
        <w:t>Available abstract (not full text):</w:t>
      </w:r>
      <w:r>
        <w:t xml:space="preserve"> The aim of this study is to investigate, review, and assess the recent advances of alternative cooling technologies using traditional vapor compression (VC) systems as a baseline. Around 99% of the final energy consumption used for cooling in the current European market (European Union plus the United Kingdom (EU27 + UK) is supplied by VC technologies. In comparison, the remaining 1% is produced by thermally driven heat pumps (TDHPs). This study focuses on providing a complete taxonomy of cooling technologies. While the EU heating sector is broadly explored in scientific literature, a significant lack of data and information is present in the cooling sector. This study highlights technologies that can potentially compete and eventually replace VC systems within the decade (2030). Among others, the most promising of these are membrane heat pump, transcritical cycle, Reverse Brayton (Bell Coleman cycle), and absorption cooling. However, the latter mentioned technologies still need further research and development (R&amp;D) to become fully competitive with VC technologies. Notably, there are no alternative cooling technologies characterized by higher efficiency and less cost than VC technologies in the EU market.</w:t>
      </w:r>
    </w:p>
    <w:p>
      <w:pPr>
        <w:pStyle w:val="Heading2"/>
      </w:pPr>
      <w:r>
        <w:t>577.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2025:</w:t>
      </w:r>
      <w:r>
        <w:t xml:space="preserve"> Three-dimensional third medium contact model for hyperelastic contact and pneumatically actuated systems — https://doi.org/10.48550/arxiv.2512.03181</w:t>
      </w:r>
    </w:p>
    <w:p>
      <w:pPr/>
      <w:r>
        <w:rPr>
          <w:b/>
        </w:rPr>
        <w:t>Shared claim-specific concepts:</w:t>
      </w:r>
      <w:r>
        <w:t xml:space="preserve"> third, highlight, need; EU scope not established. This is a provisional connection, not an outcome finding.</w:t>
      </w:r>
    </w:p>
    <w:p>
      <w:pPr>
        <w:pStyle w:val="SourceNote"/>
      </w:pPr>
      <w:r>
        <w:rPr>
          <w:b/>
        </w:rPr>
        <w:t>Available abstract (not full text):</w:t>
      </w:r>
      <w:r>
        <w:t xml:space="preserve"> This work presents a comprehensive three-dimensional third-medium contact framework for modeling complex contact interactions in hyperelastic solids and pneumatically actuated systems. The proposed third-medium formulation embeds a fictitious medium (or third medium) between potentially interacting bodies, enabling a unified and robust treatment of hyperelastic contact and self-contact without the need for discretization of the contact interface. Unlike the widely studied two-dimensional problem, this paper extends the new regularization term given in Reference \cite{TMCWriggers2} to three-dimensional problems and ensures element quality in a third medium. Due to the need for higher-order elements for the regularization term, this paper details the linearization process of this problem within the finite element framework. In addition, pneumatically actuated systems are considered by introducing a pneumatic term to represent pneumatic loading (pressure or suction) and inducing contact caused by internal inflation. This approach is suitable for complex hyperelastic contact and self-contact, and has potential applications in the fields of soft robotics and flexible mechanisms. The framework is developed in a fully three-dimensional setting, making it also suitable for isogeometric methods and meshless methods. Several benchmark and application-level simulations demonstrate the acc</w:t>
      </w:r>
    </w:p>
    <w:p>
      <w:pPr/>
      <w:r>
        <w:rPr>
          <w:b/>
        </w:rPr>
        <w:t>POSSIBLE 2025:</w:t>
      </w:r>
      <w:r>
        <w:t xml:space="preserve"> Global Nomads: Identity and Belonging in Third Culture Kids and Adult Third Culture Kids — https://openalex.org/W7119396443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This capstone examines the subculture of Third Culture Kids and Adult Third Culture Kids who have experienced living abroad as children. There were two main objectives in this study. First, to understand the perceptions of Adult Third Culture Kids on how their global childhoods have impacted their self-identity and sense of belonging as adults. Secondly, to understand the opinions of Adult Third Culture Kids on transitional programs through their personal experiences with them. The methodology of this capstone included a twelve-question survey distributed to seventeen Adult Third Culture Kids born in six different countries around the world. The questions in the survey focused on two central research questions about self-identity, belonging, and opinions of transitional programs aiding in childhood development. A thematic analysis used Google Highlight to code responses into three themes supported by an accompanying literature review. The findings of this study showed that the perceptions of self-identity and sense of belonging in Adult Third Culture Kids aligned with published literature on the topic. Contrastingly, Adult Third Culture Kids in this study agreed that transitional programs would negatively affect the childhood development of future Third Culture Kids. Having not participated in them during childhood, most concluded that they preferred navigating their childhood </w:t>
      </w:r>
    </w:p>
    <w:p>
      <w:pPr/>
      <w:r>
        <w:rPr>
          <w:b/>
        </w:rPr>
        <w:t>POSSIBLE 2024:</w:t>
      </w:r>
      <w:r>
        <w:t xml:space="preserve"> Three-step Collocation Method for Solution of Third Derivative Initial Value Problem — https://doi.org/10.62054/ijdm/0101.03</w:t>
      </w:r>
    </w:p>
    <w:p>
      <w:pPr/>
      <w:r>
        <w:rPr>
          <w:b/>
        </w:rPr>
        <w:t>Shared claim-specific concepts:</w:t>
      </w:r>
      <w:r>
        <w:t xml:space="preserve"> third, highlight, three, value; EU scope not established. This is a provisional connection, not an outcome finding.</w:t>
      </w:r>
    </w:p>
    <w:p>
      <w:pPr>
        <w:pStyle w:val="SourceNote"/>
      </w:pPr>
      <w:r>
        <w:rPr>
          <w:b/>
        </w:rPr>
        <w:t>Available abstract (not full text):</w:t>
      </w:r>
      <w:r>
        <w:t xml:space="preserve"> In this research paper, we introduce a novel three-step block method designed to directly tackle third-order initial value problems. This method is crafted through an interpolation and collocation approach, leveraging power series analysis. We conduct a comprehensive examination of the proposed method, ensuring it meets all requisite conditions for rigorous analysis. To assess its efficacy and validity, we employ the method on both highly stiff linear and nonlinear initial value problems, juxtaposing our findings with established approaches in the literature. Our results highlight that the new method exhibits faster convergence compared to existing methods, underscoring its superior performance. Initial value problems, Interpolation and collocation procedure, Three step, Third order</w:t>
      </w:r>
    </w:p>
    <w:p>
      <w:pPr/>
      <w:r>
        <w:rPr>
          <w:b/>
        </w:rPr>
        <w:t>POSSIBLE 2022:</w:t>
      </w:r>
      <w:r>
        <w:t xml:space="preserve"> Liquid-Phase Peptide Synthesis (LPPS): A Third Wave for the Preparation of Peptides — https://doi.org/10.1021/acs.chemrev.2c00132</w:t>
      </w:r>
    </w:p>
    <w:p>
      <w:pPr/>
      <w:r>
        <w:rPr>
          <w:b/>
        </w:rPr>
        <w:t>Shared claim-specific concepts:</w:t>
      </w:r>
      <w:r>
        <w:t xml:space="preserve"> third, three, made; EU scope not established. This is a provisional connection, not an outcome finding.</w:t>
      </w:r>
    </w:p>
    <w:p>
      <w:pPr>
        <w:pStyle w:val="SourceNote"/>
      </w:pPr>
      <w:r>
        <w:rPr>
          <w:b/>
        </w:rPr>
        <w:t>Available abstract (not full text):</w:t>
      </w:r>
      <w:r>
        <w:t xml:space="preserve"> Since the last century, peptides have gained wide acceptance as drugs, with almost 100 already in the market and a large number in the pipeline. In this context, peptide synthesis has grown massively as a stringent field for pharmaceuticals around the globe. Three methodologies, namely, classical solution peptide synthesis (CSPS), solid-phase peptide synthesis (SPPS), and liquid-phase peptide synthesis (LPPS), have made significant contributions to the field. This review provides a comprehensive and integrated vision of LPPS as the third wave for peptide synthesis. LPPS combines the advantages of CSPS and SPPS, where peptide elongation is carried out in solution and the growing peptide chain is supported on a soluble tag, which confers characteristic properties. LPPS protocols allow the large-scale production of peptides and reduce the use of excess reagents and solvents, thus meeting the principles of green chemistry. In this review, tags associated with LPPS are broadly discussed under the following headings: polydisperse polyethylene glycol (PEG), membrane-enhanced peptide synthesis (MEPS), fluorous technology, ionic liquids (ILs), PolyCarbon, hydrophobic polymers, and group-assisted purification (GAP). It also highlights the signature accomplishments of LPPS tags and the limitations of the same.</w:t>
      </w:r>
    </w:p>
    <w:p>
      <w:pPr>
        <w:pStyle w:val="Heading2"/>
      </w:pPr>
      <w:r>
        <w:t>578.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2025:</w:t>
      </w:r>
      <w:r>
        <w:t xml:space="preserve"> "Ukrainian zhurnal ": 200 years since the day of publication — https://doi.org/10.36273/2076-9555.2024.12(341).41-45</w:t>
      </w:r>
    </w:p>
    <w:p>
      <w:pPr/>
      <w:r>
        <w:rPr>
          <w:b/>
        </w:rPr>
        <w:t>Shared claim-specific concepts:</w:t>
      </w:r>
      <w:r>
        <w:t xml:space="preserve"> purpose, publication, detailed, country; EU scope not established. This is a provisional connection, not an outcome finding.</w:t>
      </w:r>
    </w:p>
    <w:p>
      <w:pPr>
        <w:pStyle w:val="SourceNote"/>
      </w:pPr>
      <w:r>
        <w:rPr>
          <w:b/>
        </w:rPr>
        <w:t>Available abstract (not full text):</w:t>
      </w:r>
      <w:r>
        <w:t xml:space="preserve">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pPr/>
      <w:r>
        <w:rPr>
          <w:b/>
        </w:rPr>
        <w:t>POSSIBLE 2025:</w:t>
      </w:r>
      <w:r>
        <w:t xml:space="preserve"> "Ukrainian zhurnal ": 200 years since the day of publication — https://doi.org/10.36273/2076-9555.2024.11(340).51-52</w:t>
      </w:r>
    </w:p>
    <w:p>
      <w:pPr/>
      <w:r>
        <w:rPr>
          <w:b/>
        </w:rPr>
        <w:t>Shared claim-specific concepts:</w:t>
      </w:r>
      <w:r>
        <w:t xml:space="preserve"> purpose, publication, detailed, country; EU scope not established. This is a provisional connection, not an outcome finding.</w:t>
      </w:r>
    </w:p>
    <w:p>
      <w:pPr>
        <w:pStyle w:val="SourceNote"/>
      </w:pPr>
      <w:r>
        <w:rPr>
          <w:b/>
        </w:rPr>
        <w:t>Available abstract (not full text):</w:t>
      </w:r>
      <w:r>
        <w:t xml:space="preserve">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pPr/>
      <w:r>
        <w:rPr>
          <w:b/>
        </w:rPr>
        <w:t>POSSIBLE 2025:</w:t>
      </w:r>
      <w:r>
        <w:t xml:space="preserve"> Principles for building a culture of organizational foresight — https://doi.org/10.1016/j.futures.2025.103673</w:t>
      </w:r>
    </w:p>
    <w:p>
      <w:pPr/>
      <w:r>
        <w:rPr>
          <w:b/>
        </w:rPr>
        <w:t>Shared claim-specific concepts:</w:t>
      </w:r>
      <w:r>
        <w:t xml:space="preserve"> methodological, foresight; EU scope not established. This is a provisional connection, not an outcome finding.</w:t>
      </w:r>
    </w:p>
    <w:p>
      <w:pPr>
        <w:pStyle w:val="SourceNote"/>
      </w:pPr>
      <w:r>
        <w:rPr>
          <w:b/>
        </w:rPr>
        <w:t>Available abstract (not full text):</w:t>
      </w:r>
      <w:r>
        <w:t xml:space="preserve"> There is growing interest in developing foresight cultures within international organizations. This reflection on the United Nations Environment Programme (UNEP) approach focuses on a critical 18-month chapter of an ongoing initiative called the Foresight Trajectory. It begins with the premise that organizations are complex adaptive systems, foresight is driven by its potential value, and anticipation is a social phenomenon. The paper proposes principles for cultivating a culture of organizational foresight based on a methodological reflection of the UNEP Foresight Trajectory. This process applied three sets of Reflection Questions across six project phases, generating key insights that inform principles for cultivating foresight within the organization. The questions addressed contexts, relevance perceptions, and modes of anticipation. Three main insights emerged: the foresight process was dynamic and adaptive; the process itself fosters a future-focused culture; and UNEP, along with other international entities, is uniquely positioned to lead multi-perspective foresight processes. Based on these insights, seven Foresight Principles are proposed to guide UNEP and other international entities in engaging stakeholders in foresight to explore new ideas, prepare for uncertainty, build a foresight community, stay flexible and reflexive, communicate openly while respecting stakehold</w:t>
      </w:r>
    </w:p>
    <w:p>
      <w:pPr/>
      <w:r>
        <w:rPr>
          <w:b/>
        </w:rPr>
        <w:t>POSSIBLE 2024:</w:t>
      </w:r>
      <w:r>
        <w:t xml:space="preserve"> IS THE PUBLICATION LEGAL/LAW/JUDICIAL? — https://doi.org/10.23939/sjs2024.02.001</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The problem of clarifying the correct use of the concepts of legal, law, and judicial for a clear purpose is currently in the field of interest of legal scholars, linguists, and terminologists. Communicators are also involved in the detailed study of this issue, for whom clarifying this issue is important and necessary for further media research of various kinds. The disagreement among scholars on the use of these concepts is explained, in our opinion, primarily by the not entirely clear establishment of the general term field in the domain of judicial («legal») science. The purpose of the research was to determine the correctness of word usage in the selfidentification of legal/law/judicial publications. In order to achieve this goal, we emphasize the need to fulfill the following tasks: – to distinguish self-titles in the description of legal/law/judicial publications; – to establish the linguistic features of the concepts of «legal», «law», «judicial» and the peculiarities ofscientific and practical discourse on this issue. As we have seen from the titles and descriptions of the publications, some of them contain the term «judicial» and others «legal» or «law». In the course of the study, we have identified the opinions of journalism scholars, philologists, and lawyers, both academics and practitioners, on the correctness of using these words in defining the intended purpose</w:t>
      </w:r>
    </w:p>
    <w:p>
      <w:pPr/>
      <w:r>
        <w:rPr>
          <w:b/>
        </w:rPr>
        <w:t>POSSIBLE 2024:</w:t>
      </w:r>
      <w:r>
        <w:t xml:space="preserve"> Exploring the Chat GPT's Impact and Prospects for Business Research Purposes — https://doi.org/10.1109/inocon60754.2024.10511483</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research provides a detailed analysis of publications related to the Chat GPT topic using data from the Scopus database. The main purpose of this research is to find research gaps within ChatGPT research, especially in business. This research content is divided into four key areas: publication and citation structure, past research topics, author co-citation analysis, and keyword co-occurrence analysis. The research finds that Chat GPT is actively explored in medicine, social science, computer science, and engineering. Most past research is not directly related to business, but it can support business continuity. The research notes a balanced contribution from authors and identifies "Artificial Intelligence" as a leading keyword. Countries like the United States, China, and India are major contributors. Using Latent Dirichlet Allocation (LDA), the study categorizes previous work into five areas: remote learning, AI-based customer support, Learning Management Systems, academic research roles, and AI data handling. The co-citation analysis shows that authors, specifically Wu J. and Radford A., have significantly impacted the Chat GPT publication. For keyword co-occurrence, "Artificial Intelligence" and "ChatGPT" are keywords that have a strong link. The keywords cluster are divided into technology (red) and human-centric (green) topics.</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methodological, well, national, foresight, tool;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2024:</w:t>
      </w:r>
      <w:r>
        <w:t xml:space="preserve"> Emerging Biotechnologies in Europe: Foresight for Policy — https://doi.org/10.2760/4814109</w:t>
      </w:r>
    </w:p>
    <w:p>
      <w:pPr/>
      <w:r>
        <w:rPr>
          <w:b/>
        </w:rPr>
        <w:t>Shared claim-specific concepts:</w:t>
      </w:r>
      <w:r>
        <w:t xml:space="preserve"> recommendations, improve, foresight;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Mission-oriented scenarios: a new method for urban foresight — https://doi.org/10.1108/fs-06-2023-0119</w:t>
      </w:r>
    </w:p>
    <w:p>
      <w:pPr/>
      <w:r>
        <w:rPr>
          <w:b/>
        </w:rPr>
        <w:t>Shared claim-specific concepts:</w:t>
      </w:r>
      <w:r>
        <w:t xml:space="preserve"> purpose, methodological, foresight; EU scope visible. This is a provisional connection, not an outcome finding.</w:t>
      </w:r>
    </w:p>
    <w:p>
      <w:pPr>
        <w:pStyle w:val="SourceNote"/>
      </w:pPr>
      <w:r>
        <w:rPr>
          <w:b/>
        </w:rPr>
        <w:t>Available abstract (not full text):</w:t>
      </w:r>
      <w:r>
        <w:t xml:space="preserve"> Purpose The purpose of this study is to propose an innovative and efficient process in urban policy-making that combines a divergent and creative method with a convergent and strategic one. At the same time, the purpose is also to propose a useful innovation to enforce the usability of both methods. On the one hand, mission-oriented policies run the risk of being overly focused on the present and of not being able to develop preparedness in organization. On the other hand, scenario development has the reverse problem it often does not point out how to use scenario narratives to inform and devise short-term strategic actions. Design/methodology/approach The paper proposes an innovative methodological approach, the mission-oriented scenarios, which hybridizes Mazzucato's mission-oriented public policy framework with Jim Dator's Manoa school four futures method. The proposed methodological innovation emerges from a urban foresight academic-led project carried out in the context of the Metropolitan City of Turin, Italy, where a first application of the mission-oriented scenarios was tested on six different focal issues (from reindustrialization to cultural policies) and the scenario narratives were used as sources for the grounding of 12 missions and 48 strategic actions towards 2030. Findings Mission-oriented scenarios can contribute to the generation of more sustainable and inclu</w:t>
      </w:r>
    </w:p>
    <w:p>
      <w:pPr/>
      <w:r>
        <w:rPr>
          <w:b/>
        </w:rPr>
        <w:t>POSSIBLE 2023:</w:t>
      </w:r>
      <w:r>
        <w:t xml:space="preserve"> DEPENDENCE OF PUBLICATION ACTIVITY IN OCCUPATIONAL HEALTH ON THE TYPE OF SCIENTIFIC PAPERS — https://doi.org/10.31089/978-5-6042929-1-4-2023-1-285-290</w:t>
      </w:r>
    </w:p>
    <w:p>
      <w:pPr/>
      <w:r>
        <w:rPr>
          <w:b/>
        </w:rPr>
        <w:t>Shared claim-specific concepts:</w:t>
      </w:r>
      <w:r>
        <w:t xml:space="preserve"> purpose, publication, detailed, terms; EU scope not established. This is a provisional connection, not an outcome finding.</w:t>
      </w:r>
    </w:p>
    <w:p>
      <w:pPr>
        <w:pStyle w:val="SourceNote"/>
      </w:pPr>
      <w:r>
        <w:rPr>
          <w:b/>
        </w:rPr>
        <w:t>Available abstract (not full text):</w:t>
      </w:r>
      <w:r>
        <w:t xml:space="preserve"> The brief analysis of the application of publication activity indicators of scientific and educational organizations in the field of occupational health based on a multi-level study of scientometric data of the RSCI system. For the purpose of this analysis, based on the data of the Russian Scientific Citation Index (RSCI), as the main database of domestic publications, a comparison of publication activity in the field of occupational health for all the years recorded in the RSCI and for the 5‑year period — 2016‑2020 on scientific publications of 14 specialized research Institutions and 9 medical Universities with departments of occupational health/occupational deseases. From the analyzed data array, most of the scientific publications relate to medical universities, and a smaller part to research institutes (254 953 and 30 473). Nevertheless, in medical universities it is much less common than in research institutes to note publications that are precisely included in the field of occupational health, and their quantitative preponderance in publications is due to the versatility of educational institutions. This determines the continuation of the analysis in terms of a more detailed consideration of the topics of the publications themselves.</w:t>
      </w:r>
    </w:p>
    <w:p>
      <w:pPr/>
      <w:r>
        <w:rPr>
          <w:b/>
        </w:rPr>
        <w:t>POSSIBLE 2023:</w:t>
      </w:r>
      <w:r>
        <w:t xml:space="preserve"> INTRODUCING ENGLISH FOR RESEARCH PUBLICATION PURPOSES By JohnFlowerdew and PejmanHabibieRoutledge. ISBN 978‐0367330583. Price USD 39.16 (paperback), 136.00 (hardcover). 150 pages. — https://doi.org/10.1002/tesj.715</w:t>
      </w:r>
    </w:p>
    <w:p>
      <w:pPr/>
      <w:r>
        <w:rPr>
          <w:b/>
        </w:rPr>
        <w:t>Shared claim-specific concepts:</w:t>
      </w:r>
      <w:r>
        <w:t xml:space="preserve"> publication, detailed, stage, well; EU scope not established. This is a provisional connection, not an outcome finding.</w:t>
      </w:r>
    </w:p>
    <w:p>
      <w:pPr>
        <w:pStyle w:val="SourceNote"/>
      </w:pPr>
      <w:r>
        <w:rPr>
          <w:b/>
        </w:rPr>
        <w:t>Available abstract (not full text):</w:t>
      </w:r>
      <w:r>
        <w:t xml:space="preserve"> English seems to have secured its position as the international language of academic communication and knowledge dissemination. The publish or perish policy which many academic centers of the world promote has turned out to be a publish-in-English or perish policy (Habibie, 2022). Given the significance of English as the lingua franca of scholarly publication, English for research publication purposes (ERPP) has turned into an independent area of study within English for academic purposes (EAP). The past decade has witnessed an increase in research on English as used in published academic works in different disciplines and within different genres. Despite the growing interest in this topic and the increase in the number of journal articles in this area, there are still few, if any, textbooks focusing on the various dimensions of ERPP. In Introducing English for Research Publication Purposes, Flowerdew and Habibie have pioneered in covering, within 10 chapters, “what ERPP encompasses as a scholarly field, including its disciplinary boundaries, competing discourses within the field, research and practice paradigms” in a compendious and coherent manner (p. i). The eight-page introduction to the book presents English for research publication purposes as a scholarly field developed in response to the needs of both scholars with a first language other than English and Anglophone rese</w:t>
      </w:r>
    </w:p>
    <w:p>
      <w:pPr>
        <w:pStyle w:val="Heading2"/>
      </w:pPr>
      <w:r>
        <w:t>579.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The Need for Synergy in Foresight Research for Healthcare and Medical Sciences — https://doi.org/10.36401/iddb-25-1</w:t>
      </w:r>
    </w:p>
    <w:p>
      <w:pPr/>
      <w:r>
        <w:rPr>
          <w:b/>
        </w:rPr>
        <w:t>Shared claim-specific concepts:</w:t>
      </w:r>
      <w:r>
        <w:t xml:space="preserve"> possible, foresight, international, trends, challenges;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2024:</w:t>
      </w:r>
      <w:r>
        <w:t xml:space="preserve"> Emerging Biotechnologies in Europe: Foresight for Policy — https://doi.org/10.2760/4814109</w:t>
      </w:r>
    </w:p>
    <w:p>
      <w:pPr/>
      <w:r>
        <w:rPr>
          <w:b/>
        </w:rPr>
        <w:t>Shared claim-specific concepts:</w:t>
      </w:r>
      <w:r>
        <w:t xml:space="preserve"> foresight, addressing, international, challenges;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environmental, foresight, addressing, international, challenges;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possible, environmental, foresight, trends;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r>
        <w:rPr>
          <w:b/>
        </w:rPr>
        <w:t>POSSIBLE 2023:</w:t>
      </w:r>
      <w:r>
        <w:t xml:space="preserve"> Web based research in sexual medicine: a position statement of the European Society for Sexual Medicine — https://doi.org/10.1093/sexmed/qfad032</w:t>
      </w:r>
    </w:p>
    <w:p>
      <w:pPr/>
      <w:r>
        <w:rPr>
          <w:b/>
        </w:rPr>
        <w:t>Shared claim-specific concepts:</w:t>
      </w:r>
      <w:r>
        <w:t xml:space="preserve"> possible, statements, identified, researchers, challenges; EU scope visible. This is a provisional connection, not an outcome finding.</w:t>
      </w:r>
    </w:p>
    <w:p>
      <w:pPr>
        <w:pStyle w:val="SourceNote"/>
      </w:pPr>
      <w:r>
        <w:rPr>
          <w:b/>
        </w:rPr>
        <w:t>Available abstract (not full text):</w:t>
      </w:r>
      <w:r>
        <w:t xml:space="preserve"> Background: Although the use of the Web has brought major advances in every step of the research process, this also comes with several methodological challenges. Aim: The article presents the European Society for Sexual Medicine's position statements on key methodological concerns relative to Web-based research in sexual medicine. Methods: The authors conducted a systematic scoping review of articles using Web-based research methods in sexual medicine. For the creation of the statements, the authors processed the data from the methodology of the studies and formulated the final statements reaching 100% agreement in the group. Outcomes: European Society for Sexual Medicine statements were provided on the following domains: definition of the population of interest, selection of the population of interest, data collection quality, response rate, self-reported questionnaire, consent, and legal obligations. Results: Researchers should justify the relevance of the Internet population to the population of interest; should clearly describe how they identified study participants; should select and employ specific measures to avoid hoax; should explicitly describe the process of calculation of response and completion rates as well as the relative implications; should validate traditional sexual health questionnaires for online and, if possible, multilingual use; should not ignore consent</w:t>
      </w:r>
    </w:p>
    <w:p>
      <w:pPr/>
      <w:r>
        <w:rPr>
          <w:b/>
        </w:rPr>
        <w:t>POSSIBLE 2023:</w:t>
      </w:r>
      <w:r>
        <w:t xml:space="preserve"> Frequent questions and responses on the 2022 lipoprotein(a) consensus statement of the European Atherosclerosis Society — https://doi.org/10.1016/j.atherosclerosis.2023.04.012</w:t>
      </w:r>
    </w:p>
    <w:p>
      <w:pPr/>
      <w:r>
        <w:rPr>
          <w:b/>
        </w:rPr>
        <w:t>Shared claim-specific concepts:</w:t>
      </w:r>
      <w:r>
        <w:t xml:space="preserve"> used, questions, asked; EU scope visible. This is a provisional connection, not an outcome finding.</w:t>
      </w:r>
    </w:p>
    <w:p>
      <w:pPr>
        <w:pStyle w:val="SourceNote"/>
      </w:pPr>
      <w:r>
        <w:rPr>
          <w:b/>
        </w:rPr>
        <w:t>Available abstract (not full text):</w:t>
      </w:r>
      <w:r>
        <w:t xml:space="preserve"> In 2022, the European Atherosclerosis Society (EAS) published a new consensus statement on lipoprotein(a) [Lp(a)], summarizing current knowledge about its causal association with atherosclerotic cardiovascular disease (ASCVD) and aortic stenosis. One of the novelties of this statement is a new risk calculator showing how Lp(a) influences lifetime risk for ASCVD and that global risk may be underestimated substantially in individuals with high or very high Lp(a) concentration. The statement also provides practical advice on how knowledge about Lp(a) concentration can be used to modulate risk factor management, given that specific and highly effective mRNA-targeted Lp(a)-lowering therapies are still in clinical development. This advice counters the attitude: "Why should I measure Lp(a) if I can't lower it?". Subsequent to publication, questions have arisen relating to how the recommendations of this statement impact everyday clinical practice and ASCVD management. This review addresses 30 of the most frequently asked questions about Lp(a) epidemiology, its contribution to cardiovascular risk, Lp(a) measurement, risk factor management and existing therapeutic options.</w:t>
      </w:r>
    </w:p>
    <w:p>
      <w:pPr>
        <w:pStyle w:val="Heading2"/>
      </w:pPr>
      <w:r>
        <w:t>580.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2023:</w:t>
      </w:r>
      <w:r>
        <w:t xml:space="preserve"> Drought Severity and Trends in a Mediterranean Oak Forest — https://doi.org/10.3390/hydrology10080167</w:t>
      </w:r>
    </w:p>
    <w:p>
      <w:pPr/>
      <w:r>
        <w:rPr>
          <w:b/>
        </w:rPr>
        <w:t>Shared claim-specific concepts:</w:t>
      </w:r>
      <w:r>
        <w:t xml:space="preserve"> drought, severity, current, climate; EU scope visible. This is a provisional connection, not an outcome finding.</w:t>
      </w:r>
    </w:p>
    <w:p>
      <w:pPr>
        <w:pStyle w:val="SourceNote"/>
      </w:pPr>
      <w:r>
        <w:rPr>
          <w:b/>
        </w:rPr>
        <w:t>Available abstract (not full text):</w:t>
      </w:r>
      <w:r>
        <w:t xml:space="preserve"> Drought is a significant natural hazard with widespread socioeconomic and environmental impacts. This study investigated the long-term drought characteristics in a Mediterranean oak forest ecosystem using the Standardized Precipitation Evapotranspiration Index (SPEI) at various time scales and seasons. The analysis was based on a long-term time series dataset obtained from a meteorological station located at the University Forest of Taxiarchis in Greece. The dataset encompassed a substantial time span of 47 years of continuous monitoring, from 1974 to 2020. To accomplish the goals of the current research, the SPEI was calculated for 3, 6, 12, and 24-month periods, and drought events were identified. The Mann-Kendall (M-K) test was used to analyze the trends in drought severity and evaluate the trends significance. The results showed that shorter time scales (SPEI3 and SPEI6) were more efficient for identifying short-term droughts, while longer time scales (SPEI12 and SPEI24) were better for identifying less frequent but longer-lasting drought episodes. The analysis consistently revealed positive trends across all seasons and time scales, indicating an overall transition towards wetter conditions. Nearly all the data series for SPEI12 and SPEI24 exhibited statistically significant upward trends (wetter conditions) at a 95% confidence level. However, more intense events were dete</w:t>
      </w:r>
    </w:p>
    <w:p>
      <w:pPr/>
      <w:r>
        <w:rPr>
          <w:b/>
        </w:rPr>
        <w:t>POSSIBLE 2023:</w:t>
      </w:r>
      <w:r>
        <w:t xml:space="preserve"> Space and Time Characteristics of Flash Drought Over the Central Europe — https://doi.org/10.5194/egusphere-egu23-443</w:t>
      </w:r>
    </w:p>
    <w:p>
      <w:pPr/>
      <w:r>
        <w:rPr>
          <w:b/>
        </w:rPr>
        <w:t>Shared claim-specific concepts:</w:t>
      </w:r>
      <w:r>
        <w:t xml:space="preserve"> drought, severity, production; EU scope visible. This is a provisional connection, not an outcome finding.</w:t>
      </w:r>
    </w:p>
    <w:p>
      <w:pPr>
        <w:pStyle w:val="SourceNote"/>
      </w:pPr>
      <w:r>
        <w:rPr>
          <w:b/>
        </w:rPr>
        <w:t>Available abstract (not full text):</w:t>
      </w:r>
      <w:r>
        <w:t xml:space="preserve"> Flash drought is a unique natural hazard due to its rapid rate of intensification with potentially detrimental effects on agriculture production. So far few work has been done to investigate the space and time behavior of flash droughts across Central Europe. In this study, we examine the space and time characteristics (Frequency, Rate of intensification, Severity, and Extent) of flash drought events in Central Europe between 1970 and 2020. The weekly averaged top layer (1-10cm) soil moisture (SM) data set of the Global Land Data Assimilation System (GLDAS) has been used as an indicator for identifying flash drought events. Here, we adopted a new definition for flash droughts by considering the intensity, duration, and persistence of flash drought. The results of this study reveal that the occurrence of flash droughts over Central Europe increased rapidly in the last two decades. The intensification rate and severity of flash drought show positive correlation. Moreover, the areal extent of flash drought events increased since 1970 and their centroid shifted towards the southern part of Central Europe. This study provides a better understanding of flash drought process and its dynamics over Central Europe.</w:t>
      </w:r>
    </w:p>
    <w:p>
      <w:pPr/>
      <w:r>
        <w:rPr>
          <w:b/>
        </w:rPr>
        <w:t>POSSIBLE 2023:</w:t>
      </w:r>
      <w:r>
        <w:t xml:space="preserve"> Drought hazards and stakeholder perception: Unraveling the interlinkages between drought severity, perceived impacts, preparedness, and management — https://doi.org/10.1007/s13280-023-01849-w</w:t>
      </w:r>
    </w:p>
    <w:p>
      <w:pPr/>
      <w:r>
        <w:rPr>
          <w:b/>
        </w:rPr>
        <w:t>Shared claim-specific concepts:</w:t>
      </w:r>
      <w:r>
        <w:t xml:space="preserve"> drought, severity, levels, climate; EU scope visible. This is a provisional connection, not an outcome finding.</w:t>
      </w:r>
    </w:p>
    <w:p>
      <w:pPr>
        <w:pStyle w:val="SourceNote"/>
      </w:pPr>
      <w:r>
        <w:rPr>
          <w:b/>
        </w:rPr>
        <w:t>Available abstract (not full text):</w:t>
      </w:r>
      <w:r>
        <w:t xml:space="preserve"> The future risk for droughts and water shortages calls for substantial efforts by authorities to adapt at local levels. Understanding their perception of drought hazards, risk and vulnerability can help to identify drivers of and barriers to drought risk planning and management in a changing climate at the local level. This paper presents a novel interdisciplinary drought case study in Sweden that integrates soft data from a nationwide survey among more than 100 local practitioners and hard data based on hydrological measurements to provide a holistic assessment of the links between drought severity and the perceived levels of drought severity, impacts, preparedness, and management for two consecutive drought events. The paper highlights challenges for drought risk planning and management in a changing climate at the local level and elaborates on how improved understanding of local practitioners to plan for climate change adaptation can be achieved.</w:t>
      </w:r>
    </w:p>
    <w:p>
      <w:pPr/>
      <w:r>
        <w:rPr>
          <w:b/>
        </w:rPr>
        <w:t>POSSIBLE 2023:</w:t>
      </w:r>
      <w:r>
        <w:t xml:space="preserve"> 44% of steep slope cropland in Europe vulnerable to drought — https://doi.org/10.1016/j.geosus.2023.12.001</w:t>
      </w:r>
    </w:p>
    <w:p>
      <w:pPr/>
      <w:r>
        <w:rPr>
          <w:b/>
        </w:rPr>
        <w:t>Shared claim-specific concepts:</w:t>
      </w:r>
      <w:r>
        <w:t xml:space="preserve"> drought, severity, production, agricultural, increase; EU scope visible. This is a provisional connection, not an outcome finding.</w:t>
      </w:r>
    </w:p>
    <w:p>
      <w:pPr>
        <w:pStyle w:val="SourceNote"/>
      </w:pPr>
      <w:r>
        <w:rPr>
          <w:b/>
        </w:rPr>
        <w:t>Available abstract (not full text):</w:t>
      </w:r>
      <w:r>
        <w:t xml:space="preserve"> Steep-slope cropland plays a vital role in food production, economic development, ecosystem diversity, and European cultural heritage. However, these systems are susceptible to extreme weather events. The 2022 summer drought significantly impacted European agriculture, but the specific effects on steep-slope crops remain uncertain. Clarifying this is essential for comprehending similar future events and for implementing effective water management strategies to ensure the sustainability of steep-slope agriculture and associated ecosystem services. This study quantitatively analyzes the spatial distribution of twelve major European steep-slope (&gt;12%) crops and assesses agricultural drought severity during the 2022 events using open-access spatial data. The satellite-based Vegetation Health Index (VHI) is utilized to identify critical hotspots. Results show that olive grove is the most widespread crop in steep slope agriculture (34% of total area), followed by wheat (24%), maize (16%), and vineyard (11%). Almost half of the steep-slope agriculture in Europe suffered drought during summer 2022. Vineyards were hardest affected at 79%, primarily in northern Portugal, northern Spain, southern France, and central Italy. Sunflowers followed at 62%, mainly in Spain, central Italy, southern France, and northern Romania. Olive groves ranked third at 59%, with the most impact in northern Po</w:t>
      </w:r>
    </w:p>
    <w:p>
      <w:pPr/>
      <w:r>
        <w:rPr>
          <w:b/>
        </w:rPr>
        <w:t>POSSIBLE 2023:</w:t>
      </w:r>
      <w:r>
        <w:t xml:space="preserve"> A generalized framework for quantifying and monitoring the severity of meteorological drought — https://doi.org/10.1080/10106049.2023.2228261</w:t>
      </w:r>
    </w:p>
    <w:p>
      <w:pPr/>
      <w:r>
        <w:rPr>
          <w:b/>
        </w:rPr>
        <w:t>Shared claim-specific concepts:</w:t>
      </w:r>
      <w:r>
        <w:t xml:space="preserve"> drought, severity, current, quantify; EU scope not established. This is a provisional connection, not an outcome finding.</w:t>
      </w:r>
    </w:p>
    <w:p>
      <w:pPr>
        <w:pStyle w:val="SourceNote"/>
      </w:pPr>
      <w:r>
        <w:rPr>
          <w:b/>
        </w:rPr>
        <w:t>Available abstract (not full text):</w:t>
      </w:r>
      <w:r>
        <w:t xml:space="preserve"> The current study proposes a new framework for quantifying and monitoring the severity of meteorological drought. The proposed framework consists of three phases. The first phase of the framework uses K-component Gaussian Mixture Distribution (GMD) in the computation. The second phase is mainly based on the dissimilarity matrix-based clustering using C-index and Monte Carlo Feature-based Selection (MCFS) method. The third phase uses the Markov chain, transition probabilities, and a non-homogeneous Poisson process under the Bayesian estimation. The Relative Importance (RI) values are used to choose appropriate stations. The Deviance Information Criteria (DIC) is used to check model suitability, and Root Mean Square Error (RMSE) is utilized for determining model performance. The proposed framework is validated to the 52 meteorological stations in Pakistan for 49 years from 1968 to 2016. Moreover, the outcomes of the current analysis provide insight to quantify and monitor meteorological drought comprehensively and accurately.</w:t>
      </w:r>
    </w:p>
    <w:p>
      <w:pPr/>
      <w:r>
        <w:rPr>
          <w:b/>
        </w:rPr>
        <w:t>POSSIBLE 2022:</w:t>
      </w:r>
      <w:r>
        <w:t xml:space="preserve"> A copula-based assessment of renewable energy droughts across Europe — https://doi.org/10.1016/j.renene.2022.10.091</w:t>
      </w:r>
    </w:p>
    <w:p>
      <w:pPr/>
      <w:r>
        <w:rPr>
          <w:b/>
        </w:rPr>
        <w:t>Shared claim-specific concepts:</w:t>
      </w:r>
      <w:r>
        <w:t xml:space="preserve"> drought, severity, production, climate; EU scope visible. This is a provisional connection, not an outcome finding.</w:t>
      </w:r>
    </w:p>
    <w:p>
      <w:pPr>
        <w:pStyle w:val="SourceNote"/>
      </w:pPr>
      <w:r>
        <w:rPr>
          <w:b/>
        </w:rPr>
        <w:t>Available abstract (not full text):</w:t>
      </w:r>
      <w:r>
        <w:t xml:space="preserve"> Meeting carbon-reduction targets will require thorough consideration of climate variability and climate change due to the increasing share of climate-sensitive renewable energy sources (RES). One of the main concerns arises from situations of low renewable production and high demand, which can hinder the power system. We analysed energy droughts, defined as periods of low energy production (wind plus solar generation) or high residual load (demand minus production), in terms of two main properties: duration and severity. We estimated the joint return periods associated with energy droughts of residual load and power production. We showed that moderate winter energy droughts of both low renewable production and high residual load occur every half a year, while summer events occur every 3.6 and 2.4 years (on average). As expected, the occurrence of energy droughts tends to decrease with the degree of the severity of the energy drought, and moderate and extreme energy droughts showed longer return periods for most countries. In general, we found a large variability across Europe in summer, with some countries (e.g. Italy) being more sensitive to energy droughts. Our results highlight the relevance of sharing RES during prolonged periods of low production and high demand.</w:t>
      </w:r>
    </w:p>
    <w:p>
      <w:pPr/>
      <w:r>
        <w:rPr>
          <w:b/>
        </w:rPr>
        <w:t>POSSIBLE 2022:</w:t>
      </w:r>
      <w:r>
        <w:t xml:space="preserve"> The 2018–2020 Multi‐Year Drought Sets a New Benchmark in Europe — https://doi.org/10.1029/2021ef002394</w:t>
      </w:r>
    </w:p>
    <w:p>
      <w:pPr/>
      <w:r>
        <w:rPr>
          <w:b/>
        </w:rPr>
        <w:t>Shared claim-specific concepts:</w:t>
      </w:r>
      <w:r>
        <w:t xml:space="preserve"> drought, compared, climate;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Effect of Drought Stress on Potato Production: A Review — https://doi.org/10.3390/agronomy12030635</w:t>
      </w:r>
    </w:p>
    <w:p>
      <w:pPr/>
      <w:r>
        <w:rPr>
          <w:b/>
        </w:rPr>
        <w:t>Shared claim-specific concepts:</w:t>
      </w:r>
      <w:r>
        <w:t xml:space="preserve"> drought, severity, production, current, climate; EU scope not established. This is a provisional connection, not an outcome finding.</w:t>
      </w:r>
    </w:p>
    <w:p>
      <w:pPr>
        <w:pStyle w:val="SourceNote"/>
      </w:pPr>
      <w:r>
        <w:rPr>
          <w:b/>
        </w:rPr>
        <w:t>Available abstract (not full text):</w:t>
      </w:r>
      <w:r>
        <w:t xml:space="preserve"> Potato is the third most consumed crop globally after rice and wheat. It is a short-duration crop, versatile in use, suitable for growing in a wide range of environments, and its production is increasing rapidly. The modern potato is considered a drought-sensitive crop, and it is susceptible to yield loss because of drought stress. Unfortunately, drought severity, frequency, and extent have been increasing around the globe because of climate change. Potato drought susceptibility has primarily been attributed to its shallow root system. However, several studies in past decades have suggested that drought susceptibility of potato also depends upon the type, developmental stage, and the morphology of the genotype, and the duration and severity of drought stress. They have been overlooked, and root depth is considered the only significant cause of potato drought susceptibility. This review combines these studies to understand the varying response of potato genotypes. This review also explores the current potato production scenario and the effect of varying degrees of drought stress on potatoes’ growth, development, and yield. In the absence of drought-tolerant genotypes, agronomic practices should be improved to mitigate drought stress. Late maturing cultivars, nutrient management, mulching, and foliar application of plant growth regulators can be used during prolonged droughts. Ir</w:t>
      </w:r>
    </w:p>
    <w:p>
      <w:pPr/>
      <w:r>
        <w:rPr>
          <w:b/>
        </w:rPr>
        <w:t>POSSIBLE 2022:</w:t>
      </w:r>
      <w:r>
        <w:t xml:space="preserve"> The Complex and Spatially Diverse Patterns of Hydrological Droughts Across Europe — https://doi.org/10.1029/2022wr031976</w:t>
      </w:r>
    </w:p>
    <w:p>
      <w:pPr/>
      <w:r>
        <w:rPr>
          <w:b/>
        </w:rPr>
        <w:t>Shared claim-specific concepts:</w:t>
      </w:r>
      <w:r>
        <w:t xml:space="preserve"> drought, severity, assessed; EU scope visible. This is a provisional connection, not an outcome finding.</w:t>
      </w:r>
    </w:p>
    <w:p>
      <w:pPr>
        <w:pStyle w:val="SourceNote"/>
      </w:pPr>
      <w:r>
        <w:rPr>
          <w:b/>
        </w:rPr>
        <w:t>Available abstract (not full text):</w:t>
      </w:r>
      <w:r>
        <w:t xml:space="preserve"> Abstract This study presents a new data set of gauged streamflow (N = 3,224) for Europe spanning the period 1962–2017. The Monthly Streamflow of Europe Dataset (MSED) is freely available at http://msed.csic.es/ . Based on this data set, changes in the characteristics of hydrological drought (i.e., frequency, duration, and severity) were assessed for different regions of Europe. Due to the density of the database, it is possible to delimit spatial patterns in hydrological droughts trend with the greatest detail available to date. Results reveal bidirectional changes in monthly streamflow, with negative changes predominating over central and southern Europe, while positive trends dominate over northern Europe. Temporally, two dominant patterns were noted. The first pattern corresponds to a consistent downward trend in all months, evident for southern Europe. A second pattern was noted over central and northern Europe and western France, with a predominant negative trend during warm months and a positive trend in cold months. For hydrological drought events, results suggest a positive trend toward more frequent and severe droughts in southern and central Europe and conversely a negative trend over northern Europe. This study emphasizes that hydrological droughts show complex spatial patterns across Europe over the past six decades, implying that hydrological drought behavior in Eu</w:t>
      </w:r>
    </w:p>
    <w:p>
      <w:pPr>
        <w:pStyle w:val="Heading2"/>
      </w:pPr>
      <w:r>
        <w:t>581.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r>
        <w:rPr>
          <w:b/>
        </w:rPr>
        <w:t>POSSIBLE 2025:</w:t>
      </w:r>
      <w:r>
        <w:t xml:space="preserve"> Cluster Analysis of the Transition to Climate Neutrality in the European Union — https://doi.org/10.1002/sd.70064</w:t>
      </w:r>
    </w:p>
    <w:p>
      <w:pPr/>
      <w:r>
        <w:rPr>
          <w:b/>
        </w:rPr>
        <w:t>Shared claim-specific concepts:</w:t>
      </w:r>
      <w:r>
        <w:t xml:space="preserve"> union, important, individual, aims, method, between;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European sustainability: ambitions and challenges — https://doi.org/10.24263/edsd-2024-6-3</w:t>
      </w:r>
    </w:p>
    <w:p>
      <w:pPr/>
      <w:r>
        <w:rPr>
          <w:b/>
        </w:rPr>
        <w:t>Shared claim-specific concepts:</w:t>
      </w:r>
      <w:r>
        <w:t xml:space="preserve"> union, first, climate-neutral, continent, greenhouse, gas; EU scope visible. This is a provisional connection, not an outcome finding.</w:t>
      </w:r>
    </w:p>
    <w:p>
      <w:pPr>
        <w:pStyle w:val="SourceNote"/>
      </w:pPr>
      <w:r>
        <w:rPr>
          <w:b/>
        </w:rPr>
        <w:t>Available abstract (not full text):</w:t>
      </w:r>
      <w:r>
        <w:t xml:space="preserve"> The European Union (EU) has been the global leader in sustainable development strategy and climate change mitigation for decades. Key strategic documents, which indicate dedicated environmentally friendly policies of the Union, include, e.g., Europe 2020 Strategy, the Strategy for Circular Economy, the European Green Deal (EGD), and Fit for 55 package. In terms of Europe 2020 strategy on smart, sustainable and inclusive growth, the EU reached over 20% reduction of greenhouse gas (GHG) emission (from 2010 to 2020). And in terms of EGD, the most ambitious goal was set to make Europe the first climate-neutral continent with zero net GHG emission by 2050. Open Russian aggression against Ukraine in Feb 2022 forced Europe to be ready for new challenges, including overcoming dependence on Russian energy resources. Answering these challenges, the EU adopted REPowerEU strategy to eliminate its dependence on Russian fossil fuels till 2030. The Union imposes economic sanctions on the Russian regime and provides powerful financial support to Ukraine. Keeping in mind a huge military machine of Russia and terrorist way of thinking of its leader it seems we still need much more international efforts to turn Europe back to a sustainable track of development.</w:t>
      </w:r>
    </w:p>
    <w:p>
      <w:pPr/>
      <w:r>
        <w:rPr>
          <w:b/>
        </w:rPr>
        <w:t>POSSIBLE 2024:</w:t>
      </w:r>
      <w:r>
        <w:t xml:space="preserve"> Climate Obstruction in the European Union — https://doi.org/10.1093/oso/9780197762042.003.0013</w:t>
      </w:r>
    </w:p>
    <w:p>
      <w:pPr/>
      <w:r>
        <w:rPr>
          <w:b/>
        </w:rPr>
        <w:t>Shared claim-specific concepts:</w:t>
      </w:r>
      <w:r>
        <w:t xml:space="preserve"> union, ambition, individual;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union, greenhouse, gas, emissions;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Internal Combustion Engines and Carbon-Neutral Fuels: A Perspective on Emission Neutrality in the European Union — https://doi.org/10.3390/en17051172</w:t>
      </w:r>
    </w:p>
    <w:p>
      <w:pPr/>
      <w:r>
        <w:rPr>
          <w:b/>
        </w:rPr>
        <w:t>Shared claim-specific concepts:</w:t>
      </w:r>
      <w:r>
        <w:t xml:space="preserve"> union, first, climate-neutral, continent, transport, aims; EU scope visible. This is a provisional connection, not an outcome finding.</w:t>
      </w:r>
    </w:p>
    <w:p>
      <w:pPr>
        <w:pStyle w:val="SourceNote"/>
      </w:pPr>
      <w:r>
        <w:rPr>
          <w:b/>
        </w:rPr>
        <w:t>Available abstract (not full text):</w:t>
      </w:r>
      <w:r>
        <w:t xml:space="preserve"> Nowadays, there is an intense debate in the European Union (EU) regarding the limits to achieve the European Green Deal, to make Europe the first climate-neutral continent in the world. In this context, there are also different opinions about the role that thermal engines should play. Furhermore, there is no clear proposal regarding the possibilities of the use of green hydrogen in the transport decarbonization process, even though it should be a key element. Thus, there are still no precise guidelines regarding the role of green hydrogen, with it being exclusively used as a raw material to produce E-fuels. This review aims to evaluate the possibilities of applying the different alternative technologies available to successfully complete the process already underway to achieve Climate Neutrality by about 2050, depending on the maturity of the technologies currently available, and those anticipated to be available in the coming decades.</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union, first, emissions, relationship, between;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Climate Obstruction across Europe — https://doi.org/10.1093/oso/9780197762042.001.0001</w:t>
      </w:r>
    </w:p>
    <w:p>
      <w:pPr/>
      <w:r>
        <w:rPr>
          <w:b/>
        </w:rPr>
        <w:t>Shared claim-specific concepts:</w:t>
      </w:r>
      <w:r>
        <w:t xml:space="preserve"> union, first, continent, emissions, including, between;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pStyle w:val="Heading2"/>
      </w:pPr>
      <w:r>
        <w:t>582.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2024:</w:t>
      </w:r>
      <w:r>
        <w:t xml:space="preserve"> Tracking Candidemia Trends and Antifungal Resistance Patterns across Europe: An In-Depth Analysis of Surveillance Systems and Surveillance Studies — https://doi.org/10.3390/jof10100685</w:t>
      </w:r>
    </w:p>
    <w:p>
      <w:pPr/>
      <w:r>
        <w:rPr>
          <w:b/>
        </w:rPr>
        <w:t>Shared claim-specific concepts:</w:t>
      </w:r>
      <w:r>
        <w:t xml:space="preserve"> methods, in-depth, system, trends; EU scope visible. This is a provisional connection, not an outcome finding.</w:t>
      </w:r>
    </w:p>
    <w:p>
      <w:pPr>
        <w:pStyle w:val="SourceNote"/>
      </w:pPr>
      <w:r>
        <w:rPr>
          <w:b/>
        </w:rPr>
        <w:t>Available abstract (not full text):</w:t>
      </w:r>
      <w:r>
        <w:t xml:space="preserve"> Background: The WHO fungal priority list classifies Candida species as critical and high-priority pathogens, and the WHO GLASS fungi initiative seeks to establish a standardised global framework for antifungal resistance monitoring. We aimed to review resistance rates and antifungal resistance patterns across European surveillance systems and studies in response to these recent calls for action. Methods: A systematic review of national and international surveillance systems and peer-reviewed surveillance studies available up to June 2024 was conducted. Descriptive and trend analyses were performed on surveillance data reporting resistance to different antifungals in Candida spp. Results: In total, 6 national surveillance systems and 28 studies from 13 countries provided candidemia resistance data, mostly about the C. albicans, C. glabrata and C. parapsilosis complex. Azole resistance was most frequently reported (6/6 surveillance systems and 27/28 studies) with the highest resistance rate, especially for C. glabrata, in Croatia (100%, 28/28 isolates) and Slovenia (85.7%, 82/96) and C. parapsilosis in Croatia (80.6%, 54/67) and Italy (72.6%, 106/146). Echinocandin and polyene resistance rates were nearly zero. The number of isolates included in the surveillance systems increased over the years, particularly for C. albicans (+40–60 isolates/year), C. glabrata, and C. parapsilosis</w:t>
      </w:r>
    </w:p>
    <w:p>
      <w:pPr/>
      <w:r>
        <w:rPr>
          <w:b/>
        </w:rPr>
        <w:t>POSSIBLE 2024:</w:t>
      </w:r>
      <w:r>
        <w:t xml:space="preserve"> Different Types of Questionnaires as a Tool in Placemaking Research — https://doi.org/10.1163/9789004691919_007</w:t>
      </w:r>
    </w:p>
    <w:p>
      <w:pPr/>
      <w:r>
        <w:rPr>
          <w:b/>
        </w:rPr>
        <w:t>Shared claim-specific concepts:</w:t>
      </w:r>
      <w:r>
        <w:t xml:space="preserve"> in-depth, questionnaire, process; EU scope not established. This is a provisional connection, not an outcome finding.</w:t>
      </w:r>
    </w:p>
    <w:p>
      <w:pPr>
        <w:pStyle w:val="SourceNote"/>
      </w:pPr>
      <w:r>
        <w:rPr>
          <w:b/>
        </w:rPr>
        <w:t>Available abstract (not full text):</w:t>
      </w:r>
      <w:r>
        <w:t xml:space="preserve"> Urban spaces require increasing their attractiveness by exploring the social and spatial implications of new lifestyles.Broad civic knowledge is the basis for placemaking to shape user-centred and inclusive spaces of everyday life.Gathering information on the sense of the place is crucial to finding out and understanding the place-related identity of its users to make the place more appealing and usable.The most popular survey tool is a questionnaire constructed as a series of questions and used for collecting information about a population's attributes, attitudes or actions.Administered in person or online, questionnaire surveys may provide broad coverage of urban communities -however, they require significantly large human resources to carry out.The survey based on personal contact with the respondent may limit time allocated to its implementation, thus affecting the sample selection.Also, the researcher's involvement in the questionnaire-filling process can be problematic if he or she reveals the Kimic et al. topic of interest and if the sequencing of questionnaire themes influences responses.Similarly, an online questionnaire may not reach some potential respondents due to their reduced access to the internet etc.These limitations may affect the results' reliability.Taking into account the above-mentioned aspects, the idea of this chapter is to present selected types of que</w:t>
      </w:r>
    </w:p>
    <w:p>
      <w:pPr/>
      <w:r>
        <w:rPr>
          <w:b/>
        </w:rPr>
        <w:t>POSSIBLE 2024:</w:t>
      </w:r>
      <w:r>
        <w:t xml:space="preserve"> Evaluation of the SARC-F Questionnaire as a Diagnostic Tool for Sarcopenia in Geriatric Age-group in India — https://doi.org/10.59556/japi.72.0574</w:t>
      </w:r>
    </w:p>
    <w:p>
      <w:pPr/>
      <w:r>
        <w:rPr>
          <w:b/>
        </w:rPr>
        <w:t>Shared claim-specific concepts:</w:t>
      </w:r>
      <w:r>
        <w:t xml:space="preserve"> materials, methods, questionnaire; EU scope visible. This is a provisional connection, not an outcome finding.</w:t>
      </w:r>
    </w:p>
    <w:p>
      <w:pPr>
        <w:pStyle w:val="SourceNote"/>
      </w:pPr>
      <w:r>
        <w:rPr>
          <w:b/>
        </w:rPr>
        <w:t>Available abstract (not full text):</w:t>
      </w:r>
      <w:r>
        <w:t xml:space="preserve"> INTRODUCTION: With medical science advancing in leaps and bounds, average lifespan is now trending upward, and we are now facing an increasing prevalence of diseases of the elderly, sarcopenia being one of them. Unfortunately, sarcopenia, especially in India, remains to be frequently overlooked, underdiagnosed, and largely understudied. One of the greatest hindrances to the diagnosis of sarcopenia is high costs and limited availability of diagnostic modalities such as magnetic resonance imaging (MRI) and dual energy X-ray absorptiometry (DEXA) scan. Accessible, feasible, and affordable means to diagnose sarcopenia is thus the need of the hour. MATERIALS AND METHODS: We performed a cross-sectional observational study among 300 patients aged 65 years or above (including both outpatient and inpatient departments) at MM Institute of Medical Sciences, Mullana between June 2021 and June 2022. Patients were evaluated as per the European Working Group for Sarcopenia in Older People (EWGSOP) algorithm using bioelectrical impedance analysis (BIA) and the results were compared with results of the SARC-F questionnaire. Statistical analyses were then carried out using IBM Statistical Package for the Social Sciences (SPSS) Statistics version 26. RESULTS: = 0.74). SARC-F showed a sensitivity of 73.2% and a specificity of 37.3% with a positive predictive value of 86.51% and a negative predicti</w:t>
      </w:r>
    </w:p>
    <w:p>
      <w:pPr/>
      <w:r>
        <w:rPr>
          <w:b/>
        </w:rPr>
        <w:t>POSSIBLE 2024:</w:t>
      </w:r>
      <w:r>
        <w:t xml:space="preserve"> Questionnaire as an important tool for identifying factors influencing teething delay — https://doi.org/10.33295/1992-576x-2024-1-27</w:t>
      </w:r>
    </w:p>
    <w:p>
      <w:pPr/>
      <w:r>
        <w:rPr>
          <w:b/>
        </w:rPr>
        <w:t>Shared claim-specific concepts:</w:t>
      </w:r>
      <w:r>
        <w:t xml:space="preserve"> materials, methods, questionnaire, first; EU scope not established. This is a provisional connection, not an outcome finding.</w:t>
      </w:r>
    </w:p>
    <w:p>
      <w:pPr>
        <w:pStyle w:val="SourceNote"/>
      </w:pPr>
      <w:r>
        <w:rPr>
          <w:b/>
        </w:rPr>
        <w:t>Available abstract (not full text):</w:t>
      </w:r>
      <w:r>
        <w:t xml:space="preserve"> Aim. To identify risk factors for delayed eruption of permanent anterior teeth in children aged 7 to 14 years, based on clinical examination, radiological examination, parental/caregiver questioning. Materials and Methods. The study included Ukrainian children aged 7-14 years who had delayed eruption of permanent teeth. They were divided into two groups. Group I was composed of 56 (40.0%) children aged 7-9 years with early mixed dentition; Group II was made of 84 (60.0%) individuals aged 10-14 years who had the final stage of mixed dentition. After careful history taking and physical examination, a clinical examination was performed to identify abnormal positions of incisors or canines and to determine the condition of the oral cavity and the bite; a radiological examination included CBCT; and the children’s parents /caregivers were surveyed with the use of the questionnaire we had developed. Results. It has been established that the main risk factors for delayed eruption of permanent teeth are arch-length deficiency, recurrent colds, respiratory disorders, delay in chewing food, pathology in the first trimester of pregnancy, premature extraction of primary teeth, use of a pacifier, delayed loss of deciduous teeth, bad habits, allergies, formula and mixed feeding, orthodontic treatment in the parents’ history, ectopic teething, and injuries to the maxillofacial area in children</w:t>
      </w:r>
    </w:p>
    <w:p>
      <w:pPr/>
      <w:r>
        <w:rPr>
          <w:b/>
        </w:rPr>
        <w:t>POSSIBLE 2023:</w:t>
      </w:r>
      <w:r>
        <w:t xml:space="preserve"> Linguistic and cultural adaptation of the EARP Questionnaire to European Portuguese. — https://openalex.org/W4313800247</w:t>
      </w:r>
    </w:p>
    <w:p>
      <w:pPr/>
      <w:r>
        <w:rPr>
          <w:b/>
        </w:rPr>
        <w:t>Shared claim-specific concepts:</w:t>
      </w:r>
      <w:r>
        <w:t xml:space="preserve"> methods, questionnaire, health, experts, process, four; EU scope visible. This is a provisional connection, not an outcome finding.</w:t>
      </w:r>
    </w:p>
    <w:p>
      <w:pPr>
        <w:pStyle w:val="SourceNote"/>
      </w:pPr>
      <w:r>
        <w:rPr>
          <w:b/>
        </w:rPr>
        <w:t>Available abstract (not full text):</w:t>
      </w:r>
      <w:r>
        <w:t xml:space="preserve"> OBJECTIVE: This study aims at the linguistic and cultural adaptation of the Early ARthritis for Psoriatic Patients (EARP) questionnaire into European Portuguese, for psoriatic patients attending dermatology medical examination. METHODS: Firstly, we performed a process of translation and back-translation of the English version of the EARP Questionnaire to European Portuguese, with interim and final harmonization. The resulting Portuguese version was approved by the EARP original author. Secondly, individual interviews were conducted to complete the linguistic and cultural adaptation of the initial translated Portuguese version, with the think-aloud and probe methods. At this stage, we conducted eight interviews, four with rheumatology and dermatology doctors (experts), and four with patients with psoriasis and psoriatic arthritis. Finally, the version resulting from the adaptation process was back-translated from Portuguese to English. RESULTS: Our results showed that EARP Questionnaire's items are easy to understand and do not raise comprehension concerns in experts or patients. Our findings suggested that items demanding health literacy from patients and that do not include a precise cue to signal the inflammatory nature of the joint pain may lead to confusion while answering, potentially leading to the patient's need for assistance. CONCLUSION: The Portuguese version of the E</w:t>
      </w:r>
    </w:p>
    <w:p>
      <w:pPr>
        <w:pStyle w:val="Heading2"/>
      </w:pPr>
      <w:r>
        <w:t>583.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2025:</w:t>
      </w:r>
      <w:r>
        <w:t xml:space="preserve"> Contextual differences in the student evaluation of teaching (SET) in Mexico: comparing education face to face and online classes between different faculties — https://doi.org/10.1504/ijmie.2025.148275</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2025:</w:t>
      </w:r>
      <w:r>
        <w:t xml:space="preserve"> Contextual differences in the student evaluation of teaching (SET) in Mexico: comparing education face to face and online classes between different faculties — https://doi.org/10.1504/ijmie.2025.10069564</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2023:</w:t>
      </w:r>
      <w:r>
        <w:t xml:space="preserve"> Systematic analysis of PMV and SET* in an imagined normal environment — https://doi.org/10.1201/9781003410843-27</w:t>
      </w:r>
    </w:p>
    <w:p>
      <w:pPr/>
      <w:r>
        <w:rPr>
          <w:b/>
        </w:rPr>
        <w:t>Shared claim-specific concepts:</w:t>
      </w:r>
      <w:r>
        <w:t xml:space="preserve"> set, different, between, increase; EU scope not established. This is a provisional connection, not an outcome finding.</w:t>
      </w:r>
    </w:p>
    <w:p>
      <w:pPr>
        <w:pStyle w:val="SourceNote"/>
      </w:pPr>
      <w:r>
        <w:rPr>
          <w:b/>
        </w:rPr>
        <w:t>Available abstract (not full text):</w:t>
      </w:r>
      <w:r>
        <w:t xml:space="preserve"> The Predicted Mean Vote (PMV) and Standard Effective Temperature (SET*) are widely used models in international standards to quantify thermal comfort. Nonetheless, literature is scarce on the quantification of the interrelationship between these two models, demanding a systematic study. Therefore, in this study, the interrelationship between PMV and SET* in an assumed normal environment is investigated. For this purpose, a large set of data samples was generated by considering various thermal variables at different levels within certain threshold limits and employed in the designated model formulation of PMV and SET*. The mathematical models were established to quantify the interrelationship between PMV and SET* for various clothing insulation (I cl ). In addition, frequency distributions of PMV and SET* based on established models were evaluated, which showed that the relevant relationship between the proposed models was substantially based on computation outputs rather than computation/heat variables. The parametric analyses showed that these models were significantly and synergistically influenced by different heat variables, and their selection may play an important role in defining thermal comfort using these two models. The results of both models were influenced by air velocity (V) at the lower operating temperature (T op ) and relative humidity (φ) at the higher Top in t</w:t>
      </w:r>
    </w:p>
    <w:p>
      <w:pPr/>
      <w:r>
        <w:rPr>
          <w:b/>
        </w:rPr>
        <w:t>POSSIBLE 2022:</w:t>
      </w:r>
      <w:r>
        <w:t xml:space="preserve"> Transcriptome Profiling Based on Larvae at Different Time Points After Hatching Provides a Core Set of Gene Resource for Understanding the Metabolic Mechanisms of the Brood-Care Behavior in Octopus ocellatus — https://doi.org/10.3389/fphys.2021.762681</w:t>
      </w:r>
    </w:p>
    <w:p>
      <w:pPr/>
      <w:r>
        <w:rPr>
          <w:b/>
        </w:rPr>
        <w:t>Shared claim-specific concepts:</w:t>
      </w:r>
      <w:r>
        <w:t xml:space="preserve"> provide, set, different, between; EU scope not established. This is a provisional connection, not an outcome finding.</w:t>
      </w:r>
    </w:p>
    <w:p>
      <w:pPr>
        <w:pStyle w:val="SourceNote"/>
      </w:pPr>
      <w:r>
        <w:rPr>
          <w:b/>
        </w:rPr>
        <w:t>Available abstract (not full text):</w:t>
      </w:r>
      <w:r>
        <w:t xml:space="preserve"> The metabolic processes of organisms are very complex. Each process is crucial and affects the growth, development, and reproduction of organisms. Metabolism-related mechanisms inOctopus ocellatusbehaviors have not been widely studied. Brood-care is a common behavior in most organisms, which can improve the survival rate and constitution of larvae.Octopus ocellatuscarried out this behavior, but it was rarely noticed by researchers before. In our study, 3,486 differentially expressed genes (DEGs) were identified based on transcriptome analysis ofO. ocellatus. We identify metabolism-related DEGs using GO and KEGG enrichment analyses. Then, we construct protein–protein interaction networks to search the functional relationships between metabolism-related DEGs. Finally, we identified 10 hub genes related to multiple gene functions or involved in multiple signal pathways and verified them using quantitative real-time polymerase chain reaction (qRT-PCR). Protein–protein interaction networks were first used to study the effects of brood-care behavior on metabolism in the process of growing ofO. ocellatuslarvae, and the results provide us valuable genetic resources for understanding the metabolic processes of invertebrate larvae. The data lay a foundation for further study the brood-care behavior and metabolic mechanisms of invertebrates.</w:t>
      </w:r>
    </w:p>
    <w:p>
      <w:pPr/>
      <w:r>
        <w:rPr>
          <w:b/>
        </w:rPr>
        <w:t>POSSIBLE 2022:</w:t>
      </w:r>
      <w:r>
        <w:t xml:space="preserve"> Why is manufacturing not more sustainable? The effects of different sustainability practices on sustainability outcomes and competitive advantage — https://doi.org/10.1016/j.jclepro.2022.130392</w:t>
      </w:r>
    </w:p>
    <w:p>
      <w:pPr/>
      <w:r>
        <w:rPr>
          <w:b/>
        </w:rPr>
        <w:t>Shared claim-specific concepts:</w:t>
      </w:r>
      <w:r>
        <w:t xml:space="preserve"> different, differential, between, over; EU scope not established. This is a provisional connection, not an outcome finding.</w:t>
      </w:r>
    </w:p>
    <w:p>
      <w:pPr>
        <w:pStyle w:val="SourceNote"/>
      </w:pPr>
      <w:r>
        <w:rPr>
          <w:b/>
        </w:rPr>
        <w:t>Available abstract (not full text):</w:t>
      </w:r>
      <w:r>
        <w:t xml:space="preserve"> Over the last decades, there has been growing worldwide concern for the notable contribution of manufacturing activities to environmental damages. In this context, there is an open debate regarding the incentives of companies to move from mere compliance strategies towards voluntary adoption of environmental responsibility strategies, simultaneously considering economic, environmental and social objectives. This paper aims to analyse the effect of different sets of sustainability practices on sustainability outcomes and the competitive advantage of manufacturing firms. The study distinguishes between internal, external monitoring and external collaborative sustainability practices and considers their effect on regulatory, environmental and manufacturing sustainability outcomes in order to identify their contribution to the competitive advantage of firms. Drawing on natural resource-based view theory, social exchange theory and transaction cost theory, and recent evidence in the field, the study tests several hypotheses using data from the fourth round of the High-Performance Management (HPM) project. Through structural equation modelling with partial least square methodology (PLS-SEM), this study shows the existence of differential effects of sustainability practices on sustainability outcomes and competitive advantage using a sample of 263 manufacturing plants located in 15 co</w:t>
      </w:r>
    </w:p>
    <w:p>
      <w:pPr>
        <w:pStyle w:val="Heading2"/>
      </w:pPr>
      <w:r>
        <w:t>584.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article, presents, essential, union, energy;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Left-wing terrorism in Europe. Past and present. — https://doi.org/10.5604/01.3001.0055.6423</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In the article, the author presents the genesis and development of one of the trends of terrorism, which in the literature has such terms as: left-wing, revolutionary, anarchist, Marxist terrorism and its development in Europe in the past and present. Additional attention is paid to the current activity of left-wing terrorists and the influence of this threat on the current security of Europe. In addition, the most important terrorist organizations of this trend that have operated in the past or are still active in Europe have been presented.</w:t>
      </w:r>
    </w:p>
    <w:p>
      <w:pPr/>
      <w:r>
        <w:rPr>
          <w:b/>
        </w:rPr>
        <w:t>POSSIBLE 2025:</w:t>
      </w:r>
      <w:r>
        <w:t xml:space="preserve"> The European legal dimension of environmental safety — https://doi.org/10.24144/2307-3322.2025.91.5.15</w:t>
      </w:r>
    </w:p>
    <w:p>
      <w:pPr/>
      <w:r>
        <w:rPr>
          <w:b/>
        </w:rPr>
        <w:t>Shared claim-specific concepts:</w:t>
      </w:r>
      <w:r>
        <w:t xml:space="preserve"> article, presents, aspects, support, union, climate; EU scope visible. This is a provisional connection, not an outcome finding.</w:t>
      </w:r>
    </w:p>
    <w:p>
      <w:pPr>
        <w:pStyle w:val="SourceNote"/>
      </w:pPr>
      <w:r>
        <w:rPr>
          <w:b/>
        </w:rPr>
        <w:t>Available abstract (not full text):</w:t>
      </w:r>
      <w:r>
        <w:t xml:space="preserve"> The article is dedicated to the analysis of contemporary international and European legislation in the field of environmental safety and protection. Given that Ukraine’s current European and Euro-Atlantic integration is determined by the process of Ukraine’s rapprochement with the European Union, the authors first consider issues of legal support for environmental safety at the level of approaches and principles for the formation of national and local policies, European standards and legal dimensions in the environmental sphere. The purpose of the article is to review European legislation on environmental safety, its impact on national environmental policies in the European Union, as well as the scientific views of Ukrainian and European scholars on the processes of approximating national legislation to European legislation in the field of ecology, with the aim of deepening understanding of current and recent changes to Ukrainian national legislation, legal guidelines and dimensions that represent European legal discourse as a whole. The authors draw attention to current international and European environmental legislation, the development of environmental safety standards, the introduction of economic mechanisms and liability for violations, as well as the consideration of environmental aspects in the future foreign policy of EU member states. The authors attempted to study ge</w:t>
      </w:r>
    </w:p>
    <w:p>
      <w:pPr/>
      <w:r>
        <w:rPr>
          <w:b/>
        </w:rPr>
        <w:t>POSSIBLE 2025:</w:t>
      </w:r>
      <w:r>
        <w:t xml:space="preserve"> Hydrogen as a Renewable Fuel of Non-Biological Origins in the European Union—The Emerging Market and Regulatory Framework — https://doi.org/10.3390/en18030617</w:t>
      </w:r>
    </w:p>
    <w:p>
      <w:pPr/>
      <w:r>
        <w:rPr>
          <w:b/>
        </w:rPr>
        <w:t>Shared claim-specific concepts:</w:t>
      </w:r>
      <w:r>
        <w:t xml:space="preserve"> article, hydrogen, fuel, support, union, climate; EU scope visible. This is a provisional connection, not an outcome finding.</w:t>
      </w:r>
    </w:p>
    <w:p>
      <w:pPr>
        <w:pStyle w:val="SourceNote"/>
      </w:pPr>
      <w:r>
        <w:rPr>
          <w:b/>
        </w:rPr>
        <w:t>Available abstract (not full text):</w:t>
      </w:r>
      <w:r>
        <w:t xml:space="preserve"> The European Union continues to lead global efforts toward climate neutrality by developing a cohesive regulatory and market framework for alternative fuels, including renewable hydrogen. This review article critically examines the recent evolution of the EU’s policy landscape specifically for hydrogen as a renewable fuel of non-biological origin (RFNBO), highlighting its growing importance in hard-to-abate sectors such as industry and transportation. We assess the interplay of market-based mechanisms (e.g., EU ETS II), direct mandates (e.g., FuelEU Maritime, RED III), and support auction-based measures (e.g., the European Hydrogen Bank) that collectively shape both the demand and the supply of hydrogen as RFNBO fuel. The article also addresses emerging cost, capacity, and technical barriers—ranging from constrained electrolyzer deployment to complex certification requirements—that hinder large-scale adoption and market rollout. The article aims to discuss advancing and changing regulatory and market environment for the development of infrastructure and market for hydrogen as RFNBO fuel in the EU in 2019–2024. Synthesizing current research and policy developments, we propose targeted recommendations, including enhanced cross-border coordination and capacity-based incentives, to accelerate investment and infrastructure development. This review informs policymakers, industry stak</w:t>
      </w:r>
    </w:p>
    <w:p>
      <w:pPr/>
      <w:r>
        <w:rPr>
          <w:b/>
        </w:rPr>
        <w:t>POSSIBLE 2025:</w:t>
      </w:r>
      <w:r>
        <w:t xml:space="preserve"> Development of the Hydrogen Market and Local Green Hydrogen Offtake in Africa — https://doi.org/10.3390/hydrogen6030043</w:t>
      </w:r>
    </w:p>
    <w:p>
      <w:pPr/>
      <w:r>
        <w:rPr>
          <w:b/>
        </w:rPr>
        <w:t>Shared claim-specific concepts:</w:t>
      </w:r>
      <w:r>
        <w:t xml:space="preserve"> article, hydrogen, energy; EU scope not established. This is a provisional connection, not an outcome finding.</w:t>
      </w:r>
    </w:p>
    <w:p>
      <w:pPr>
        <w:pStyle w:val="SourceNote"/>
      </w:pPr>
      <w:r>
        <w:rPr>
          <w:b/>
        </w:rPr>
        <w:t>Available abstract (not full text):</w:t>
      </w:r>
      <w:r>
        <w:t xml:space="preserve"> Creating a hydrogen market in Africa is a great opportunity to assist in the promotion of sustainable energy solutions and economic growth. This article addresses the legislation and regulations that need to be developed to facilitate growth in the hydrogen market and allow local green hydrogen offtake across the continent. By reviewing current policy and strategy within particular African countries and best practices globally from key hydrogen economies, the review establishes compelling issues, challenges, and opportunities unique to Africa. The study identifies the immense potential in Africa for renewable energy, and, in particular, for solar and wind, as the foundation for the production of green hydrogen. It examines how effective policy frameworks can establish a vibrant hydrogen economy by bridging infrastructural gaps, cost hurdles, and regulatory barriers. The paper also addresses how local offtake contracts for green hydrogen can be used to stimulate economic diversification, energy security, and sustainable development. Policy advice is provided to assist African authorities and stakeholders in the deployment of enabling regulatory frameworks and the mobilization of funds. The paper contributes to global hydrogen energy discussions by introducing Africa as an eligible stakeholder in the emerging hydrogen economy and outlining prospects for its inclusion into regiona</w:t>
      </w:r>
    </w:p>
    <w:p>
      <w:pPr/>
      <w:r>
        <w:rPr>
          <w:b/>
        </w:rPr>
        <w:t>POSSIBLE 2024:</w:t>
      </w:r>
      <w:r>
        <w:t xml:space="preserve"> European historical consciousness and the “culture of memory” as a reflection of “Pan-European” values — https://doi.org/10.31857/s1026945224090176</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The article presents an analysis of the Resolution of the European Parliament “On European Historical Consciousness” (2024). Increased attention is paid to the so-called “common European” values, which in this international document are positioned as the basis for interpreting the past of Europe, as well as key guidelines for the formation of a European “culture of memory” and “critical” historical consciousness. The author comes to the conclusion that the attempts of the European Parliament (through strengthening self-reflexive public discourse) to promote mutual understanding and reconciliation within and between individual social groups, nations and states are doomed to failure in advance, since the proposed algorithm has a pronounced artificial character.</w:t>
      </w:r>
    </w:p>
    <w:p>
      <w:pPr/>
      <w:r>
        <w:rPr>
          <w:b/>
        </w:rPr>
        <w:t>POSSIBLE 2024:</w:t>
      </w:r>
      <w:r>
        <w:t xml:space="preserve"> Institutional efficiency in the context of Ukraine’s prospects of European integration. Article 1. Institutional effectiveness in the EU countries — https://doi.org/10.15407/etet2024.01.028</w:t>
      </w:r>
    </w:p>
    <w:p>
      <w:pPr/>
      <w:r>
        <w:rPr>
          <w:b/>
        </w:rPr>
        <w:t>Shared claim-specific concepts:</w:t>
      </w:r>
      <w:r>
        <w:t xml:space="preserve"> article, author, presents, increase, over; EU scope visible. This is a provisional connection, not an outcome finding.</w:t>
      </w:r>
    </w:p>
    <w:p>
      <w:pPr>
        <w:pStyle w:val="SourceNote"/>
      </w:pPr>
      <w:r>
        <w:rPr>
          <w:b/>
        </w:rPr>
        <w:t>Available abstract (not full text):</w:t>
      </w:r>
      <w:r>
        <w:t xml:space="preserve"> The article presents the results of a study of institutional efficiency in EU countries based on the Worldwide Governance Indicators (WGI) methodology implemented by the World Bank. The segmentation of the European institutional space is shown, and it is proved that the differentiation of the institutional efficiency of the European countries is the result of the historical features of the institutional architecture of the EU, which implies socio-institutional eclecticism that ensures the inclusiveness of the institutional environment. The peculiarities of the institutional development of the leading countries are characterized and it is shown that they maintain their status over long periods of time, external dependence on global fluctuations and growing uncertainty. It is revealed that as the pan-European space expands, the indicators of the institutional efficiency of countries tend to decrease, on which basis assumptions are made about the limits of the positive expansion of the pan-European economic and socio-institutional space. The author founds that most EU countries reached the maximum of institutional efficiency in the late 1990s and early 2000s, while for many countries it was 2004-2005, the years of the penultimate pre-crisis stage of integration, with maximum expectations and maximum synergy. It has been proven that integration into the EU is not necessarily a fact</w:t>
      </w:r>
    </w:p>
    <w:p>
      <w:pPr/>
      <w:r>
        <w:rPr>
          <w:b/>
        </w:rPr>
        <w:t>POSSIBLE 2024:</w:t>
      </w:r>
      <w:r>
        <w:t xml:space="preserve"> The role of African countries in the diversification of European supply chains from the perspective of the European Union — https://doi.org/10.31338/1641-2478pe.4.24.7</w:t>
      </w:r>
    </w:p>
    <w:p>
      <w:pPr/>
      <w:r>
        <w:rPr>
          <w:b/>
        </w:rPr>
        <w:t>Shared claim-specific concepts:</w:t>
      </w:r>
      <w:r>
        <w:t xml:space="preserve"> article, author, presents, union, role; EU scope visible. This is a provisional connection, not an outcome finding.</w:t>
      </w:r>
    </w:p>
    <w:p>
      <w:pPr>
        <w:pStyle w:val="SourceNote"/>
      </w:pPr>
      <w:r>
        <w:rPr>
          <w:b/>
        </w:rPr>
        <w:t>Available abstract (not full text):</w:t>
      </w:r>
      <w:r>
        <w:t xml:space="preserve"> This article presents the analysis of the role of African economies in diversifying European supply chains amid growing trade tensions between the EU, USA, and China. The author identifies key strengths, such as access to raw materials and low labour costs, while addressing challenges like weak infrastructure and political instability. Using a mixed-methods approach, including statistical analysis and content evaluation of EU policy documents, this research highlights the EU’s strategy to reduce reliance on China by increasing co-operation with African countries. The findings suggest that while Africa has potential, its integration into European supply chains remains limited due to structural constraints.</w:t>
      </w:r>
    </w:p>
    <w:p>
      <w:pPr>
        <w:pStyle w:val="Heading2"/>
      </w:pPr>
      <w:r>
        <w:t>585.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r>
        <w:rPr>
          <w:b/>
        </w:rPr>
        <w:t>POSSIBLE 2024:</w:t>
      </w:r>
      <w:r>
        <w:t xml:space="preserve"> Green health: how to decarbonise global healthcare systems — https://doi.org/10.1186/s42055-024-00098-3</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Healthcare systems are major emitters of greenhouse gases that contribute to climate change. The resulting climate crisis harms human and planetary health and increasingly impacts lives on Earth. Because of their status as high emitters and their social role in society, healthcare systems have a clear obligation to decarbonise. This study investigates how healthcare systems worldwide can lower their greenhouse gas emissions and thereby contribute to global climate action. We performed a systematic literature review, searching PubMed, GreenFILE, Business Source Complete and CINAHL for relevant empirical studies, non-research papers and grey literature published between 1 January 2018 and 28 March 2023. The Greenhouse Gas Protocol applied to healthcare systems guided thematic and descriptive analyses to explore interventions targeted at scope 1, 2 and 3 emissions. The PRISMA guidelines were followed for reporting and synthesising the results. A total of 742 publications were initially identified, 230 of which were included in the systematic literature review, comprising 96 empirical studies, 132 non-research papers and two governmental reports. Numerous conventional and unique decarbonisation actions related to healthcare have been reported in the literature. Eight themes were identified: transportation, anaesthesia, energy, travel, supply chain, clinical practices, planetary hea</w:t>
      </w:r>
    </w:p>
    <w:p>
      <w:pPr/>
      <w:r>
        <w:rPr>
          <w:b/>
        </w:rPr>
        <w:t>POSSIBLE 2022:</w:t>
      </w:r>
      <w:r>
        <w:t xml:space="preserve"> Decarbonising Economies — https://doi.org/10.1017/9781108934039</w:t>
      </w:r>
    </w:p>
    <w:p>
      <w:pPr/>
      <w:r>
        <w:rPr>
          <w:b/>
        </w:rPr>
        <w:t>Shared claim-specific concepts:</w:t>
      </w:r>
      <w:r>
        <w:t xml:space="preserve"> ways; EU scope not established. This is a provisional connection, not an outcome finding.</w:t>
      </w:r>
    </w:p>
    <w:p>
      <w:pPr>
        <w:pStyle w:val="SourceNote"/>
      </w:pPr>
      <w:r>
        <w:rPr>
          <w:b/>
        </w:rPr>
        <w:t>Available abstract (not full text):</w:t>
      </w:r>
      <w:r>
        <w:t xml:space="preserve"> Based on an interdisciplinary investigation of future visions, scenarios, and case-studies of low carbon innovation taking place across economic domains, Decarbonising Economies analyses the ways in which questions of agency, power, geography and materiality shape the conditions of possibility for a low carbon future. It explores how and why the challenge of changing our economies are variously ascribed to a lack of finance, a lack of technology, a lack of policy and a lack of public engagement, and shows how the realities constraining change are more fundamentally tied to the inertia of our existing high carbon society and limited visions for what a future low carbon world might become. Through showcasing the first seeds of innovation seeking to enable transformative change, Decarbonising Economies will also chart a course for future research and policy action towards our climate goals. This title is also available as Open Access on Cambridge Core.</w:t>
      </w:r>
    </w:p>
    <w:p>
      <w:pPr/>
      <w:r>
        <w:rPr>
          <w:b/>
        </w:rPr>
        <w:t>POSSIBLE 2022:</w:t>
      </w:r>
      <w:r>
        <w:t xml:space="preserve"> Scope for EU–Japan cooperation in decarbonising the global LNG market — https://doi.org/10.26485/spe/2022/124/7</w:t>
      </w:r>
    </w:p>
    <w:p>
      <w:pPr/>
      <w:r>
        <w:rPr>
          <w:b/>
        </w:rPr>
        <w:t>Shared claim-specific concepts:</w:t>
      </w:r>
      <w:r>
        <w:t xml:space="preserve"> fully, decarbonise, likely, ways; EU scope visible. This is a provisional connection, not an outcome finding.</w:t>
      </w:r>
    </w:p>
    <w:p>
      <w:pPr>
        <w:pStyle w:val="SourceNote"/>
      </w:pPr>
      <w:r>
        <w:rPr>
          <w:b/>
        </w:rPr>
        <w:t>Available abstract (not full text):</w:t>
      </w:r>
      <w:r>
        <w:t xml:space="preserve"> Background: Global climate ambitions seem to be at odds with the future use of natural gas. However, the inability to fully electrify the demand for energy has forced developed economies to seek ways to decarbonise the gas industry. This article investigates the option to further use LNG terminals as a source of carbon-neutral energy supply for the EU and Japan, which together account for 50% of the global demand for LNG. Research purpose: The aim of this paper is to verify the potential pathways toward continued utilisation of the EU and Japanese LNG infrastructure in a low-carbon or even climate-neutral future. Methods: A literature review of different technologies that enable CO2-neutral gas production or imports is conducted to identify potential pathways for decarbonisation. A SWOT analysis of the two selected scenarios is then performed to present their upsides and downsides and to identify potential areas for cooperation. Finally, the costs associated with the two development paths are analysed to verify where the main challenges lie. Conclusions: The study confirms that the success of gas conversion facilities will rely heavily on technological advancements that would reduce the unit cost of natural gas processing. By contrast, biomethane imports will require operational support to effectively compete with other energy carriers. The author concludes that both gas decarb</w:t>
      </w:r>
    </w:p>
    <w:p>
      <w:pPr>
        <w:pStyle w:val="Heading2"/>
      </w:pPr>
      <w:r>
        <w:t>586.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2025:</w:t>
      </w:r>
      <w:r>
        <w:t xml:space="preserve"> Legal, Ethical, and Social Issues of AI and Law Enforcement in Europe — https://doi.org/10.1017/9781009367783.022</w:t>
      </w:r>
    </w:p>
    <w:p>
      <w:pPr/>
      <w:r>
        <w:rPr>
          <w:b/>
        </w:rPr>
        <w:t>Shared claim-specific concepts:</w:t>
      </w:r>
      <w:r>
        <w:t xml:space="preserve"> main, goal, discuss; EU scope visible. This is a provisional connection, not an outcome finding.</w:t>
      </w:r>
    </w:p>
    <w:p>
      <w:pPr>
        <w:pStyle w:val="SourceNote"/>
      </w:pPr>
      <w:r>
        <w:rPr>
          <w:b/>
        </w:rPr>
        <w:t>Available abstract (not full text):</w:t>
      </w:r>
      <w:r>
        <w:t xml:space="preserve"> The main goal of this chapter is to introduce one type of AI used for law enforcement, namely predictive policing, and to discuss the main legal, ethical, and social concerns this raises. In the last two decades, police forces in Europe and in North America have increasingly invested in predictive policing applications. Two types of predictive policing will be discussed: predictive mapping and predictive identification. After discussing these two practices and what is known about their effectiveness, I discuss the legal, ethical, and social issues they raise, covering aspects relating to their efficacy, governance, and organizational use, as well as the impact they have on citizens and society.</w:t>
      </w:r>
    </w:p>
    <w:p>
      <w:pPr/>
      <w:r>
        <w:rPr>
          <w:b/>
        </w:rPr>
        <w:t>POSSIBLE 2025:</w:t>
      </w:r>
      <w:r>
        <w:t xml:space="preserve"> THE ROLE OF STRATEGIC LEADERSHIP IN EMPOWERING STRATEGIC HRM TO ACHIEVE STRATEGIC GOALS: A STUDY ON PALESTINIAN PHARMACEUTICAL COMPANIES — https://openalex.org/W7216799856</w:t>
      </w:r>
    </w:p>
    <w:p>
      <w:pPr/>
      <w:r>
        <w:rPr>
          <w:b/>
        </w:rPr>
        <w:t>Shared claim-specific concepts:</w:t>
      </w:r>
      <w:r>
        <w:t xml:space="preserve"> main, achieve, strategic; EU scope not established. This is a provisional connection, not an outcome finding.</w:t>
      </w:r>
    </w:p>
    <w:p>
      <w:pPr>
        <w:pStyle w:val="SourceNote"/>
      </w:pPr>
      <w:r>
        <w:rPr>
          <w:b/>
        </w:rPr>
        <w:t>Available abstract (not full text):</w:t>
      </w:r>
      <w:r>
        <w:t xml:space="preserve"> This study aimed to analyze the role of strategic leadership in empowering Strategic Human Resource Management (SHRM) to achieve strategic objectives within Palestinian pharmaceutical companies, amid the political, economic, and administrative challenges facing this vital sector. The study adopted a descriptive-analytical approach and employed a questionnaire to collect data from a sample of 182 administrative employees working in pharmaceutical companies operating in Palestine. The research instrument was designed around four main dimensions of strategic leadership: engaging human resources in strategic planning, allocating resources and providing organizational support, building an empowerment-based institutional culture, and adopting a transformational/entrepreneurial leadership style. The results revealed that all dimensions of strategic leadership had a significant impact on the empowerment of SHRM. Moreover, the findings showed no statistically significant differences attributed to gender, educational qualification, or years of experience. The study emphasized the importance of aligning leadership practices with HR functions to enhance institutional performance, in line with contemporary literature on human capital as a strategic asset. Based on these findings, the study recommended the reinforcement of empowering leadership styles, greater involvement of human resources </w:t>
      </w:r>
    </w:p>
    <w:p>
      <w:pPr/>
      <w:r>
        <w:rPr>
          <w:b/>
        </w:rPr>
        <w:t>POSSIBLE 2024:</w:t>
      </w:r>
      <w:r>
        <w:t xml:space="preserve"> Value-related educational goals of primary school teachers: a comparative study in two European countries — https://doi.org/10.3389/fpsyg.2024.1458393</w:t>
      </w:r>
    </w:p>
    <w:p>
      <w:pPr/>
      <w:r>
        <w:rPr>
          <w:b/>
        </w:rPr>
        <w:t>Shared claim-specific concepts:</w:t>
      </w:r>
      <w:r>
        <w:t xml:space="preserve"> main, discuss, light; EU scope visible. This is a provisional connection, not an outcome finding.</w:t>
      </w:r>
    </w:p>
    <w:p>
      <w:pPr>
        <w:pStyle w:val="SourceNote"/>
      </w:pPr>
      <w:r>
        <w:rPr>
          <w:b/>
        </w:rPr>
        <w:t>Available abstract (not full text):</w:t>
      </w:r>
      <w:r>
        <w:t xml:space="preserve"> Schools serve as social institutions that convey values in the context of socialization and enculturation. Teachers are pivotal in this transmission process via their value-related educational goals (VrEGs), which outline how they would like to see their pupils in terms of values. What factors influence these VrEGs? We suggest that those vary on an individual level, but also correspond to the prevailing value orientations of the society. In our study we followed two main goals to test this thesis. Firstly, we examine the differences in VrEGs between teachers of two European countries: Switzerland (CH) and United Kingdom (UK). Secondly, we investigated the similarity of the teachers’ VrEGs with prevailing national value orientations from the specific countries. One hundred and fifty primary school teachers (108 CH, 42 UK) were asked about their VrEGs using an adapted version of Schwartz’s Portrait Values Questionnaire (PVQ-21). Data from the Human Value Scale (HVS) of the European Social Survey (ESS) was used for country-specific value orientations. Analyses of the value structures and the differences in value priorities showed that for the individuals from the two countries as well as for the teachers’ VrEGs from the two countries, significant differences exist in several value types. Teachers’ VrEGs in each country showed a high correlation with the corresponding national valu</w:t>
      </w:r>
    </w:p>
    <w:p>
      <w:pPr/>
      <w:r>
        <w:rPr>
          <w:b/>
        </w:rPr>
        <w:t>POSSIBLE 2024:</w:t>
      </w:r>
      <w:r>
        <w:t xml:space="preserve"> The European Union Development Policy and Achieving Sustainable Development Goals (SDGs) of the United Nations — https://doi.org/10.4018/979-8-3693-1742-6.ch020</w:t>
      </w:r>
    </w:p>
    <w:p>
      <w:pPr/>
      <w:r>
        <w:rPr>
          <w:b/>
        </w:rPr>
        <w:t>Shared claim-specific concepts:</w:t>
      </w:r>
      <w:r>
        <w:t xml:space="preserve"> main, discuss, achieve; EU scope visible. This is a provisional connection, not an outcome finding.</w:t>
      </w:r>
    </w:p>
    <w:p>
      <w:pPr>
        <w:pStyle w:val="SourceNote"/>
      </w:pPr>
      <w:r>
        <w:rPr>
          <w:b/>
        </w:rPr>
        <w:t>Available abstract (not full text):</w:t>
      </w:r>
      <w:r>
        <w:t xml:space="preserve"> The purpose of this study is to describe the European Union's (EU) developing approach and governance in the implementation of the sustainable development agenda of the United Nations (UN). UN's sustainable development goals are more vibrant to maintain peace and stability in the world. The EU's Global Gateway and Asia-Europe connectivity programme are supporting other nations to work on the SDGs. As a regional organisation, the EU shows enormous intention to eliminate poverty, malnutrition and famine, establish peace, respect for human rights and minority rights, and maintain global warming, biodiversity and the climate. Moreover, the EU also formed bilateral and multilateral level cooperation across the world for the establishment of democratic rule, peace, and prosperity. The EU's policy formulation keeps working on economic, social, and environmental development issues at the global level and supporting the UN mission across the world in different sectors. This research is based on qualitative analysis using primary and secondary literature. In addition, this study also uses the empirical method to discuss the main research gaps and answer major questions related to the SDGs. As a result, the EU has started significant work to achieve the objectives of the SDGs of the UN. The EU has also launched various development programs for the implementation of the SDGs in its member </w:t>
      </w:r>
    </w:p>
    <w:p>
      <w:pPr/>
      <w:r>
        <w:rPr>
          <w:b/>
        </w:rPr>
        <w:t>POSSIBLE 2024:</w:t>
      </w:r>
      <w:r>
        <w:t xml:space="preserve"> The European difficult goal of being strategically autonomous — https://doi.org/10.32796/cice.2024.107.7801</w:t>
      </w:r>
    </w:p>
    <w:p>
      <w:pPr/>
      <w:r>
        <w:rPr>
          <w:b/>
        </w:rPr>
        <w:t>Shared claim-specific concepts:</w:t>
      </w:r>
      <w:r>
        <w:t xml:space="preserve"> goal, strategic, autonomy, concept, focused, much; EU scope visible. This is a provisional connection, not an outcome finding.</w:t>
      </w:r>
    </w:p>
    <w:p>
      <w:pPr>
        <w:pStyle w:val="SourceNote"/>
      </w:pPr>
      <w:r>
        <w:rPr>
          <w:b/>
        </w:rPr>
        <w:t>Available abstract (not full text):</w:t>
      </w:r>
      <w:r>
        <w:t xml:space="preserve"> The issue of the “strategic autonomy of the European Union (EU)” is being subject to high interest within the EU policy circles. This term, originally propelled by France and mainly focused on defence, has evolved to include a much broader set of security considerations as the economy, the health or technology to just name a few. However, this concept still retains an important defence dimension. This paper deeply explores this issue, mainly in relation to the defence dimension, but looking at the organizational, industrial and technological aspects which are closely related, trying to identify the different constraints that may bound or endanger this autonomy.</w:t>
      </w:r>
    </w:p>
    <w:p>
      <w:pPr/>
      <w:r>
        <w:rPr>
          <w:b/>
        </w:rPr>
        <w:t>POSSIBLE 2024:</w:t>
      </w:r>
      <w:r>
        <w:t xml:space="preserve"> DYNAMICS OF THE EU STRATEGIC COMMUNICATIONS REGARDING THE EUROPEAN INTEGRATION OF UKRAINE — https://doi.org/10.24193/ojmne.2024.45.04</w:t>
      </w:r>
    </w:p>
    <w:p>
      <w:pPr/>
      <w:r>
        <w:rPr>
          <w:b/>
        </w:rPr>
        <w:t>Shared claim-specific concepts:</w:t>
      </w:r>
      <w:r>
        <w:t xml:space="preserve"> main, achieve, strategic; EU scope visible. This is a provisional connection, not an outcome finding.</w:t>
      </w:r>
    </w:p>
    <w:p>
      <w:pPr>
        <w:pStyle w:val="SourceNote"/>
      </w:pPr>
      <w:r>
        <w:rPr>
          <w:b/>
        </w:rPr>
        <w:t>Available abstract (not full text):</w:t>
      </w:r>
      <w:r>
        <w:t xml:space="preserve"> This research covers the analysis of changes in the strategic communications of the European Union regarding the European integration of Ukraine during 2000-2023. Specifically, it pays attention to the reactions of key EU officials to significant political events and foreign policy challenges. Having used the semantic analysis of official documents and speeches, the study presents the evolution of approaches and perspectives, revealing the hidden strategies, intentions, and ideological influences that shape the EU policy. The analysis emphasizes the growing importance of Ukraine in the strategic plans of the EU, while the geopolitical context significantly affects the European integration process. Examining the communication activity of the main EU institutions since 2022, the study has revealed specific messages regarding Ukraine's prospects for becoming a member of the EU, recognizing the successes in carrying out reforms and the country’s efforts to achieve the goals underlying its status as a candidate for membership.</w:t>
      </w:r>
    </w:p>
    <w:p>
      <w:pPr/>
      <w:r>
        <w:rPr>
          <w:b/>
        </w:rPr>
        <w:t>POSSIBLE 2024:</w:t>
      </w:r>
      <w:r>
        <w:t xml:space="preserve"> Achieving European Union strategic autonomy: circularity in critical raw materials value chains — https://doi.org/10.1093/ia/iiae127</w:t>
      </w:r>
    </w:p>
    <w:p>
      <w:pPr/>
      <w:r>
        <w:rPr>
          <w:b/>
        </w:rPr>
        <w:t>Shared claim-specific concepts:</w:t>
      </w:r>
      <w:r>
        <w:t xml:space="preserve"> achieve, strategic, autonomy, question, why, security; EU scope visible. This is a provisional connection, not an outcome finding.</w:t>
      </w:r>
    </w:p>
    <w:p>
      <w:pPr>
        <w:pStyle w:val="SourceNote"/>
      </w:pPr>
      <w:r>
        <w:rPr>
          <w:b/>
        </w:rPr>
        <w:t>Available abstract (not full text):</w:t>
      </w:r>
      <w:r>
        <w:t xml:space="preserve"> Abstract Why is it important to understand the potential of circular economy for security? With the green transition in full swing and vulnerabilities in value chains as a consequence of the COVID–19 pandemic and Russian aggression towards Ukraine, this question has never been more timely. Titanium metal constitutes a poignant case, as it is a critical raw material essential for the strategic civil aerospace and defence sectors. In addition, circular economy solutions constitute a viable solution to mitigate import dependencies in the case of this particular raw material. The European Union, with one of the largest aviation industries globally, is dependent on titanium imports from Russia and the United States. The latter, in turn, (re)imports titanium scrap from EU aviation manufacturing to increase material efficiency and reduce costs through recycling. Based on extensive stakeholder interviews across several countries and quantitative trade data, this article presents a first-time analysis of how, in the case of the titanium value chain, circular economy solutions can support the EU Open Strategic Autonomy (OSA) objectives, as enshrined in the 2023 Critical Raw Materials Act. We suggest that in order for the EU to achieve both the OSA and decarbonization objectives, it is essential to prioritize the establishment of recycling facilities as part of reshoring of the mid-value </w:t>
      </w:r>
    </w:p>
    <w:p>
      <w:pPr/>
      <w:r>
        <w:rPr>
          <w:b/>
        </w:rPr>
        <w:t>POSSIBLE 2023:</w:t>
      </w:r>
      <w:r>
        <w:t xml:space="preserve"> UKRAINE'S DIGITAL AUTONOMY ACHIEVING AS A STRATEGIC VECTOR FOR EU INTEGRATION — https://doi.org/10.56197/2786-5827/2023-2-1-3</w:t>
      </w:r>
    </w:p>
    <w:p>
      <w:pPr/>
      <w:r>
        <w:rPr>
          <w:b/>
        </w:rPr>
        <w:t>Shared claim-specific concepts:</w:t>
      </w:r>
      <w:r>
        <w:t xml:space="preserve"> main, need, strategic, autonomy, strengthening, security; EU scope visible. This is a provisional connection, not an outcome finding.</w:t>
      </w:r>
    </w:p>
    <w:p>
      <w:pPr>
        <w:pStyle w:val="SourceNote"/>
      </w:pPr>
      <w:r>
        <w:rPr>
          <w:b/>
        </w:rPr>
        <w:t>Available abstract (not full text):</w:t>
      </w:r>
      <w:r>
        <w:t xml:space="preserve"> Introduction. The article substantiates directions for achieving digital and technological autonomy of the Ukraine for integration with the EU in the context digital transformation of the EU's strategic priorities. The authors systematized the phases of adoption the strategic documents on EU digital autonomy. The components of European strategic autonomy were identified. The importance of the digital and technological sphere in strengthening the sustainability of the European economy was substantiated. The conceptual foundations for achieving digital autonomy in the EU are the factors that have led to the need to implement this priority in the strategic development of countries were identified. The main components of digital autonomy are highlighted, namely cybersecurity; awareness raising, digital skills acquisition; industrial policy, research, investment and supply chain strengthening; building alliances and promoting international cooperation. The obstacles to digital development in Ukraine in the context of military operations were identified. Possibilities of overcoming the threats to the formation of digital autonomy in Ukraine were identified and ways of consolidation with the European principles of digital space formation are outlined. Materials and methods. The purpose of the article was achieved using the methods of systematic, critical and scientific analysis, metho</w:t>
      </w:r>
    </w:p>
    <w:p>
      <w:pPr/>
      <w:r>
        <w:rPr>
          <w:b/>
        </w:rPr>
        <w:t>POSSIBLE 2023:</w:t>
      </w:r>
      <w:r>
        <w:t xml:space="preserve"> High speed rail as a strategic tool for achieving European Transport policy goals: smart, integrated and sustainable mobility — https://openalex.org/W7217390847</w:t>
      </w:r>
    </w:p>
    <w:p>
      <w:pPr/>
      <w:r>
        <w:rPr>
          <w:b/>
        </w:rPr>
        <w:t>Shared claim-specific concepts:</w:t>
      </w:r>
      <w:r>
        <w:t xml:space="preserve"> main, need, strategic, cannot; EU scope visible. This is a provisional connection, not an outcome finding.</w:t>
      </w:r>
    </w:p>
    <w:p>
      <w:pPr>
        <w:pStyle w:val="SourceNote"/>
      </w:pPr>
      <w:r>
        <w:rPr>
          <w:b/>
        </w:rPr>
        <w:t>Available abstract (not full text):</w:t>
      </w:r>
      <w:r>
        <w:t xml:space="preserve"> While infrastructure is the main prerequisite for a successful HSR system, regulation also plays an important role, and, over the past decade, the European Union interventions have been crucial for exploiting all the potential benefits offered by HSR services. Italy is a clear example of that. In Italy, in fact, the effects have been particularly positive in terms of increased traffic, reduced transport costs, flight substitution, and mitigation of the environmental impacts of transport, also thanks to the development of particularly efficient railway infrastructures, modern regulation systems, and competition between operators. EU and national governments should actively facilitate and stimulate HSR market development, eliminating any technical and regulatory barriers that could reduce the potential benefits of competition, with price reduction, quality enhancement, and organisational and technological innovations underlining the importance of the open market. An accelerated migration toward the ERTMS (European Rail Traffic Management System) is essential and strategic, considering the benefits that the system provides in terms of safety, improved interoperability, and increased performance, efficiency, and energy savings. The Connecting Europe Facility (CEF) budget should be rendered available for developing such implementation pilot studies, including the on-track and on-boa</w:t>
      </w:r>
    </w:p>
    <w:p>
      <w:pPr/>
      <w:r>
        <w:rPr>
          <w:b/>
        </w:rPr>
        <w:t>POSSIBLE 2023:</w:t>
      </w:r>
      <w:r>
        <w:t xml:space="preserve"> IMPLEMENTATION OF EUROPEAN PRINCIPLES IN STRATEGIC PLANNING OF POST-WAR RECOVERY OF UKRAINE — https://doi.org/10.56197/2786-5827/2023-2-2-2</w:t>
      </w:r>
    </w:p>
    <w:p>
      <w:pPr/>
      <w:r>
        <w:rPr>
          <w:b/>
        </w:rPr>
        <w:t>Shared claim-specific concepts:</w:t>
      </w:r>
      <w:r>
        <w:t xml:space="preserve"> main, goal, strategic, autonomy, strengthening, security; EU scope visible. This is a provisional connection, not an outcome finding.</w:t>
      </w:r>
    </w:p>
    <w:p>
      <w:pPr>
        <w:pStyle w:val="SourceNote"/>
      </w:pPr>
      <w:r>
        <w:rPr>
          <w:b/>
        </w:rPr>
        <w:t>Available abstract (not full text):</w:t>
      </w:r>
      <w:r>
        <w:t xml:space="preserve"> Introduction. The article defines the most important strategic planning principles of economic development in the EU and justification of the possibility of their implementation for the post-war recovery of Ukraine. Features are characterized and objects of influence (intervention) in the process of post-war reconstruction are determined. Obstacles to synchronizing strategic planning in Ukraine with European principles in conditions of military operations have been identified. Ways of consolidation with the European agenda have been determined, namely strengthening of cooperation in the field of green economy: decarbonization, waste management; digital development: cyber security; capacity building and acquisition of digital skills; harmonization of industrial policy, creation of alliances and promotion of international cooperation. Materials and methods. The goal of the article was achieved using the following methods: system analysis, content analysis, methods of scientific generalization, induction and deduction. Scientific publications and reports of international organizations in the relevant fields, normative legal acts, in particular regulations, work programs and documents of the European Commission, draft plans for the recovery of Ukraine, scientific works of foreign and Ukrainian researchers were used. Results and discussion. The article argues that the implementation</w:t>
      </w:r>
    </w:p>
    <w:p>
      <w:pPr/>
      <w:r>
        <w:rPr>
          <w:b/>
        </w:rPr>
        <w:t>POSSIBLE 2023:</w:t>
      </w:r>
      <w:r>
        <w:t xml:space="preserve"> TRENDS AND MAIN WAYS OF UPGRADING EUROPEAN EDUCATION — https://doi.org/10.32342/2522-4115-2023-1-25-13</w:t>
      </w:r>
    </w:p>
    <w:p>
      <w:pPr/>
      <w:r>
        <w:rPr>
          <w:b/>
        </w:rPr>
        <w:t>Shared claim-specific concepts:</w:t>
      </w:r>
      <w:r>
        <w:t xml:space="preserve"> main, goal, achieve, strategic, concept; EU scope visible. This is a provisional connection, not an outcome finding.</w:t>
      </w:r>
    </w:p>
    <w:p>
      <w:pPr>
        <w:pStyle w:val="SourceNote"/>
      </w:pPr>
      <w:r>
        <w:rPr>
          <w:b/>
        </w:rPr>
        <w:t>Available abstract (not full text):</w:t>
      </w:r>
      <w:r>
        <w:t xml:space="preserve"> In the modern socio-economic context of the development of educational systems, the processes of globalization and internationalization play an important role, which determine the reformation of higher education. Competition and cooperation between educational and scientific organizations are intensifying all over the world, the exchange of students, teachers, graduate students and researchers is intensifying, distance education is becoming widespread, and the role of continuing education is growing. The purpose of the research is to identify and justify system-wide trends in the renewal of European education. The main task of this research is to determine the mechanisms and characterize the orientation of the renewal of the European education system under the conditions of internationalization and globalization. The methodological basis of the research consists of: the general scientific principle of objectivity; the principle of historical and logical unity; systemic and contextual approach, principle of interconnection; sociological, cultural and pedagogical concepts. It is determined that today the European Union is one of the world leaders in research and innovation. It is scientific knowledge, experience, high standards of the research, developed research infrastructure that guarantee many years of successful cooperation between the EU and other countries. At the present </w:t>
      </w:r>
    </w:p>
    <w:p>
      <w:pPr/>
      <w:r>
        <w:rPr>
          <w:b/>
        </w:rPr>
        <w:t>POSSIBLE 2022:</w:t>
      </w:r>
      <w:r>
        <w:t xml:space="preserve"> The Regional Development Trap in Europe — https://doi.org/10.1080/00130095.2022.2080655</w:t>
      </w:r>
    </w:p>
    <w:p>
      <w:pPr/>
      <w:r>
        <w:rPr>
          <w:b/>
        </w:rPr>
        <w:t>Shared claim-specific concepts:</w:t>
      </w:r>
      <w:r>
        <w:t xml:space="preserve"> shed, light, concept;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pStyle w:val="Heading2"/>
      </w:pPr>
      <w:r>
        <w:t>587.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2024:</w:t>
      </w:r>
      <w:r>
        <w:t xml:space="preserve"> Important Drivers of European Monetary Integration ——The Game Between the German Central Government and the Bundesbank as an Example — https://doi.org/10.54254/2754-1169/68/20241337</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An independent central bank constitutes a veto actor in the political process itself and has the potential to limit the autonomy of the State (Government). In cases where the preferences of the state and the central bank diverge, the resulting authoritative actions will be influenced by the political structure of the respective country. Where changes in the domestic political system are difficult to achieve, the state can change the existing equilibrium between the central bank and the government by engaging in international regimes and international negotiations and evolving this equilibrium in the direction of greater state autonomy. This paper adopts a case study approach to propose a domestic political logic for international monetary policy choices by analyzing the relationship between international monetary co-operation, central bank independence and national autonomy, and uses the political game between the central central bank and the central government within Germany and the outcome to verify this view, thus providing a political science explanation for the relationship between German monetary politics and European monetary integration. The European Central Bank after the formation of the Union inherited the independence of the German central bank, and while assuming its responsibility for monetary stabilization and economic development, it gradually transcended the sc</w:t>
      </w:r>
    </w:p>
    <w:p>
      <w:pPr/>
      <w:r>
        <w:rPr>
          <w:b/>
        </w:rPr>
        <w:t>POSSIBLE 2023:</w:t>
      </w:r>
      <w:r>
        <w:t xml:space="preserve"> German Plans for Central Europe — https://doi.org/10.54171/2023.mg.gtocei_12</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German plans for Central Europe had already appeared in the 19th century. At the heart of the Mitteleuropa idea was the creation of an economic area under German leadership. In the literature, List is considered the father of the Mitteleuropa idea, the first systematic developer of the integration of Central and Eastern Europe under German leadership. His work ʻDas nationale System der politischen Ökonomie’ [The National System of Political Economy], in which he scientifically summarised and systematised his previous writings, was published in May 1841. In this work, List expressed his views in defense of political unity and national economy and against the teaching of Adam Smith’s school. List first advocated the realisation of a continental alliance against the English hegemony, and then, when the USA advanced, he believed that the English should also join the alliance. He wanted to promote the development of the economic region, by developing the railway and waterway network. Another famous German developer of the Mitteleuropa concepts is Friedrich Naumann. Within his work, the books and articles dealing with Mitteleuropa form a closed whole. These writings of his are closely related. Their time of origin also shows unity. Naumann elaborated his plan for Central Europe in his main work ‘Mitteleuropa’ published in November 1915. Central Europe was not to be a new state, but a</w:t>
      </w:r>
    </w:p>
    <w:p>
      <w:pPr/>
      <w:r>
        <w:rPr>
          <w:b/>
        </w:rPr>
        <w:t>POSSIBLE 2023:</w:t>
      </w:r>
      <w:r>
        <w:t xml:space="preserve"> Germanys Rearmament Plan: A Problem of Bureaucracy — https://doi.org/10.54254/2753-7064/4/20220630</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conflict in Ukraine that started on February 24th, 2022, had a transformative effect on the status of European security policy, with the most prominent outcome being Germanys break with its pacifist tradition and its policy of disarmament. The German governments plan to rebuild the Bundeswehr by raising its defense spending to 2% of its GDP, alongside the injection of a 100-billion-euro fund into its armed forces, was seen by many as the first step for Germany to a leading role in the new European Security Policy. However, increased funding is unlikely to be the deciding factor in whether Germany can successfully rearm, as the Bundeswehr is well funded in comparison to other standing armies of European states in similar economic circumstances. The main obstacle standing in the way of a successful German rearmament is Germanys bureaucracy. The Federal Office of Bundeswehr Equipment, Information Technology, and In-Service Support," or the BAAINBw, responsible for procurement of materials for the Bundeswehr, is fully anarchistic and understaffed. Germanys path to a reformed military thus hinges on whether the German government can successfully reform the BAAINBw into a more efficient federal agency.</w:t>
      </w:r>
    </w:p>
    <w:p>
      <w:pPr/>
      <w:r>
        <w:rPr>
          <w:b/>
        </w:rPr>
        <w:t>POSSIBLE 2023:</w:t>
      </w:r>
      <w:r>
        <w:t xml:space="preserve"> Representative government in south Germany and the myth of the Sonderweg — https://doi.org/10.31235/osf.io/tcwzs</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Bavaria and Württemberg were two German states in which estates-based representative government survived the early modern period, which has traditionally been considered the period when representative institutions were supposedly in decline. I will show that these two states were among those European states which preserved their representative institutions and avoided becoming “absolutist.” Germany shared a heritage of medieval constitutionalism with the other countries of Western Europe. In the early modern period, the estates of Brandenburg and East Prussia, both ruled by the Hohenzollerns, were among the strongest in Europe. I will put the developments in the south German states into a wider German and European perspective. I believe that the path of constitutional development taken by the south German states, and the other states including Prussia, showed that Germany in its entirety did in fact follow a path not that much different from the other European states, in contradiction to the theory that Germany developed differently from them, in a more absolutist and authoritarian direction.</w:t>
      </w:r>
    </w:p>
    <w:p>
      <w:pPr/>
      <w:r>
        <w:rPr>
          <w:b/>
        </w:rPr>
        <w:t>POSSIBLE 2022:</w:t>
      </w:r>
      <w:r>
        <w:t xml:space="preserve"> National Recovery and Resilience Plan: Germany — https://doi.org/10.6092/issn.1561-8048/15651</w:t>
      </w:r>
    </w:p>
    <w:p>
      <w:pPr/>
      <w:r>
        <w:rPr>
          <w:b/>
        </w:rPr>
        <w:t>Shared claim-specific concepts:</w:t>
      </w:r>
      <w:r>
        <w:t xml:space="preserve"> german, government, electricity, germany; EU scope visible. This is a provisional connection, not an outcome finding.</w:t>
      </w:r>
    </w:p>
    <w:p>
      <w:pPr>
        <w:pStyle w:val="SourceNote"/>
      </w:pPr>
      <w:r>
        <w:rPr>
          <w:b/>
        </w:rPr>
        <w:t>Available abstract (not full text):</w:t>
      </w:r>
      <w:r>
        <w:t xml:space="preserve"> By helping to give birth to the establishment of NextGenerationEU and the Recovery and Resilience Facility, the German government made a U-turn in relation to the Covid-19 pandemic compared with its earlier austerity approach in the management of the Euro crisis. Opposition to the new European debt and transfer instruments has been silent and political leaders have integrated the additional grants into their planning processes concerning changing the country’s energy supply and expanding digitalisation. While the Recovery and Resilience Plan was assessed positively, some preconditions for implementing it still seem to be missing, such as better electricity and high-capacity broadband networks. The process of transforming the German economy structurally to be greener and more digitalised has, however, neglected the social implications. While a minor proportion of the RRP will be spent on strengthening social resilience, many vulnerable groups are not in the focus of the state’s activities. The EU’s conclusions in the 2019 Country Specific Recommendations are treated rather in economic than in social terms. A sustainable new growth model would need to tackle also long-standing problems such as the high external surplus, the low public investment rate, income inequality and the relatively high at-risk-of-poverty rate.</w:t>
      </w:r>
    </w:p>
    <w:p>
      <w:pPr/>
      <w:r>
        <w:rPr>
          <w:b/>
        </w:rPr>
        <w:t>POSSIBLE 2022:</w:t>
      </w:r>
      <w:r>
        <w:t xml:space="preserve"> The politics of government reorganization in Western Europe — https://doi.org/10.1111/gove.12670</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The reorganization of governments is crucial for parties to express their policy preferences once they reach office. Yet these activities are not confined to the direct aftermath of general elections or to wide‐ranging structural reforms. Instead, governments reorganize and adjust their machinery of government all the time. This paper aims to assess these structural choices with a particular focus at the core of the state, comparing four Western European democracies (Germany, France, the Netherlands, and United Kingdom) from 1980 to 2013. Our empirical analysis shows that stronger shifts in cabinets' ideological profiles in the short‐ and long‐term as well as the units' proximity to political executives yield significant effects. In contrast, Conservative governments, commonly regarded as key promoters of reorganizing governments, are not significant for the likelihood of structural change. We discuss the effects of this politics of government reorganization for different research debates assessing the inner workings of governments.</w:t>
      </w:r>
    </w:p>
    <w:p>
      <w:pPr>
        <w:pStyle w:val="Heading2"/>
      </w:pPr>
      <w:r>
        <w:t>588.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2023:</w:t>
      </w:r>
      <w:r>
        <w:t xml:space="preserve"> Future sea level rise dominates changes in worst case extreme sea levels along the global coastline by 2100 — https://doi.org/10.1088/1748-9326/acb504</w:t>
      </w:r>
    </w:p>
    <w:p>
      <w:pPr/>
      <w:r>
        <w:rPr>
          <w:b/>
        </w:rPr>
        <w:t>Shared claim-specific concepts:</w:t>
      </w:r>
      <w:r>
        <w:t xml:space="preserve"> worst, case, increase; EU scope visible. This is a provisional connection, not an outcome finding.</w:t>
      </w:r>
    </w:p>
    <w:p>
      <w:pPr>
        <w:pStyle w:val="SourceNote"/>
      </w:pPr>
      <w:r>
        <w:rPr>
          <w:b/>
        </w:rPr>
        <w:t>Available abstract (not full text):</w:t>
      </w:r>
      <w:r>
        <w:t xml:space="preserve"> Abstract We provide the magnitude of a worst case scenario for extreme sea levels (ESLs) along the global coastline by 2100. This worst case scenario for ESLs is calculated as a combination of sea surface height associated with storm surge and wave (100 year return period, the 95th percentile), high tide (the 95th percentile) and a low probability sea level rise scenario (the 95th percentile). Under these conditions, end-of-21st century ESLs have a 5% chance of exceeding 4.2 m (global coastal average), compared to 2.6 m during the baseline period (1980–2014). By 2100 almost 45% of the global coastline would experience ESLs above the global mean of 4.2 m, with up to 9–10 m for the East China Sea, Japan and North European coastal areas. Up to 86% of coastal locations would face ESLs above 3 m (100 year return period) by 2100, compared to 33% currently. Up to 90% of increases in magnitude of ESLs are driven by future sea level rise, compare to 10% associated with changes in storm surges and waves. By 2030–2040 the present-day 100 year return period for ESLs would be experienced at least once a year in tropical areas. This 100-fold increase in frequency will take place on all global coastlines by 2100.</w:t>
      </w:r>
    </w:p>
    <w:p>
      <w:pPr/>
      <w:r>
        <w:rPr>
          <w:b/>
        </w:rPr>
        <w:t>POSSIBLE 2022:</w:t>
      </w:r>
      <w:r>
        <w:t xml:space="preserve"> Worst Cases and Reality — https://doi.org/10.1353/apr.2022.0008</w:t>
      </w:r>
    </w:p>
    <w:p>
      <w:pPr/>
      <w:r>
        <w:rPr>
          <w:b/>
        </w:rPr>
        <w:t>Shared claim-specific concepts:</w:t>
      </w:r>
      <w:r>
        <w:t xml:space="preserve"> worst, case, increase, based, four; EU scope visible. This is a provisional connection, not an outcome finding.</w:t>
      </w:r>
    </w:p>
    <w:p>
      <w:pPr>
        <w:pStyle w:val="SourceNote"/>
      </w:pPr>
      <w:r>
        <w:rPr>
          <w:b/>
        </w:rPr>
        <w:t>Available abstract (not full text):</w:t>
      </w:r>
      <w:r>
        <w:t xml:space="preserve"> Worst Cases and Reality Walter C. Clemens Jr. (bio) Samuel F. Wells. Fearing the Worst: How Korea Transformed the Cold War. New York: Columbia University Press, 2020. Charles J. Hanley. Ghost Flames: Life and Death in a Hidden War, Korea 1950–1953. New York: PublicAffairs, 2020. Based mainly on official documents and scholarly writings, fearing the Worst reviews the Korean War mainly from the perspective of governments. Ghost Flames views the war as experienced by twenty individuals. It is based on interviews and private papers as well as archival documents and reports by the South Korean Truth and Reconciliation Commission. Taken together, these two books provide a top-down and bottom-up picture of terrible events that still haunt and ricochet in world affairs. Actions derive from perceptions and hopes that produce beliefs or, at least, working assumptions. Sometimes reality intrudes to challenge or reinforce those assumptions. All the major powers from the late 1940s to the early 1950s were like blind people bumping into one another in a forest. The Truman administration believed that Stalin and Mao Zedong were close partners determined to spread communism. Not until war began did Washington see North Korea as a threat to peace and stability. American leaders in 1949 and 1950 said that the US defense perimeter excluded Taiwan and the Republic of Korea (ROK). The United States</w:t>
      </w:r>
    </w:p>
    <w:p>
      <w:pPr>
        <w:pStyle w:val="Heading2"/>
      </w:pPr>
      <w:r>
        <w:t>589.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2024:</w:t>
      </w:r>
      <w:r>
        <w:t xml:space="preserve"> Predicting atrial fibrillation risk following embolic stroke of unknown source using cardiac magnetic resonance imaging — https://doi.org/10.1093/europace/euae102.252</w:t>
      </w:r>
    </w:p>
    <w:p>
      <w:pPr/>
      <w:r>
        <w:rPr>
          <w:b/>
        </w:rPr>
        <w:t>Shared claim-specific concepts:</w:t>
      </w:r>
      <w:r>
        <w:t xml:space="preserve"> following, within, identify, need; EU scope visible. This is a provisional connection, not an outcome finding.</w:t>
      </w:r>
    </w:p>
    <w:p>
      <w:pPr>
        <w:pStyle w:val="SourceNote"/>
      </w:pPr>
      <w:r>
        <w:rPr>
          <w:b/>
        </w:rPr>
        <w:t>Available abstract (not full text):</w:t>
      </w:r>
      <w:r>
        <w:t xml:space="preserve">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pPr/>
      <w:r>
        <w:rPr>
          <w:b/>
        </w:rPr>
        <w:t>POSSIBLE 2024:</w:t>
      </w:r>
      <w:r>
        <w:t xml:space="preserve"> Climatic Predictors of Long‐Distance Migratory Birds Breeding Productivity Across Europe — https://doi.org/10.1111/geb.13901</w:t>
      </w:r>
    </w:p>
    <w:p>
      <w:pPr/>
      <w:r>
        <w:rPr>
          <w:b/>
        </w:rPr>
        <w:t>Shared claim-specific concepts:</w:t>
      </w:r>
      <w:r>
        <w:t xml:space="preserve"> predicted, aim, conditions; EU scope visible. This is a provisional connection, not an outcome finding.</w:t>
      </w:r>
    </w:p>
    <w:p>
      <w:pPr>
        <w:pStyle w:val="SourceNote"/>
      </w:pPr>
      <w:r>
        <w:rPr>
          <w:b/>
        </w:rPr>
        <w:t>Available abstract (not full text):</w:t>
      </w:r>
      <w:r>
        <w:t xml:space="preserve">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pPr/>
      <w:r>
        <w:rPr>
          <w:b/>
        </w:rPr>
        <w:t>POSSIBLE 2024:</w:t>
      </w:r>
      <w:r>
        <w:t xml:space="preserve"> TOPAS-CH4: a service for methane monitoring, source attribution and emission reduction over Europe — https://doi.org/10.5194/egusphere-egu24-8844</w:t>
      </w:r>
    </w:p>
    <w:p>
      <w:pPr/>
      <w:r>
        <w:rPr>
          <w:b/>
        </w:rPr>
        <w:t>Shared claim-specific concepts:</w:t>
      </w:r>
      <w:r>
        <w:t xml:space="preserve"> predicted, following, sources, identify; EU scope visible. This is a provisional connection, not an outcome finding.</w:t>
      </w:r>
    </w:p>
    <w:p>
      <w:pPr>
        <w:pStyle w:val="SourceNote"/>
      </w:pPr>
      <w:r>
        <w:rPr>
          <w:b/>
        </w:rPr>
        <w:t>Available abstract (not full text):</w:t>
      </w:r>
      <w:r>
        <w:t xml:space="preserve"> Methane (CH4) is the second-largest contributor to the anthropogenic greenhouse effect, and have been the focus of recent climate summits and global commitments towards emission reductions. To mitigate and study the impact of anthropogenic CH4 emissions, the European Union started AVENGERS, a research and innovation project funded under the Horizon Europe, with 13 Partners from 6 countries, whose objective is to reconcile reported greenhouse gasses (GHGs) emissions with independent information from atmospheric observations using top-down methods and process-based models, and thereby reduce the most important uncertainties of national emission inventories.Here, we present TOPAS-CH4, an operational service developed by TNO as part of the AVENGERS project, following the example of a previous TNO source apportionment tool for particulate matter. This online public service provides users with the relevant daily information on CH4 concentrations over the EU countries, and how much different sources contribute to these observed concentrations. TOPAS CH4 is based on the chemical transport model, LOTOS-EUROS, that runs daily to simulate source-labelled CH4 concentrations over Europe. The predicted CH4 concentrations are compared with the Integrated Carbon Observation System (ICOS) observations on a daily basis, showing that LOTOS-EUROS is able to realistically simulate the CH4 volume mi</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within, aim, conditions;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following, sources, within, aim, define;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solar, energy, conditions;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Prospects for the use of artificial intelligence to predict the spread of tuberculosis infection in the WHO European Region — https://doi.org/10.30978/tb2023-2-86</w:t>
      </w:r>
    </w:p>
    <w:p>
      <w:pPr/>
      <w:r>
        <w:rPr>
          <w:b/>
        </w:rPr>
        <w:t>Shared claim-specific concepts:</w:t>
      </w:r>
      <w:r>
        <w:t xml:space="preserve"> following, identify, conditions; EU scope visible. This is a provisional connection, not an outcome finding.</w:t>
      </w:r>
    </w:p>
    <w:p>
      <w:pPr>
        <w:pStyle w:val="SourceNote"/>
      </w:pPr>
      <w:r>
        <w:rPr>
          <w:b/>
        </w:rPr>
        <w:t>Available abstract (not full text):</w:t>
      </w:r>
      <w:r>
        <w:t xml:space="preserve"> Objective — to analyze the prospects of using artificial intelligence and neural networks to create a geospa­tial model of TB transmission and forecast its spread in the WHO European Region using available analytical databases. Materials and methods. The research was carried out for the period October 2022 — March 2023. Digital access to the following full-text and abstract databases was used as the main source of research: the EBSCO Information Base Package, the world’s largest single abstract and scientific metric platform Scopus, the freely accessible search system Google Scholar, MEDLINE with Full Text, Dyna Med Plus, EBSCO eBooks Clinical Collection, the abstract and scientific metric database of scientific publications of the Thomson Reuters Web of Science Core Collection WoS, statistical data from the Ministry of Health of Ukraine and the Public Health Center, SCIE, SSCI, the online database of the National Scientific Medical Library of Ukraine, AHCI. Results and discussion. Migration processes in Europe still remain a global trend and create difficulties for countries that receive migrants. Adverse living conditions, close contact, poor nutrition, mental and physical stress are what refugees and migrants face. The combination of these risk factors and insufficient access to health services increases the vulnerability of refugees to TB infection. In addition, a delay in </w:t>
      </w:r>
    </w:p>
    <w:p>
      <w:pPr/>
      <w:r>
        <w:rPr>
          <w:b/>
        </w:rPr>
        <w:t>POSSIBLE 2023:</w:t>
      </w:r>
      <w:r>
        <w:t xml:space="preserve"> Correcting Subseasonal Forecast Errors with an Explainable ANN to Understand Misrepresented Sources of Predictability of European Summer Temperatures — https://doi.org/10.1175/aies-d-22-0047.1</w:t>
      </w:r>
    </w:p>
    <w:p>
      <w:pPr/>
      <w:r>
        <w:rPr>
          <w:b/>
        </w:rPr>
        <w:t>Shared claim-specific concepts:</w:t>
      </w:r>
      <w:r>
        <w:t xml:space="preserve"> predicted, following, sources, conditions, reasons, need; EU scope visible. This is a provisional connection, not an outcome finding.</w:t>
      </w:r>
    </w:p>
    <w:p>
      <w:pPr>
        <w:pStyle w:val="SourceNote"/>
      </w:pPr>
      <w:r>
        <w:rPr>
          <w:b/>
        </w:rPr>
        <w:t>Available abstract (not full text):</w:t>
      </w:r>
      <w:r>
        <w:t xml:space="preserve"> Abstract Subseasonal forecasts are challenging for numerical weather prediction (NWP) and machine learning models alike. Forecasting 2-m temperature (t2m) with a lead time of 2 or more weeks requires a forward model to integrate multiple complex interactions, like oceanic and land surface conditions leading to predictable weather patterns. NWP models represent these interactions imperfectly, meaning that in certain conditions, errors accumulate and model predictability deviates from real predictability, often for poorly understood reasons. To advance that understanding, this paper corrects conditional errors in NWP forecasts with an artificial neural network (ANN). The ANN postprocesses ECMWF extended-range summer temperature forecasts by learning to correct the ECMWF-predicted probability that monthly t2m in western and central Europe exceeds the climatological median. Predictors are objectively selected from ECMWF forecasts themselves, and from states at initialization, i.e., the ERA5 reanalysis. The latter allows the ANN to account for sources of predictability that are biased in the NWP model itself. We attribute ANN corrections with two explainable artificial intelligence (AI) tools. This reveals that certain erroneous forecasts relate to tropical western Pacific Ocean sea surface temperatures at initialization. We conjecture that the atmospheric teleconnection following t</w:t>
      </w:r>
    </w:p>
    <w:p>
      <w:pPr/>
      <w:r>
        <w:rPr>
          <w:b/>
        </w:rPr>
        <w:t>POSSIBLE 2023:</w:t>
      </w:r>
      <w:r>
        <w:t xml:space="preserve"> Sources of PM2.5‐Associated Health Risks in Europe and Corresponding Emission‐Induced Changes During 2005–2015 — https://doi.org/10.1029/2022gh000767</w:t>
      </w:r>
    </w:p>
    <w:p>
      <w:pPr/>
      <w:r>
        <w:rPr>
          <w:b/>
        </w:rPr>
        <w:t>Shared claim-specific concepts:</w:t>
      </w:r>
      <w:r>
        <w:t xml:space="preserve"> sources, within, eastern, caused; EU scope visible. This is a provisional connection, not an outcome finding.</w:t>
      </w:r>
    </w:p>
    <w:p>
      <w:pPr>
        <w:pStyle w:val="SourceNote"/>
      </w:pPr>
      <w:r>
        <w:rPr>
          <w:b/>
        </w:rPr>
        <w:t>Available abstract (not full text):</w:t>
      </w:r>
      <w:r>
        <w:t xml:space="preserve">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r>
        <w:rPr>
          <w:b/>
        </w:rPr>
        <w:t>POSSIBLE 2022:</w:t>
      </w:r>
      <w:r>
        <w:t xml:space="preserve"> The position of China in trade in services within the European Union — https://doi.org/10.24136/oc.2022.010</w:t>
      </w:r>
    </w:p>
    <w:p>
      <w:pPr/>
      <w:r>
        <w:rPr>
          <w:b/>
        </w:rPr>
        <w:t>Shared claim-specific concepts:</w:t>
      </w:r>
      <w:r>
        <w:t xml:space="preserve"> within, aim, article, need; EU scope visible. This is a provisional connection, not an outcome finding.</w:t>
      </w:r>
    </w:p>
    <w:p>
      <w:pPr>
        <w:pStyle w:val="SourceNote"/>
      </w:pPr>
      <w:r>
        <w:rPr>
          <w:b/>
        </w:rPr>
        <w:t>Available abstract (not full text):</w:t>
      </w:r>
      <w:r>
        <w:t xml:space="preserve"> Research background: In recent decades, services in international trade have been growing steadily in importance, and there has been strong growth in China?s trade in services as a result of the ?opening up? policy. China has become the European Union?s second biggest trading partner in services with the European Union (EU), being China?s largest trading partner. The EU is one of the addressees of the Chinese Belt and Road Initiative, which creates opportunities and threads to the European Internal Market in services. Purpose of the article: The aim of this paper is to contribute to the literature and fulfil the research gap on the position of China in intra-EU trade in services. Methods: We identified the most important types of services offered by China to purchasers from the EU countries. By using the Revealed Symmetric Comparative Advantage (RSCA) and trade balance (LFI) indices, we classified the Chinese exports to the EU Internal Market by types of services and by their trade position. Findings &amp; value added: We found out that China might be perceived as a strong competitor for intra-EU trade in selected services, especially those concerning low-end service tasks, that use relatively low-skilled labour and are less knowledge- and capital-intensive. However, China?s attitude is changing towards more sophisticated services for example R&amp;D. It creates a need for a new approa</w:t>
      </w:r>
    </w:p>
    <w:p>
      <w:pPr>
        <w:pStyle w:val="Heading2"/>
      </w:pPr>
      <w:r>
        <w:t>590.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2025:</w:t>
      </w:r>
      <w:r>
        <w:t xml:space="preserve"> ‘They Take Our Healthcare’: Health and Attitudes towards Immigration in Europe — https://doi.org/10.1177/00104140251342932</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In this study, we extend the research on anti-immigrant attitudes by analyzing an overlooked factor: health. We develop a framework explaining why residents perceive competition for health services with immigrants. Using data from eleven rounds of the European Social Survey, covering 222,989 respondents in 30 European countries (2002–2023), we find a consistent association between poor health and anti-immigration attitudes. Three pathways—the belief that immigrants drain public services, diminished interpersonal trust, and distrust in political institutions—mediate this effect. The association holds across four measures of ill health, with propensity score matching to reduce selection bias and extensive robustness tests. We conclude that health is crucial for attitudes about immigration not only because of welfare chauvinism and resource competition but also because bad health makes people lose faith in each other and the system, intensifying their fear of losing access to vital health services, translating into hostility toward immigrants.</w:t>
      </w:r>
    </w:p>
    <w:p>
      <w:pPr/>
      <w:r>
        <w:rPr>
          <w:b/>
        </w:rPr>
        <w:t>POSSIBLE 2025:</w:t>
      </w:r>
      <w:r>
        <w:t xml:space="preserve"> Navigating the Crossroads: Analyzing China’s Middle East Policy in the Palestinian-Israeli Conflict Context — https://doi.org/10.1177/23477989241311334</w:t>
      </w:r>
    </w:p>
    <w:p>
      <w:pPr/>
      <w:r>
        <w:rPr>
          <w:b/>
        </w:rPr>
        <w:t>Shared claim-specific concepts:</w:t>
      </w:r>
      <w:r>
        <w:t xml:space="preserve"> analyzing, crossroads; EU scope not established. This is a provisional connection, not an outcome finding.</w:t>
      </w:r>
    </w:p>
    <w:p>
      <w:pPr>
        <w:pStyle w:val="SourceNote"/>
      </w:pPr>
      <w:r>
        <w:rPr>
          <w:b/>
        </w:rPr>
        <w:t>Available abstract (not full text):</w:t>
      </w:r>
      <w:r>
        <w:t xml:space="preserve"> Since the founding of the People’s Republic of China, its Middle East policy has undergone three stages: initial rise, elevated influence, and adjustment. With the outbreak of a new round of the Palestinian-Israeli conflict on October 7, 2023, the geopolitical landscape in the Middle East has significantly shifted, marked by deepening divisions within the Arab world, challenges to US strategy, and the expansion of China’s diplomatic space. This study explores how these changes impact China’s Middle East policy and analyzes how China responds to emerging challenges, including rising geopolitical risks, obstacles to bilateral economic cooperation, shifts in international public opinion, and the sustainability of its “balanced diplomacy” approach. China aims to maintain a balance between Palestine and Israel, promote regional stability, and advance economic cooperation. However, in light of new regional dynamics, this study proposes that China needs to adjust its policy by strengthening its engagement with international responsibilities, ensuring security and economic cooperation in parallel, and increasing foreign aid and public diplomacy. Moreover, China should innovate its public opinion management and information dissemination strategies to navigate the complex media environment. By analyzing these issues, this article will examine the direction of China’s Middle East policy a</w:t>
      </w:r>
    </w:p>
    <w:p>
      <w:pPr/>
      <w:r>
        <w:rPr>
          <w:b/>
        </w:rPr>
        <w:t>POSSIBLE 2025:</w:t>
      </w:r>
      <w:r>
        <w:t xml:space="preserve"> Economic Diplomacy at the Crossroads of Digitalization and Sustainability: A New Era of Policy Diversification — https://doi.org/10.2478/picbe-2025-0087</w:t>
      </w:r>
    </w:p>
    <w:p>
      <w:pPr/>
      <w:r>
        <w:rPr>
          <w:b/>
        </w:rPr>
        <w:t>Shared claim-specific concepts:</w:t>
      </w:r>
      <w:r>
        <w:t xml:space="preserve"> analyzing, shaped, crossroads; EU scope not established. This is a provisional connection, not an outcome finding.</w:t>
      </w:r>
    </w:p>
    <w:p>
      <w:pPr>
        <w:pStyle w:val="SourceNote"/>
      </w:pPr>
      <w:r>
        <w:rPr>
          <w:b/>
        </w:rPr>
        <w:t>Available abstract (not full text):</w:t>
      </w:r>
      <w:r>
        <w:t xml:space="preserve"> Abstract Economic diplomacy is now at the forefront of global policymaking, increasingly shaped by digital transformation and sustainability. In recent years, the United States has experienced significant changes driven by the contrasting approaches of the Trump and Biden administrations. Trump prioritized trade protectionism, deregulation, and technological advancement, while Biden focused on multilateral cooperation, sustainability, and Artificial Intelligence governance. With Trump’s return to office in 2025, economic diplomacy has shifted toward deregulated digital policies and a potential retreat from sustainability commitments. Existing research emphasizes the growing influence of digital platforms on public sentiment, yet many studies have focused on elections, overlooking the impact of key political events. This study addresses that gap by analyzing social media reactions to Trump’s 2025 inauguration, through a comprehensive sentiment analysis, using Machine Learning models. The results showed positive sentiments, surpassing negative and neutral reactions. Compared to election-period sentiment, the inauguration sparked more positive reactions, reflecting both symbolic optimism and expectations for economic and technological growth, while negative sentiments mainly focused on environmental concerns, revealing ongoing debates about the trade-offs between deregulation and </w:t>
      </w:r>
    </w:p>
    <w:p>
      <w:pPr/>
      <w:r>
        <w:rPr>
          <w:b/>
        </w:rPr>
        <w:t>POSSIBLE 2025:</w:t>
      </w:r>
      <w:r>
        <w:t xml:space="preserve"> Health in the climate crossroads : exploring the integration of health in climate policy and practice in Canada — https://openalex.org/W7116218288</w:t>
      </w:r>
    </w:p>
    <w:p>
      <w:pPr/>
      <w:r>
        <w:rPr>
          <w:b/>
        </w:rPr>
        <w:t>Shared claim-specific concepts:</w:t>
      </w:r>
      <w:r>
        <w:t xml:space="preserve"> four, crossroads; EU scope not established. This is a provisional connection, not an outcome finding.</w:t>
      </w:r>
    </w:p>
    <w:p>
      <w:pPr>
        <w:pStyle w:val="SourceNote"/>
      </w:pPr>
      <w:r>
        <w:rPr>
          <w:b/>
        </w:rPr>
        <w:t>Available abstract (not full text):</w:t>
      </w:r>
      <w:r>
        <w:t xml:space="preserve"> This doctoral thesis critically investigates the integration of health into climate adaptation policy and practice within the Canadian context. Through four empirical chapters, three of which have a particular focus on municipalities in British Columbia, it explores how health is understood, planned for, and acted upon in relation to climate change. This work is grounded in an analysis of interviews, planning documents, survey data, and a regional case study. Chapter 2 presents qualitative findings from interviews with local government leaders, examining their perceptions of climate-related health risks and their experiences with adaptation. It highlights governance gaps and calls for more multi-sectoral collaboration. Chapter 3 analyzes municipal climate action plans across British Columbia to assess how health is incorporated. While health risks are often acknowledged, the study finds limited integration of health systems or consideration of health co-benefits. The chapter recommends advancing a “Health in All Climate Policies” approach to strengthen cross-sector collaboration and public health responsiveness. In Chapter 4, survey data reveal that 23% of Canadians report experiencing physical health impacts from extreme weather events. Additionally, the survey shows that attitudes towards adaptation are influenced by a complex interplay of risk perception, health awareness, c</w:t>
      </w:r>
    </w:p>
    <w:p>
      <w:pPr/>
      <w:r>
        <w:rPr>
          <w:b/>
        </w:rPr>
        <w:t>POSSIBLE 2025:</w:t>
      </w:r>
      <w:r>
        <w:t xml:space="preserve"> Peer Review at the Crossroads — https://doi.org/10.31235/osf.io/b2ra3_v2</w:t>
      </w:r>
    </w:p>
    <w:p>
      <w:pPr/>
      <w:r>
        <w:rPr>
          <w:b/>
        </w:rPr>
        <w:t>Shared claim-specific concepts:</w:t>
      </w:r>
      <w:r>
        <w:t xml:space="preserve"> four, crossroads, high; EU scope not established. This is a provisional connection, not an outcome finding.</w:t>
      </w:r>
    </w:p>
    <w:p>
      <w:pPr>
        <w:pStyle w:val="SourceNote"/>
      </w:pPr>
      <w:r>
        <w:rPr>
          <w:b/>
        </w:rPr>
        <w:t>Available abstract (not full text):</w:t>
      </w:r>
      <w:r>
        <w:t xml:space="preserve"> Peer review has long been regarded as a cornerstone of scholarly communication, ensuring high quality and credibility of published research. However, its institutionalization in the mid-20th century contrasts sharply with the 300-year history of academic journals. By the early 21st century, there emerged an opinion that the conventional model of peer review faces systematic challenges, including inefficiency, bias, and institutional inertia. The study aims to synthesize the evolution, practices, and outcomes of both conventional and innovative peer review models in scholarly publishing. Through a mixed-methods approach combining interpretative literature review and process modeling (BPMN), it identifies four frameworks: pre-publication peer review, registered reports, modular publishing, and the Publish-Review-Curate (PRC) model. While the PRC model, which integrates preprints with post-publication review, demonstrates advantages in transparency and accessibility, no single approach emerges as universally ideal. The choice of model depends on disciplinary context, resource availability, and institutional priorities. The analysis underscores the need for adaptable platforms that enable hybrid workflows, balancing rigor with inclusivity. Future research must address empirical gaps in evaluating these innovations, particularly their long-term impact on equity and epistemic norms.</w:t>
      </w:r>
    </w:p>
    <w:p>
      <w:pPr/>
      <w:r>
        <w:rPr>
          <w:b/>
        </w:rPr>
        <w:t>POSSIBLE 2025:</w:t>
      </w:r>
      <w:r>
        <w:t xml:space="preserve"> Peer Review at the Crossroads — https://doi.org/10.31235/osf.io/b2ra3_v3</w:t>
      </w:r>
    </w:p>
    <w:p>
      <w:pPr/>
      <w:r>
        <w:rPr>
          <w:b/>
        </w:rPr>
        <w:t>Shared claim-specific concepts:</w:t>
      </w:r>
      <w:r>
        <w:t xml:space="preserve"> four, crossroads, high; EU scope not established. This is a provisional connection, not an outcome finding.</w:t>
      </w:r>
    </w:p>
    <w:p>
      <w:pPr>
        <w:pStyle w:val="SourceNote"/>
      </w:pPr>
      <w:r>
        <w:rPr>
          <w:b/>
        </w:rPr>
        <w:t>Available abstract (not full text):</w:t>
      </w:r>
      <w:r>
        <w:t xml:space="preserve"> Peer review has long been regarded as a cornerstone of scholarly communication, ensuring high quality and credibility of published research. However, its institutionalization in the mid-20th century contrasts sharply with the 300-year history of academic journals. By the early 21st century, there emerged an opinion that the conventional model of peer review faces systematic challenges, including inefficiency, bias, and institutional inertia. The study aims to synthesize the evolution, practices, and outcomes of both conventional and innovative peer review models in scholarly publishing. Through a mixed-methods approach combining interpretative literature review and process modeling (Business Process Model and Notation – BPMN), it identifies four frameworks: pre-publication peer review, registered reports, modular publishing, and the Publish-Review-Curate (PRC) model. While the PRC model, which integrates preprints with post-publication review, demonstrates advantages in transparency and accessibility, no single approach emerges as universally ideal. The choice of model depends on disciplinary context, resource availability, and institutional priorities. The analysis underscores the need for adaptable platforms that enable hybrid workflows, balancing rigor with inclusivity. Future research must address empirical gaps in evaluating these innovations, particularly their long-term </w:t>
      </w:r>
    </w:p>
    <w:p>
      <w:pPr/>
      <w:r>
        <w:rPr>
          <w:b/>
        </w:rPr>
        <w:t>POSSIBLE 2024:</w:t>
      </w:r>
      <w:r>
        <w:t xml:space="preserve"> Pathways toward sustainable aviation: Analyzing emissions from air operations in Europe to support policy initiatives — https://doi.org/10.1016/j.tra.2024.104121</w:t>
      </w:r>
    </w:p>
    <w:p>
      <w:pPr/>
      <w:r>
        <w:rPr>
          <w:b/>
        </w:rPr>
        <w:t>Shared claim-specific concepts:</w:t>
      </w:r>
      <w:r>
        <w:t xml:space="preserve"> analyzing, pathways, high, present, industry; EU scope visible. This is a provisional connection, not an outcome finding.</w:t>
      </w:r>
    </w:p>
    <w:p>
      <w:pPr>
        <w:pStyle w:val="SourceNote"/>
      </w:pPr>
      <w:r>
        <w:rPr>
          <w:b/>
        </w:rPr>
        <w:t>Available abstract (not full text):</w:t>
      </w:r>
      <w:r>
        <w:t xml:space="preserve"> Reducing aviation emissions has become a global priority, leading policymakers and industry stakeholders to commit to the achievement of net-zero carbon emissions. Reaching this ambitious goal requires quickly devising and promoting effective policies and measures. Emission levels are heavily influenced by the technological and operational efficiency of airlines and airports. Accordingly, understanding the main patterns underlying aviation emissions is fundamental for evaluating aviation efficiency, ultimately informing the adoption of appropriate policy interventions. In this context, the present study assessed the fuel efficiency and emission patterns of intra-European and intercontinental flights to and from Europe. We estimated the fuel efficiency and carbon intensity of different mission lengths and flight stages using a tool developed by the European Environment Agency and leveraging an extensive flight-level dataset. Our results highlight several critical areas that require policy intervention. First, we found that a relatively high proportion of overall emissions is due to landing and take-off procedures as well as on-ground activities. These emissions tend to be concentrated at major airports due to layout complexities and congestion, necessitating improvements in surface operations at the individual airport and system-wide levels. Second, regional routes represent the</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2024:</w:t>
      </w:r>
      <w:r>
        <w:t xml:space="preserve"> Barriers to Electrification: Analyzing Critical Delays and Pathways Forward — https://doi.org/10.3390/wevj15090409</w:t>
      </w:r>
    </w:p>
    <w:p>
      <w:pPr/>
      <w:r>
        <w:rPr>
          <w:b/>
        </w:rPr>
        <w:t>Shared claim-specific concepts:</w:t>
      </w:r>
      <w:r>
        <w:t xml:space="preserve"> analyzing, pathways, high, electrification, rapid; EU scope visible. This is a provisional connection, not an outcome finding.</w:t>
      </w:r>
    </w:p>
    <w:p>
      <w:pPr>
        <w:pStyle w:val="SourceNote"/>
      </w:pPr>
      <w:r>
        <w:rPr>
          <w:b/>
        </w:rPr>
        <w:t>Available abstract (not full text):</w:t>
      </w:r>
      <w:r>
        <w:t xml:space="preserve"> This paper extensively explores the intricate nuances surrounding the delayed transition to new business models for electric vehicles. While there is commendable clarity regarding stakeholders, model possibilities, emission-reduction strategies, state aid initiatives, and citywide prohibitions, the central challenge lies in the gradual pace of this transition. Notably, the persistent high costs of electric vehicles, primarily attributed to exorbitant battery prices and the raw materials involved, represent a formidable hurdle to widespread adoption. In this article, a comprehensive examination of the multifaceted aspects contributing to the delays in the shift towards electrified transport is proposed. By meticulously scrutinizing the intricacies of this delay, the aim is to provide valuable insights that can contribute to accelerating the adoption of electric vehicles. The exploration of these challenges is essential for fostering a nuanced understanding of the impediments hindering the transition and, subsequently, for devising effective strategies to overcome them. The analysis presented herein not only identifies the hurdles but also seeks to offer potential solutions and strategies that can drive the transformative change needed in the realm of electric transportation. Understanding and mitigating the barriers impeding the transition is crucial for fostering a rapid and su</w:t>
      </w:r>
    </w:p>
    <w:p>
      <w:pPr/>
      <w:r>
        <w:rPr>
          <w:b/>
        </w:rPr>
        <w:t>POSSIBLE 2024:</w:t>
      </w:r>
      <w:r>
        <w:t xml:space="preserve"> AMR and Sustainable Development Goals: at a crossroads — https://doi.org/10.1186/s12992-024-01046-8</w:t>
      </w:r>
    </w:p>
    <w:p>
      <w:pPr/>
      <w:r>
        <w:rPr>
          <w:b/>
        </w:rPr>
        <w:t>Shared claim-specific concepts:</w:t>
      </w:r>
      <w:r>
        <w:t xml:space="preserve"> crossroads, rates, achieve; EU scope not established. This is a provisional connection, not an outcome finding.</w:t>
      </w:r>
    </w:p>
    <w:p>
      <w:pPr>
        <w:pStyle w:val="SourceNote"/>
      </w:pPr>
      <w:r>
        <w:rPr>
          <w:b/>
        </w:rPr>
        <w:t>Available abstract (not full text):</w:t>
      </w:r>
      <w:r>
        <w:t xml:space="preserve"> Antimicrobial resistance (AMR) poses a significant global health threat, primarily stemming from its misuse and overuse in both veterinary and public healthcare systems. The consequences of AMR are severe, leading to more severe infections, increased health protection costs, prolonged hospital stays, unresponsive treatments, and elevated fatality rates. The impact of AMR is direct and far-reaching, particularly affecting the Sustainable Development Goals (SDGs), underscoring the urgency for concerted global actions to achieve these objectives. Disproportionately affecting underprivileged populations, AMR compounds their vulnerabilities, pushing them further into poverty. Moreover, AMR has ramifications for food production, jeopardizing sustainable agriculture and diminishing the livelihoods of farmers. The emergence of antibiotic-resistant bacteria in underprivileged areas heightens the risk of complications and mortality. Climate change further contributes to AMR, as evidenced by increased instances of foodborne salmonellosis and the development of antibiotic resistance, resulting in substantial healthcare costs. Effectively addressing AMR demands collaboration among governments, entrepreneurs, and the public sector to establish institutions and policies across all regulatory levels. Expanding SDG 17, which focuses on partnerships for sustainable development, would facilitate </w:t>
      </w:r>
    </w:p>
    <w:p>
      <w:pPr>
        <w:pStyle w:val="Heading2"/>
      </w:pPr>
      <w:r>
        <w:t>591.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2025:</w:t>
      </w:r>
      <w:r>
        <w:t xml:space="preserve"> LOW-CARBON SOLUTIONS INTRODUCED IN EUROPEAN CITIES AS PART OF CLIMATE CHANGE ADAPTATION — https://doi.org/10.5604/01.3001.0055.5451</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Contemporary societies are facing progressive climate change due to economic development. Forthis reason, the authorities of leading European cities are implementing policies and strategies toprepare urban organisms for climate change and to counteract it. Given the topicality of the issue,this article presents and evaluates low-carbon measures taken in selected European cities in thecontext of climate change adaptation. The analysis covers publications/strategies on climate changeadaptation adopted in Berlin, Copenhagen, Oslo, Prague and Wrocław, and explores air qualitytrends in selected cities. The results indicate a systematic improvement in air quality in all the citiesanalysed, particularly in terms of the reduction of particulate matter and nitrogen oxides. Thegreatest progress has been made in Copenhagen and Oslo, which are consistently pursuing climateneutrality goals, while Wrocław and Prague still have higher emission levels, although positivedownward trends are observed. The analysis confirms that the effectiveness of low-carbon policiesdepends on their integrated nature, covering the energy, transport and spatial sectors, as well as onthe active involvement of local communities. The results of the study emphasise the importance ofcooperation between cities in implementing the objectives of the European Green Deal and strivingto achieve climate neutrality by 2050.</w:t>
      </w:r>
    </w:p>
    <w:p>
      <w:pPr/>
      <w:r>
        <w:rPr>
          <w:b/>
        </w:rPr>
        <w:t>POSSIBLE 2025:</w:t>
      </w:r>
      <w:r>
        <w:t xml:space="preserve"> Modeling of Hydrodynamic Processes of the Estuaries of the European Part of the Russian Arctic under Possible Climate Changes — https://doi.org/10.1134/s0097807824701434</w:t>
      </w:r>
    </w:p>
    <w:p>
      <w:pPr/>
      <w:r>
        <w:rPr>
          <w:b/>
        </w:rPr>
        <w:t>Shared claim-specific concepts:</w:t>
      </w:r>
      <w:r>
        <w:t xml:space="preserve"> part, climate, use; EU scope visible. This is a provisional connection, not an outcome finding.</w:t>
      </w:r>
    </w:p>
    <w:p>
      <w:pPr>
        <w:pStyle w:val="SourceNote"/>
      </w:pPr>
      <w:r>
        <w:rPr>
          <w:b/>
        </w:rPr>
        <w:t>Available abstract (not full text):</w:t>
      </w:r>
      <w:r>
        <w:t xml:space="preserve"> Abstract Possible scenarios of climate change impact on hydrodynamic processes in the estuaries of the Northern Dvina, Onega, and Pechora are considered. For this purpose, hydrodynamic models of estuarine areas previously developed by the authors in the STREAM 2D, HEC-RAS, and Delft3D software packages were used, for which various variants of sea level changes obtained from the global climate models GFDL-ESM2M, IPSL-CM5A-LR, HadGEM2-ES, MIROC-ESM-CHEM were set as the lower boundary condition. As the upper boundary conditions, water discharges in the outlet sections of river basins, calculated using the ECOMAG runoff formation model for conditions of changed climate, based on the data of the same climate models were set. Based on ensemble simulations, two main trends in changes in estuarine hydrodynamic factors were identified and analyzed: the sea level rise and the river runoff decrease. Scenarios of spring floods and summer–autumn low water seasons corresponding to different combinations of boundary conditions for the historical period are modeled, as well as for the most probable and most unfavorable hydrometeorological conditions of the mid-21st century. Possible changes in the flow characteristics and their impact on various aspects of hydroecological safety and the use of water resources in the estuarial areas under the study have been analyzed.</w:t>
      </w:r>
    </w:p>
    <w:p>
      <w:pPr/>
      <w:r>
        <w:rPr>
          <w:b/>
        </w:rPr>
        <w:t>POSSIBLE 2025:</w:t>
      </w:r>
      <w:r>
        <w:t xml:space="preserve"> Climate Change 2022: Impacts, Adaptation and Vulnerability — https://doi.org/10.1163/9789004322714_cclc_2022-0258-0930</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Summary for policymakers Technical summary Part I. Setting the Stage for Impact, Adaptation, and Vulnerability Assessment: 1. Overview 2. Methods and tools 3. Development and application of scenarios in Climate Change Impact, Adaptation, and Vulnerability Assessment Part II. Sectors and Systems: Impacts, Adaptation, and Vulnerability: 4. Hydrology and water resources 5. Natural and managed ecosystems 6. Coastal zones and marine ecosystems 7. Energy, industry, and settlements 8. Financial services 9. Human health Part III. Regional Analyses: Impacts, Adaptation, and Vulnerability: 10. Africa 11. Asia 12. Australasia 13. Europe 14. Latin America 15. North America 16. Polar regions (Arctic and Antarctic) 17. Small island states Part IV. Global Issues and Synthesis: 18. Adaptation to climate change in the context of sustainable development and equity 19. Synthesis and integration of impacts, adaptation, and vulnerability Index.</w:t>
      </w:r>
    </w:p>
    <w:p>
      <w:pPr/>
      <w:r>
        <w:rPr>
          <w:b/>
        </w:rPr>
        <w:t>POSSIBLE 2025:</w:t>
      </w:r>
      <w:r>
        <w:t xml:space="preserve"> Optimizing ATM and ATC Procedures for Mitigating CO2 and Non-CO2 Emissions: The Role of Climate Impact Metrics — https://doi.org/10.20944/preprints202510.0967.v1</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This paper presents a comprehensive multidisciplinary review of recent advancements about the aviation emissions modeling methodologies and the related mitigation strategies through optimized in-flight operational procedures. With reference to the Terminal Manoeuvring Area (TMA), it critically examines current and emerging strategies, particularly those enabled by GNSS-based capabilities and Performance Based Navigation (PBN), to enhance aircraft efficiency and reduce fuel consumption and associated chemical emissions. The study also explores the state-of-the-art methodologies for modeling both CO₂ and non-CO₂ emissions and addresses the problem of contrails formation, highlighting the main relevant aspects that can be useful for the definition of future mitigation strategies. Furthermore, it analyzes evolving optimization techniques aimed at real-time 4D trajectory planning able to take into account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2024:</w:t>
      </w:r>
      <w:r>
        <w:t xml:space="preserve"> Changes in climate indicators of degradation of UNESCO cultural heritage sites in the European part of Russia — https://doi.org/10.21638/spbu07.2024.306</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Cultural heritage sites are under threat of destruction due to the impact of climate change and related hazards such as rainstorms, floods, droughts. High vulnerability to natural disasters and important historical and socio-cultural value require special attention to World Heritage properties. The goal of the work is to assess the impact of climate on the destruction of building materials of UNESCO cultural heritage sites for four cities in the European part of Russia (Derbent, Kazan, Petrozavodsk and Pskov). The work uses daily data on air temperature and precipitation for the period 1961–2020. Five indices were used to assess the impact of frost (days with air temperatures below 0°C and minus 5°C, freeze-thaw cycles, Wet-frost index and frost decay exposure index) and two indices of extreme air temperatures and precipitation (percentage of days with maximum air temperature higher 90th percentile and number of days with precipitation above 99th percentile). In addition, changes in the indices between two climatic periods, 1961–1990 and 1991–2020, were estimated. The results showed a reduction in the risk of damage to cultural heritage sites by low air temperatures, while the frequency of freeze-thaw cycles increased in the northern regions against the backdrop of rising surface air temperatures. The change in extreme temperatures and precipitation has a positive trend, which </w:t>
      </w:r>
    </w:p>
    <w:p>
      <w:pPr/>
      <w:r>
        <w:rPr>
          <w:b/>
        </w:rPr>
        <w:t>POSSIBLE 2024:</w:t>
      </w:r>
      <w:r>
        <w:t xml:space="preserve"> Predicting the effect of climate change and management on net carbon sequestration in the forest ecosystems of the European part of Russia with the complex of models — https://doi.org/10.1016/j.ecolmodel.2024.110835</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The future of the Portuguese (SW Europe) most vulnerable coastal areas under climate change – Part I: Performance evaluation and shoreline evolution from a downscaled bias corrected wave climate ensemble — https://doi.org/10.1016/j.oceaneng.2024.117661</w:t>
      </w:r>
    </w:p>
    <w:p>
      <w:pPr/>
      <w:r>
        <w:rPr>
          <w:b/>
        </w:rPr>
        <w:t>Shared claim-specific concepts:</w:t>
      </w:r>
      <w:r>
        <w:t xml:space="preserve"> part, climate, plans; EU scope visible. This is a provisional connection, not an outcome finding.</w:t>
      </w:r>
    </w:p>
    <w:p>
      <w:pPr>
        <w:pStyle w:val="SourceNote"/>
      </w:pPr>
      <w:r>
        <w:rPr>
          <w:b/>
        </w:rPr>
        <w:t>Available abstract (not full text):</w:t>
      </w:r>
      <w:r>
        <w:t xml:space="preserve"> Some of the most disruptive effects of climate change are projected to be felt along the coastlines. The combined effects of future changes in water levels and wave climate along coastal areas constitute one of the most serious threats to their sustainable evolution, compromising critical infrastructures, resources, ecosystems, and communities. Understanding long-term changes in coastal areas remains challenging, however, due to their multivariate and multi-time-and-space-scale nature. In this study, we propose an innovative methodology for a complete vulnerability assessment of sandy low-lying coastal areas, based on dynamic, ensemble-based projections from the Coupled Model Intercomparison Project phase 5 (CMIP5). In the current Part I study, the effects of sea level rise (SLR) and nearshore wave climate changes on future shoreline evolution are assessed at five key-locations along the Portuguese coastline. Longshore sediment transport (LST) projections are computed, and sedimentary imbalances are quantified. Overall, robust shoreline retreat of up to 300 m is projected, especially along the Portuguese northern and central coastal areas, with continued erosion driven mainly by sediment imbalance and SLR. The projected decrease in future nearshore wave energy is responsible for a slight alleviation in erosion trends, up to 6.33%, whereas the increase of northerly incoming wave</w:t>
      </w:r>
    </w:p>
    <w:p>
      <w:pPr/>
      <w:r>
        <w:rPr>
          <w:b/>
        </w:rPr>
        <w:t>POSSIBLE 2024:</w:t>
      </w:r>
      <w:r>
        <w:t xml:space="preserve"> The future of the Portuguese (SW Europe) most vulnerable coastal areas under climate change – Part II: Future extreme coastal flooding from downscaled bias corrected wave climate projections — https://doi.org/10.1016/j.oceaneng.2024.118448</w:t>
      </w:r>
    </w:p>
    <w:p>
      <w:pPr/>
      <w:r>
        <w:rPr>
          <w:b/>
        </w:rPr>
        <w:t>Shared claim-specific concepts:</w:t>
      </w:r>
      <w:r>
        <w:t xml:space="preserve"> part, climate, plans; EU scope visible. This is a provisional connection, not an outcome finding.</w:t>
      </w:r>
    </w:p>
    <w:p>
      <w:pPr>
        <w:pStyle w:val="SourceNote"/>
      </w:pPr>
      <w:r>
        <w:rPr>
          <w:b/>
        </w:rPr>
        <w:t>Available abstract (not full text):</w:t>
      </w:r>
      <w:r>
        <w:t xml:space="preserve"> Episodic extreme coastal flooding is considered one of the most serious threats to the global coastlines, endangering infrastructure, ecosystems, and communities. The synchronized effects of extreme wave events, storm surges and astronomical tides are particularly worrying in the context of sea level rise (SLR), and a comprehensive understanding of their future dynamics remains challenging. In this study, an innovative approach for a vulnerability assessment of sandy low-lying coastal areas, based on dynamic ensemble projections is proposed. In the current Part II study, the combined effects of future projected SLR, tides, storm surges and wave action are investigated at five key-locations along the Portuguese coastline, considering projected digital terrain models, built upon the shoreline projections obtained in Part I. Future extreme total water levels are obtained through a probabilistic approach, and extreme wave events are defined considering high wave energy thresholds in a changing climate. Overall, extreme coastal flooding is projected across several urbanized sections along the Portuguese coastline, especially in areas without artificial protection infrastructures. Dune erosion is expected along the sandy stretches, reducing the natural protection against extreme coastal events up to 13.3%, and promoting widespread overtopping, leaving populations more exposed. Future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climate, demonstrate;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pStyle w:val="Heading2"/>
      </w:pPr>
      <w:r>
        <w:t>592.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2025:</w:t>
      </w:r>
      <w:r>
        <w:t xml:space="preserve"> Arterial hypertension–attributable mortality in Europe: implications for the Americas — https://doi.org/10.1097/hjh.0000000000004190</w:t>
      </w:r>
    </w:p>
    <w:p>
      <w:pPr/>
      <w:r>
        <w:rPr>
          <w:b/>
        </w:rPr>
        <w:t>Shared claim-specific concepts:</w:t>
      </w:r>
      <w:r>
        <w:t xml:space="preserve"> conversely, increasing, all, despite, importance; EU scope visible. This is a provisional connection, not an outcome finding.</w:t>
      </w:r>
    </w:p>
    <w:p>
      <w:pPr>
        <w:pStyle w:val="SourceNote"/>
      </w:pPr>
      <w:r>
        <w:rPr>
          <w:b/>
        </w:rPr>
        <w:t>Available abstract (not full text):</w:t>
      </w:r>
      <w:r>
        <w:t xml:space="preserve">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suitability, species, important, importance, addresses;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Understanding and addressing shortfalls in European wild bee data — https://doi.org/10.1016/j.biocon.2024.110455</w:t>
      </w:r>
    </w:p>
    <w:p>
      <w:pPr/>
      <w:r>
        <w:rPr>
          <w:b/>
        </w:rPr>
        <w:t>Shared claim-specific concepts:</w:t>
      </w:r>
      <w:r>
        <w:t xml:space="preserve"> species, despite, major, important, addresses;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conversely, all, species, importance;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Fertility Control for Wildlife: A European Perspective — https://doi.org/10.3390/ani13030428</w:t>
      </w:r>
    </w:p>
    <w:p>
      <w:pPr/>
      <w:r>
        <w:rPr>
          <w:b/>
        </w:rPr>
        <w:t>Shared claim-specific concepts:</w:t>
      </w:r>
      <w:r>
        <w:t xml:space="preserve"> increasing, environmental, species; EU scope visible. This is a provisional connection, not an outcome finding.</w:t>
      </w:r>
    </w:p>
    <w:p>
      <w:pPr>
        <w:pStyle w:val="SourceNote"/>
      </w:pPr>
      <w:r>
        <w:rPr>
          <w:b/>
        </w:rPr>
        <w:t>Available abstract (not full text):</w:t>
      </w:r>
      <w:r>
        <w:t xml:space="preserve"> Trends of human population growth and landscape development in Europe show that wildlife impacts are escalating. Lethal methods, traditionally employed to mitigate these impacts, are often ineffective, environmentally hazardous and face increasing public opposition. Fertility control is advocated as a humane tool to mitigate these impacts. This review describes mammalian and avian wildlife contraceptives' effect on reproduction of individuals and populations, delivery methods, potential costs and feasibility of using fertility control in European contexts. These contexts include small, isolated wildlife populations and situations in which lethal control is either illegal or socially unacceptable, such as urban settings, national parks and areas where rewilding occurs. The review highlights knowledge gaps, such as impact of fertility control on recruitment, social and spatial behaviour and on target and non-target species, provides a decision framework to assist decisions about the potential use of wildlife fertility control, and suggests eight reasons for Europe to invest in this area. Although developing and registering contraceptives in Europe will have substantial costs, these are relatively small when compared to wildlife's economic and environmental impact. Developing safe and effective contraceptives will be essential if European countries want to meet public demand for m</w:t>
      </w:r>
    </w:p>
    <w:p>
      <w:pPr/>
      <w:r>
        <w:rPr>
          <w:b/>
        </w:rPr>
        <w:t>POSSIBLE 2023:</w:t>
      </w:r>
      <w:r>
        <w:t xml:space="preserve"> Conservation easements – project selection criteria for quarries in Europe — https://doi.org/10.3389/fcosc.2023.1304712</w:t>
      </w:r>
    </w:p>
    <w:p>
      <w:pPr/>
      <w:r>
        <w:rPr>
          <w:b/>
        </w:rPr>
        <w:t>Shared claim-specific concepts:</w:t>
      </w:r>
      <w:r>
        <w:t xml:space="preserve"> conversely, environmental, all, species, ecological; EU scope visible. This is a provisional connection, not an outcome finding.</w:t>
      </w:r>
    </w:p>
    <w:p>
      <w:pPr>
        <w:pStyle w:val="SourceNote"/>
      </w:pPr>
      <w:r>
        <w:rPr>
          <w:b/>
        </w:rPr>
        <w:t>Available abstract (not full text):</w:t>
      </w:r>
      <w:r>
        <w:t xml:space="preserve"> Private sector support is essential to achieve the EU Green Deal's biodiversity goals, given that a significant portion of Natura 2000 and potential restoration sites are privately owned (European Commission, kein Datum).The extractive industry is a prime example of how private business impacts biodiversity policy implementation.Historically, European land has often been altered or degraded by agriculture, forestry, and other land uses. While resource extraction can lead to further destruction, well-managed former quarries and reclamation sites can provide vital habitats for endangered species, including those adjacent to Natura 2000 sites. This presents an opportunity to rehabilitate habitats that have suffered significant loss (European Commission, 2019).New, enhanced reporting requirements will intensify public scrutiny of private firms' biodiversity impact, demanding inventive and proactive approaches to harmonise resource extraction with nature preservation. Conversely, voluntary efforts to maximise long-term biodiversity value in quarries could spawn new business models by leveraging current and future fiscal incentives linked to nature restoration and promoting biodiversity-friendly land use.It's relevant to explore how the extractive industry can proactively surpass legal norms for net biodiversity gains. A dual case-both communicative and financial-is essential to pers</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baltic, all, central, position;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pStyle w:val="Heading2"/>
      </w:pPr>
      <w:r>
        <w:t>593.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2025:</w:t>
      </w:r>
      <w:r>
        <w:t xml:space="preserve"> Theoretical Foundations — https://doi.org/10.4324/9781003694625_ch14</w:t>
      </w:r>
    </w:p>
    <w:p>
      <w:pPr/>
      <w:r>
        <w:rPr>
          <w:b/>
        </w:rPr>
        <w:t>Shared claim-specific concepts:</w:t>
      </w:r>
      <w:r>
        <w:t xml:space="preserve"> analyse, theoretical, based; EU scope not established. This is a provisional connection, not an outcome finding.</w:t>
      </w:r>
    </w:p>
    <w:p>
      <w:pPr>
        <w:pStyle w:val="SourceNote"/>
      </w:pPr>
      <w:r>
        <w:rPr>
          <w:b/>
        </w:rPr>
        <w:t>Available abstract (not full text):</w:t>
      </w:r>
      <w:r>
        <w:t xml:space="preserve"> The four TPACK course (re)design professional development modules developed in the MARCH ET project are based on five theoretical foundations. Understanding these theoretical foundations helps us comprehend the modules’ course design and the considerations that go into choosing it. The first theoretical foundation is ‘social constructivism,’ which is an approach to good teaching and learning. The second theoretical foundation is the pedagogical design of the modules, which is based on an old but still very useful ‘pedagogical model’ developed by Van Gelder (1970) , referred to in Dutch as the didactische analyse model (DA model). The third theoretical foundation is the revised Bloom’s Taxonomy (Anderson &amp; Krathwohl, 2001) for defining learning outcomes (often called ‘learning objectives’). The fourth theoretical foundation is Biggs ‘constructive alignment’ of learning outcomes, the learning process and assessments ( Biggs, 2003 ), a widely accepted principle of pedagogically sound course design. The fifth and final foundation is the ‘action research’ approach. It is used as a reflection method by the participants in their own teaching practice.</w:t>
      </w:r>
    </w:p>
    <w:p>
      <w:pPr/>
      <w:r>
        <w:rPr>
          <w:b/>
        </w:rPr>
        <w:t>POSSIBLE 2024:</w:t>
      </w:r>
      <w:r>
        <w:t xml:space="preserve"> Theoretical Framework for Analysing Regional Economic Governance: A Comparative Study of African Blocs, — https://doi.org/10.5281/zenodo.18929910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 "background":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"purpose and objectives":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"methodology":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"key insights": "The framework reveals that a significant theme across blocs is the disjuncture between rhetorical commitments to gender mainstreaming in treaties and the marginalisation of women from core economic decision-making roles. A key analytical finding</w:t>
      </w:r>
    </w:p>
    <w:p>
      <w:pPr/>
      <w:r>
        <w:rPr>
          <w:b/>
        </w:rPr>
        <w:t>POSSIBLE 2023:</w:t>
      </w:r>
      <w:r>
        <w:t xml:space="preserve"> Theoretical and methodological aspects of analysing the foreign economic activity of enterprises — https://doi.org/10.56318/eem2023.01.051</w:t>
      </w:r>
    </w:p>
    <w:p>
      <w:pPr/>
      <w:r>
        <w:rPr>
          <w:b/>
        </w:rPr>
        <w:t>Shared claim-specific concepts:</w:t>
      </w:r>
      <w:r>
        <w:t xml:space="preserve"> objective, analyse, theoretical, aspects, well, foreign; EU scope not established. This is a provisional connection, not an outcome finding.</w:t>
      </w:r>
    </w:p>
    <w:p>
      <w:pPr>
        <w:pStyle w:val="SourceNote"/>
      </w:pPr>
      <w:r>
        <w:rPr>
          <w:b/>
        </w:rPr>
        <w:t>Available abstract (not full text):</w:t>
      </w:r>
      <w:r>
        <w:t xml:space="preserve"> It is important for enterprises to determine exactly the current reserves for the development of export activities and, based on them, make adequate and objective management decisions regarding the further implementation of foreign economic activity. Therefore, the purpose of the study is to develop a comprehensive methodology for analysing foreign economic activity based on the determination of factors of the external and internal environment of the enterprise functioning, which affect the analysis of foreign economic activity, as well as the study of the process of implementing a comprehensive methodology for analysing foreign economic activity of the enterprise, based on the consistent implementation of stages: the stage of information and analytical support, the analytical and calculation stage, and the management stage – analytical processing of calculations and the formulation of reasonable conclusions. The study used the following methods: dialectical, analysis and synthesis, comparison, theoretical generalisation, and tabular method. The process of implementing a comprehensive methodology for analysing the foreign economic activity of the enterprise is considered, which provides an opportunity to obtain complete and objective information on the state of implementation of the foreign economic activity of the enterprise, the development and implementation of the foreign e</w:t>
      </w:r>
    </w:p>
    <w:p>
      <w:pPr/>
      <w:r>
        <w:rPr>
          <w:b/>
        </w:rPr>
        <w:t>POSSIBLE 2023:</w:t>
      </w:r>
      <w:r>
        <w:t xml:space="preserve"> A Theoretical Framework for Analysing Key Educational Issues in Niger: An African-Centred Perspective for thePeriod — https://doi.org/10.5281/zenodo.18385898</w:t>
      </w:r>
    </w:p>
    <w:p>
      <w:pPr/>
      <w:r>
        <w:rPr>
          <w:b/>
        </w:rPr>
        <w:t>Shared claim-specific concepts:</w:t>
      </w:r>
      <w:r>
        <w:t xml:space="preserve"> theoretical, national, both, system; EU scope not established. This is a provisional connection, not an outcome finding.</w:t>
      </w:r>
    </w:p>
    <w:p>
      <w:pPr>
        <w:pStyle w:val="SourceNote"/>
      </w:pPr>
      <w:r>
        <w:rPr>
          <w:b/>
        </w:rPr>
        <w:t>Available abstract (not full text):</w:t>
      </w:r>
      <w:r>
        <w:t xml:space="preserve"> This article proposes a theoretical framework for analysing the most pressing educational challenges in Niger between 2021 and 2023, centring African epistemologies to transcend deficit-oriented narratives. It critiques prevailing theoretical models, frequently imported without adaptation, for failing to capture the complex socio-cultural and political-economic realities that shape Niger's education system. The framework synthesises an African-centred perspective, drawing principally on the concepts of *Ubuntu* and endogenous knowledge systems, and integrates these with critical pedagogy and postcolonial theory. This interdisciplinary approach is constructed through a critical synthesis of contemporary empirical studies, policy documents from the Nigerien Ministry of National Education, and reports from regional bodies published within the specified period. The analysis elucidates how core issues—including persistently low enrolment and completion rates for girls, curriculum relevance, and the impact of insecurity—are interconnected through historical legacies and contemporary geopolitical pressures. It argues that sustainable solutions must be grounded in local community values, languages, and knowledge production. The significance of this work lies in providing a structured, context-sensitive analytical tool for researchers, policymakers, and practitioners. It facilitates a s</w:t>
      </w:r>
    </w:p>
    <w:p>
      <w:pPr>
        <w:pStyle w:val="Heading2"/>
      </w:pPr>
      <w:r>
        <w:t>594.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article, energy, contribute;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2025:</w:t>
      </w:r>
      <w:r>
        <w:t xml:space="preserve"> Perceptions of homosexuality in Nigeria : A phenomenological study of five Nigerians in Finland — https://openalex.org/W7115245172</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Individuals migrating from developing countries to Western societies may experience shifts in their beliefs and attitudes toward homosexual people. Limited studies have focused on migrants’ perceptions after relocating from one country to another, particularly from a social exclusion lens. Therefore, this study sought to investigate migrant perception both during their time living in Nigeria and after moving to Finland through a qualitative approach, focusing on the perspectives of Nigerians residing in Finland. The sample consists of five individuals who represent a range of education, interests, and employment backgrounds. The qualitative data was collected from the interview sessions, and this study revealed that Nigerians living in Finland have a better understanding of Homosexuality. This study showed that the perception of Nigerians of homosexual people have changed after relocating to Finland. This study also revealed factors related to the social exclusion of homosexual people in Nigeria, such as culture, religion, policy, and law. It can be concluded that there is a change in perception, beliefs, and attitudes towards homosexual people. It is recommended that there is a need to organize seminars or workshops and sensitization programs that would foster understanding and empathy to promote the rights of people to be able to live freely as human irrespective of the ident</w:t>
      </w:r>
    </w:p>
    <w:p>
      <w:pPr/>
      <w:r>
        <w:rPr>
          <w:b/>
        </w:rPr>
        <w:t>POSSIBLE 2024:</w:t>
      </w:r>
      <w:r>
        <w:t xml:space="preserve"> Climate, Energy and Security: The New Social Contract of Europe and Spain — https://doi.org/10.52783/pst.1914</w:t>
      </w:r>
    </w:p>
    <w:p>
      <w:pPr/>
      <w:r>
        <w:rPr>
          <w:b/>
        </w:rPr>
        <w:t>Shared claim-specific concepts:</w:t>
      </w:r>
      <w:r>
        <w:t xml:space="preserve"> article, five, energy, presented; EU scope visible. This is a provisional connection, not an outcome finding.</w:t>
      </w:r>
    </w:p>
    <w:p>
      <w:pPr>
        <w:pStyle w:val="SourceNote"/>
      </w:pPr>
      <w:r>
        <w:rPr>
          <w:b/>
        </w:rPr>
        <w:t>Available abstract (not full text):</w:t>
      </w:r>
      <w:r>
        <w:t xml:space="preserve"> In the current context of growing climate instability and geopolitical tensions, the article addresses the critical nexus between climate change, energy security and governance as the basis for a new social contract in Europe and Spain. The approach is based on a central premise: the energy transition and the fight against climate change cannot be addressed in isolation, but must be integrated into a common strategic vision that combines sustainability, social resilience and political autonomy (Mazurier et al., 2020). The work is structured around five thematic axes. First, the conceptual framework of the link between climate and security is examined from the academic literature, highlighting the role of climate change as a risk multiplier (Barnett &amp; Adger, 2007) and the complexity of multilevel governance (Keohane &amp; Victor, 2011). Secondly, the European regulatory framework is analysed, especially the European Green Deal and the Strategic Compass, as pillars that redefine security in integrated terms: energy, climate and civil. Thirdly, the Spanish case is contextualised, emphasising its high energy dependence and climate vulnerability, but also its potential to lead a transition from the local level with renewable energies and decentralisation. Fourthly, the cooperation mechanisms between the EU and Spain are presented, such as electricity interconnections, green hydrogen all</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article, energy;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How have the European Union countries approached the Europe 2020 targets? — https://doi.org/10.1080/27684520.2024.2378171</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.We consider the headline indicators of the Europe 2020 agenda for the European Union countries for several years of the period 2010–2019 and their own national targets for these indicators. The indicators belong to five thematic areas: employment; education; research, development, and innovation; poverty and social exclusion; climate change; and energy. The main objective of this article is to analyze the dynamics and evolution of the EU countries and the Agenda Europe 2020 indicators over the period, taking into account the relations between the indicators for the EU countries along the years. In order to analyze the different data tables, we have used a three-way data methodology, the STATIS methodology. The results obtained show that the countries of the European Union as a whole have made progress towards the global targets set for the different indicators, with some countries making more significant progress than others. The indicators related to research, development, and innovation, as well as climate change and energy, are the ones where the most improvement is needed. The targets set individually for each country, less demanding for some and more daring for others, were generally already achieved in 2019 or are very close to being achieved.</w:t>
      </w:r>
    </w:p>
    <w:p>
      <w:pPr/>
      <w:r>
        <w:rPr>
          <w:b/>
        </w:rPr>
        <w:t>POSSIBLE 2024:</w:t>
      </w:r>
      <w:r>
        <w:t xml:space="preserve"> Summer-time performance of Finnish housing: POE of five apartments — https://doi.org/10.1108/ijbpa-03-2024-0059</w:t>
      </w:r>
    </w:p>
    <w:p>
      <w:pPr/>
      <w:r>
        <w:rPr>
          <w:b/>
        </w:rPr>
        <w:t>Shared claim-specific concepts:</w:t>
      </w:r>
      <w:r>
        <w:t xml:space="preserve"> five, finland, conditions; EU scope visible. This is a provisional connection, not an outcome finding.</w:t>
      </w:r>
    </w:p>
    <w:p>
      <w:pPr>
        <w:pStyle w:val="SourceNote"/>
      </w:pPr>
      <w:r>
        <w:rPr>
          <w:b/>
        </w:rPr>
        <w:t>Available abstract (not full text):</w:t>
      </w:r>
      <w:r>
        <w:t xml:space="preserve"> Purpose Despite the increased retrofitting of Finnish residential buildings, there are limited post-retrofit studies on the actual measured indoor environmental quality (IEQ) and occupant satisfaction during summer-time. This paper provides a better understanding of the actual performance of retrofitted residential apartment buildings in Finland, focusing on some aspects of and the risk of summer overheating through post-occupancy evaluation (POE). Design/methodology/approach The study used both qualitative and quantitative data collection methods, including satisfaction surveys, indoor air temperature and relative humidity measurements, self-reported behaviour forms, open-ended discussions, and site visits in five apartments in different residential buildings in Tampere city, monitored during the summer-time, for at least 2 weeks at a time. Findings While occupants were positive regarding most aspects of IEQ, concerns about indoor air quality (IAQ), summer overheating and acoustic comfort were raised. The summer-time monitoring highlighted that indoor air temperatures could reach as high as 27 °C for 2–9 days depending on the monitored apartment. Little cloud cover and warmer outdoor temperatures directly influenced indoor air temperature overheating. For some aspects of the investigated IEQ parameters, it was noted that while occupants’ satisfaction was influenced by the leng</w:t>
      </w:r>
    </w:p>
    <w:p>
      <w:pPr/>
      <w:r>
        <w:rPr>
          <w:b/>
        </w:rPr>
        <w:t>POSSIBLE 2023:</w:t>
      </w:r>
      <w:r>
        <w:t xml:space="preserve"> Energy Economic Development in Europe — https://doi.org/10.3390/books978-3-0365-7112-6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Energy Transition and the Economy: A Review Article — https://doi.org/10.3390/en16072965</w:t>
      </w:r>
    </w:p>
    <w:p>
      <w:pPr/>
      <w:r>
        <w:rPr>
          <w:b/>
        </w:rPr>
        <w:t>Shared claim-specific concepts:</w:t>
      </w:r>
      <w:r>
        <w:t xml:space="preserve"> article, energy, discussion, direction; EU scope not established. This is a provisional connection, not an outcome finding.</w:t>
      </w:r>
    </w:p>
    <w:p>
      <w:pPr>
        <w:pStyle w:val="SourceNote"/>
      </w:pPr>
      <w:r>
        <w:rPr>
          <w:b/>
        </w:rPr>
        <w:t>Available abstract (not full text):</w:t>
      </w:r>
      <w:r>
        <w:t xml:space="preserve"> The global energy sector is in a period of transition, during which time it is expected that renewable and low-carbon energy sources, such as wind and solar, will replace traditional fossil fuels, including oil, gas, and coal. The energy transition is happening not only to limit the environmental impact of fossil fuel production and consumption but also to ensure energy security, reliability, access, affordability, and sustainability. The importance of the energy transition has been amplified by recent events, notably the Russian-Ukraine conflict. Economic, financial, and trade sanctions against Russia, and in particular its oil and gas industry, have forced countries to find new suppliers in the short term, but also to investigate new and more sustainable sources to guarantee long-term energy security. Given the importance of energy, it is perhaps not unexpected that there is a considerable body of recent academic literature, particularly over the last 4–5 years, studying what industries, consumers, governments, and markets can do to help bring about a faster energy transition. In this paper, we provide a review of the literature that pertains to the economic aspects of the energy transition. While our initial search of the literature is targeted at uncovering all relevant articles on the subject, we focus most of our discussion on the most influential articles in prominent jo</w:t>
      </w:r>
    </w:p>
    <w:p>
      <w:pPr/>
      <w:r>
        <w:rPr>
          <w:b/>
        </w:rPr>
        <w:t>POSSIBLE 2023:</w:t>
      </w:r>
      <w:r>
        <w:t xml:space="preserve"> A methodology to characterize energy consumption in small and medium-sized enterprises at national level in European countries — https://doi.org/10.1007/s10098-023-02606-z</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Abstract The 25 million of European small and medium-sized enterprises (SMEs) represent 99% of businesses and account for the two thirds of total employment and a half of Gross Domestic Product. Thus, SMEs are considered as the backbone of European’ economy. The crucial importance of energy efficiency and its potential in SMEs is worldwide recognized. However, the energy use and consumption information of SMEs are very limited, and the disaggregated data between SMEs and large enterprises are often not available at national or European level. The aim of this work is to present a methodology for the energy consumption characterization of European SMEs at national level. The proposed methodology, based on the combination of official national energy statistics and energy consumption data according to the European Energy Efficiency Directive Article 8, has been developed and applied to Italy and Austria. Preliminary results show significant differences in the relative weight of SMEs’ energy consumption between the two countries mainly due to their specific productive structures. The application of this methodology to the available data on further five European countries provides useful insights on the impact of different national approaches to comply with Art.8. This methodology shows that harmonizing the different strategies to monitor energy audits obligation would significantly </w:t>
      </w:r>
    </w:p>
    <w:p>
      <w:pPr>
        <w:pStyle w:val="Heading2"/>
      </w:pPr>
      <w:r>
        <w:t>595.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2025:</w:t>
      </w:r>
      <w:r>
        <w:t xml:space="preserve"> Transformations Along the Periphery – The Growing Role of Islam in Malta in the Decade Following the Arab Spring — https://doi.org/10.71069/ipr2.25.mc07</w:t>
      </w:r>
    </w:p>
    <w:p>
      <w:pPr/>
      <w:r>
        <w:rPr>
          <w:b/>
        </w:rPr>
        <w:t>Shared claim-specific concepts:</w:t>
      </w:r>
      <w:r>
        <w:t xml:space="preserve"> given, growing, role, challenges; EU scope visible. This is a provisional connection, not an outcome finding.</w:t>
      </w:r>
    </w:p>
    <w:p>
      <w:pPr>
        <w:pStyle w:val="SourceNote"/>
      </w:pPr>
      <w:r>
        <w:rPr>
          <w:b/>
        </w:rPr>
        <w:t>Available abstract (not full text):</w:t>
      </w:r>
      <w:r>
        <w:t xml:space="preserve"> This article examines the increasing role of Islam in Malta in the decade following the onset of the Arab Spring, a development largely driven by rising migration levels toward Europe. The study begins with a historical overview of Islam’s presence in Malta, followed by an analysis of available statistical data regarding the country’s Muslim population. Lastly, the article explores specific challenges faced by Maltese Muslims that are of significant importance to this religious group. The research is based on official state documents concerning demographic trends, reports from international organizations, materials published in local media, and insights from spiritual leaders and public figures. The study concludes that, given the sustained high levels of migration, the influence of Islam in Malta is likely to continue growing.</w:t>
      </w:r>
    </w:p>
    <w:p>
      <w:pPr/>
      <w:r>
        <w:rPr>
          <w:b/>
        </w:rPr>
        <w:t>POSSIBLE 2024:</w:t>
      </w:r>
      <w:r>
        <w:t xml:space="preserve"> Iran’s growing role in Eurasian transport and communication projects — https://doi.org/10.17223/15617793/504/10</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Iran, belonging to the “middle powers” type in terms of its military and economic capabilities, is one of the influential and energetic states in Eurasia with great ambitions. In the emerging new geopolitical reality, accompanied by an imbalance of the existing international system and a change in the configuration of forces, Iran positions itself as an important regional player. The aim of this study is to analyze the growing role of Iran in the emerging Eurasian transport and communication systems. The emerging transport and communication systems in Eurasia with the participation of two major regional centers of power – Russia and China – became a challenge for Iran. The respond of the Iranian administration is increasing the activity of its Eurasian diplomacy. In turn, Russia and China, recognizing Iran’s unique geopolitical location, show interest in building strategic and mutually beneficial cooperation in the field of joint implementation of transport and communication projects. Iran’s transit potential is one of the factors contributing to the strengthening of cooperation with the countries of Central Asia. At the same time, there is mutual interest when the countries of Central Asia that do not have access to the open sea respond positively to Iran’s proposal to strengthen transport and communication cooperation. The Chinese BRI project, where Central Asian countries pl</w:t>
      </w:r>
    </w:p>
    <w:p>
      <w:pPr/>
      <w:r>
        <w:rPr>
          <w:b/>
        </w:rPr>
        <w:t>POSSIBLE 2024:</w:t>
      </w:r>
      <w:r>
        <w:t xml:space="preserve"> ROLE OF INFRASTRUCTURE IN GROWING THE REGIONAL ECONOMY — https://openalex.org/W7215585999</w:t>
      </w:r>
    </w:p>
    <w:p>
      <w:pPr/>
      <w:r>
        <w:rPr>
          <w:b/>
        </w:rPr>
        <w:t>Shared claim-specific concepts:</w:t>
      </w:r>
      <w:r>
        <w:t xml:space="preserve"> growing, role; EU scope not established. This is a provisional connection, not an outcome finding.</w:t>
      </w:r>
    </w:p>
    <w:p>
      <w:pPr>
        <w:pStyle w:val="SourceNote"/>
      </w:pPr>
      <w:r>
        <w:rPr>
          <w:b/>
        </w:rPr>
        <w:t>Available abstract (not full text):</w:t>
      </w:r>
      <w:r>
        <w:t xml:space="preserve"> This article is written about the development of infrastructures in the development of the economy, in which the international and regional infrastructures are highlighted.</w:t>
      </w:r>
    </w:p>
    <w:p>
      <w:pPr/>
      <w:r>
        <w:rPr>
          <w:b/>
        </w:rPr>
        <w:t>POSSIBLE 2024:</w:t>
      </w:r>
      <w:r>
        <w:t xml:space="preserve"> The role of biogumus in potato growing in the conditions of Uzbekistan — https://doi.org/10.1051/e3sconf/202456303025</w:t>
      </w:r>
    </w:p>
    <w:p>
      <w:pPr/>
      <w:r>
        <w:rPr>
          <w:b/>
        </w:rPr>
        <w:t>Shared claim-specific concepts:</w:t>
      </w:r>
      <w:r>
        <w:t xml:space="preserve"> growing, role; EU scope not established. This is a provisional connection, not an outcome finding.</w:t>
      </w:r>
    </w:p>
    <w:p>
      <w:pPr>
        <w:pStyle w:val="SourceNote"/>
      </w:pPr>
      <w:r>
        <w:rPr>
          <w:b/>
        </w:rPr>
        <w:t>Available abstract (not full text):</w:t>
      </w:r>
      <w:r>
        <w:t xml:space="preserve"> This comprehensive scientific article delves into the critical role that biohumus plays in enhancing soil quality and productivity, specifically within the context of potato cultivation. It meticulously explores the multifaceted process of biohumus preparation, outlining the technology and methods involved, and details the optimal rates and timing for applying biohumus to achieve the best outcomes. Biohumus, a rich, organic fertilizer derived from the vermicomposting process, involves the breakdown of organic material by earthworms. This natural fertilizer is lauded for its ability to improve soil structure, enhance water retention, and increase microbial activity, which together contribute to a more fertile ground for plant growth. In the case of potato cultivation, which demands high soil fertility and structure to ensure the development of quality tubers, the application of biohumus is particularly beneficial. The article methodically examines various strategies for the preparation of biohumus, emphasizing the importance of selecting the right raw materials, controlling the vermicomposting environment, and ensuring the maturity of the biohumus before its application. It stresses the significance of understanding the specific needs of the soil and the potato plants to determine the appropriate application rates and periods.</w:t>
      </w:r>
    </w:p>
    <w:p>
      <w:pPr/>
      <w:r>
        <w:rPr>
          <w:b/>
        </w:rPr>
        <w:t>POSSIBLE 2024:</w:t>
      </w:r>
      <w:r>
        <w:t xml:space="preserve"> Urban tourism: The growing role of VFR and immigration — https://doi.org/10.32920/25246657.v1</w:t>
      </w:r>
    </w:p>
    <w:p>
      <w:pPr/>
      <w:r>
        <w:rPr>
          <w:b/>
        </w:rPr>
        <w:t>Shared claim-specific concepts:</w:t>
      </w:r>
      <w:r>
        <w:t xml:space="preserve"> growing, role, approach; EU scope not established. This is a provisional connection, not an outcome finding.</w:t>
      </w:r>
    </w:p>
    <w:p>
      <w:pPr>
        <w:pStyle w:val="SourceNote"/>
      </w:pPr>
      <w:r>
        <w:rPr>
          <w:b/>
        </w:rPr>
        <w:t>Available abstract (not full text):</w:t>
      </w:r>
      <w:r>
        <w:t xml:space="preserve"> Purpose. The purpose of this viewpoint is to offer some insights into the future of urban tourism. The discussion highlights the fact that cities are increasingly hosting immigrants who have a growing impact on how tourism is shaped. Approach. This discussion is based on a literature review and a conceptual approach Findings. The number of immigrants to cities keeps growing. These immigrants are shaping their new communities and changing local culture. They contribute to increased tourism through generating VFR travel and creating new tourist attractions. Limitations and implications. The implications of VFR and immigration on urban tourism are most visible in large urban centers that are major points of entry into a country and international magnets. They are not, however, limited to big cities. Originality/value. This paper discusses a topic rarely discussed: the impact of VFR and immigration on shaping urban tourism.</w:t>
      </w:r>
    </w:p>
    <w:p>
      <w:pPr/>
      <w:r>
        <w:rPr>
          <w:b/>
        </w:rPr>
        <w:t>POSSIBLE 2023:</w:t>
      </w:r>
      <w:r>
        <w:t xml:space="preserve"> Growing role of concrete in sand and climate crises — https://doi.org/10.1016/j.isci.2023.106782</w:t>
      </w:r>
    </w:p>
    <w:p>
      <w:pPr/>
      <w:r>
        <w:rPr>
          <w:b/>
        </w:rPr>
        <w:t>Shared claim-specific concepts:</w:t>
      </w:r>
      <w:r>
        <w:t xml:space="preserve"> growing, role, challenges, improved; EU scope not established. This is a provisional connection, not an outcome finding.</w:t>
      </w:r>
    </w:p>
    <w:p>
      <w:pPr>
        <w:pStyle w:val="SourceNote"/>
      </w:pPr>
      <w:r>
        <w:rPr>
          <w:b/>
        </w:rPr>
        <w:t>Available abstract (not full text):</w:t>
      </w:r>
      <w:r>
        <w:t xml:space="preserve"> Concrete production poses multiple sustainability challenges, including resource over-exploitation and climate change. Here we show that growing global demand for buildings and infrastructure over the past three decades has quadrupled concrete production, reaching ∼26 Gt/year in 2020. As a result, annual requirements for virgin concrete aggregates (∼20 Gt/year) exceeded the extraction of all fossil fuels (∼15 Gt/year), exacerbating sand scarcity, ecosystem destruction, and social conflict. We also show that despite industry efforts to reduce CO 2 emissions by ∼20% per unit of production, mainly through clinker substitution and improved thermal efficiency, increased production has outweighed these gains. Consequently, concrete-related CO 2 emissions have tripled between 1990 and 2020, and its contribution to global emissions has risen from 5% to 9%. We propose that the policy agenda should focus more on limiting production growth by changing how concrete structures are designed, constructed, used, and disposed of to address the sand and climate crises.</w:t>
      </w:r>
    </w:p>
    <w:p>
      <w:pPr/>
      <w:r>
        <w:rPr>
          <w:b/>
        </w:rPr>
        <w:t>POSSIBLE 2023:</w:t>
      </w:r>
      <w:r>
        <w:t xml:space="preserve"> The Role of Lithium-Ion Batteries in the Growing Trend of Electric Vehicles — https://doi.org/10.3390/ma16176063</w:t>
      </w:r>
    </w:p>
    <w:p>
      <w:pPr/>
      <w:r>
        <w:rPr>
          <w:b/>
        </w:rPr>
        <w:t>Shared claim-specific concepts:</w:t>
      </w:r>
      <w:r>
        <w:t xml:space="preserve"> growing, role, goals, challenges; EU scope not established. This is a provisional connection, not an outcome finding.</w:t>
      </w:r>
    </w:p>
    <w:p>
      <w:pPr>
        <w:pStyle w:val="SourceNote"/>
      </w:pPr>
      <w:r>
        <w:rPr>
          <w:b/>
        </w:rPr>
        <w:t>Available abstract (not full text):</w:t>
      </w:r>
      <w:r>
        <w:t xml:space="preserve"> Within the automotive field, there has been an increasing amount of global attention toward the usability of combustion-independent electric vehicles (EVs). Once considered an overly ambitious and costly venture, the popularity and practicality of EVs have been gradually increasing due to the usage of Li-ion batteries (LIBs). Although the topic of LIBs has been extensively covered, there has not yet been a review that covers the current advancements of LIBs from economic, industrial, and technical perspectives. Specific overviews on aspects such as international policy changes, the implementation of cloud-based systems with deep learning capabilities, and advanced EV-based LIB electrode materials are discussed. Recommendations to address the current challenges in the EV-based LIB market are discussed. Furthermore, suggestions for short-term, medium-term, and long-term goals that the LIB-EV industry should follow are provided to ensure its success in the near future. Based on this literature review, it can be suggested that EV-based LIBs will continue to be a hot topic in the years to come and that there is still a large amount of room for their overall advancement.</w:t>
      </w:r>
    </w:p>
    <w:p>
      <w:pPr/>
      <w:r>
        <w:rPr>
          <w:b/>
        </w:rPr>
        <w:t>POSSIBLE 2023:</w:t>
      </w:r>
      <w:r>
        <w:t xml:space="preserve"> The Growing Role of Technology in the Care of Older Adults With Diabetes — https://doi.org/10.2337/dci23-0021</w:t>
      </w:r>
    </w:p>
    <w:p>
      <w:pPr/>
      <w:r>
        <w:rPr>
          <w:b/>
        </w:rPr>
        <w:t>Shared claim-specific concepts:</w:t>
      </w:r>
      <w:r>
        <w:t xml:space="preserve"> growing, role, priorities; EU scope not established. This is a provisional connection, not an outcome finding.</w:t>
      </w:r>
    </w:p>
    <w:p>
      <w:pPr>
        <w:pStyle w:val="SourceNote"/>
      </w:pPr>
      <w:r>
        <w:rPr>
          <w:b/>
        </w:rPr>
        <w:t>Available abstract (not full text):</w:t>
      </w:r>
      <w:r>
        <w:t xml:space="preserve"> The integration of technologies such as continuous glucose monitors, insulin pumps, and smart pens into diabetes management has the potential to support the transformation of health care services that provide a higher quality of diabetes care, lower costs and administrative burdens, and greater empowerment for people with diabetes and their caregivers. Among people with diabetes, older adults are a distinct subpopulation in terms of their clinical heterogeneity, care priorities, and technology integration. The scientific evidence and clinical experience with these technologies among older adults are growing but are still modest. In this review, we describe the current knowledge regarding the impact of technology in older adults with diabetes, identify major barriers to the use of existing and emerging technologies, describe areas of care that could be optimized by technology, and identify areas for future research to fulfill the potential promise of evidence-based technology integrated into care for this important population.</w:t>
      </w:r>
    </w:p>
    <w:p>
      <w:pPr/>
      <w:r>
        <w:rPr>
          <w:b/>
        </w:rPr>
        <w:t>POSSIBLE 2023:</w:t>
      </w:r>
      <w:r>
        <w:t xml:space="preserve"> Growing food, growing food systems: The role of non-profit farms — https://doi.org/10.3389/fsufs.2023.1090682</w:t>
      </w:r>
    </w:p>
    <w:p>
      <w:pPr/>
      <w:r>
        <w:rPr>
          <w:b/>
        </w:rPr>
        <w:t>Shared claim-specific concepts:</w:t>
      </w:r>
      <w:r>
        <w:t xml:space="preserve"> growing, role; EU scope not established. This is a provisional connection, not an outcome finding.</w:t>
      </w:r>
    </w:p>
    <w:p>
      <w:pPr>
        <w:pStyle w:val="SourceNote"/>
      </w:pPr>
      <w:r>
        <w:rPr>
          <w:b/>
        </w:rPr>
        <w:t>Available abstract (not full text):</w:t>
      </w:r>
      <w:r>
        <w:t xml:space="preserve"> The study of non-profit food organizations has focused primarily on food policy, urban gardens, coops, and farmers' markets in cities. Despite significant research on these kinds of food non-profits, research specifically on non-profit farms – organizations that produce food for local communities – is nearly non-existent. We argue that non-profit farms are a category that deserves more research attention. This article asks what services non-profit farms see themselves as providing to their communities, along with a supply of local food. We focus on the missions of non-profit farms, using farms on the GuideStar database of non-profit organizations. We also examine, through interviews and website analysis, the role of non-profit farms in the Hudson Valley, long a hub of non-profit farms. We conclude that local non-profit farms are hybrid organizations that perform services that are similar to local community non-profits, supporting local social welfare, environment, education, and community development roles, along with providing local food access and, in some cases, supporting food system change.</w:t>
      </w:r>
    </w:p>
    <w:p>
      <w:pPr/>
      <w:r>
        <w:rPr>
          <w:b/>
        </w:rPr>
        <w:t>POSSIBLE 2023:</w:t>
      </w:r>
      <w:r>
        <w:t xml:space="preserve"> The growing role of mediation in resolving labour disputes — https://doi.org/10.24144/2307-3322.2023.78.1.51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In the article, the author has emphasized that mediation is faster and easier than litigation, and also brings monetary and non-monetary savings. Monetary savings include the reduction of costs associated with the involvement of lawyers, and the implementation of various procedural and procedural actions. An example of non-monetary savings is the reduction in the amount of stress and anxiety that typically occurs during litigation. And so having a neutral person who can make judicious use of confidential meetings greatly improves the negotiation process. For example, a mediator can provide a necessary reality check by helping the parties assess their strengths and weaknesses.In the article, it has been proved the gradual and decisive increase in the importance of mediation in the resolution of labour disputes, as well as the significant importance of mediation in the USA is given as an example. In the United States, the use of alternative dispute resolution (ADR) by the federal government has increased largely due to the adoption of special laws that direct or encourage the use of this method of labour dispute resolution. Mediation in labour disputes in the US has also become widespread in the private sector.Basic statutes in the US encourage the use of ADR in employment discrimination cases. The National Labour Dispute Resolution Act of 2001 (NEDRA) required, among other thing</w:t>
      </w:r>
    </w:p>
    <w:p>
      <w:pPr/>
      <w:r>
        <w:rPr>
          <w:b/>
        </w:rPr>
        <w:t>POSSIBLE 2023:</w:t>
      </w:r>
      <w:r>
        <w:t xml:space="preserve"> PANoptosis : Mechanisms, biology, and role in disease — https://doi.org/10.1111/imr.13279</w:t>
      </w:r>
    </w:p>
    <w:p>
      <w:pPr/>
      <w:r>
        <w:rPr>
          <w:b/>
        </w:rPr>
        <w:t>Shared claim-specific concepts:</w:t>
      </w:r>
      <w:r>
        <w:t xml:space="preserve"> given, growing, role, improved; EU scope not established. This is a provisional connection, not an outcome finding.</w:t>
      </w:r>
    </w:p>
    <w:p>
      <w:pPr>
        <w:pStyle w:val="SourceNote"/>
      </w:pPr>
      <w:r>
        <w:rPr>
          <w:b/>
        </w:rPr>
        <w:t>Available abstract (not full text):</w:t>
      </w:r>
      <w:r>
        <w:t xml:space="preserve"> Cell death can be executed through distinct subroutines. PANoptosis is a unique inflammatory cell death modality involving the interactions between pyroptosis, apoptosis, and necroptosis, which can be mediated by multifaceted PANoptosome complexes assembled via integrating components from other cell death modalities. There is growing interest in the process and function of PANoptosis. Accumulating evidence suggests that PANoptosis occurs under diverse stimuli, for example, viral or bacterial infection, cytokine storm, and cancer. Given the impact of PANoptosis across the disease spectrum, this review briefly describes the relationships between pyroptosis, apoptosis, and necroptosis, highlights the key molecules in PANoptosome formation and PANoptosis activation, and outlines the multifaceted roles of PANoptosis in diseases together with a potential for therapeutic targeting. We also discuss important concepts and pressing issues for future PANoptosis research. Improved understanding of PANoptosis and its mechanisms is crucial for identifying novel therapeutic targets and strategies.</w:t>
      </w:r>
    </w:p>
    <w:p>
      <w:pPr>
        <w:pStyle w:val="Heading2"/>
      </w:pPr>
      <w:r>
        <w:t>596.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Visioning for transport practitioners — https://doi.org/10.1016/j.trip.2025.101483</w:t>
      </w:r>
    </w:p>
    <w:p>
      <w:pPr/>
      <w:r>
        <w:rPr>
          <w:b/>
        </w:rPr>
        <w:t>Shared claim-specific concepts:</w:t>
      </w:r>
      <w:r>
        <w:t xml:space="preserve"> visioning, three, transport, need; EU scope not established. This is a provisional connection, not an outcome finding.</w:t>
      </w:r>
    </w:p>
    <w:p>
      <w:pPr>
        <w:pStyle w:val="SourceNote"/>
      </w:pPr>
      <w:r>
        <w:rPr>
          <w:b/>
        </w:rPr>
        <w:t>Available abstract (not full text):</w:t>
      </w:r>
      <w:r>
        <w:t xml:space="preserve"> • There is increasing transport sector interest in vision-led planning. • Developing a vision (visioning) is non-trivial if it is to be meaningful and useful. • Addressing commonly asked questions helps guide the visioning approach. • Sharing experience of visioning in practice is a basis for supporting others. With increasing transport sector interest in vision-led rather than forecast-led planning, there is a growing need to think about what a good vision looks like, how a vision can be created, who should be involved in creating a vision, and, ultimately, what value a vision subsequently has. In the field of foresight and scenario planning, futures can be categorised as one of three types: probable, possible, and preferred. Preferred futures, or visions, characterise what we choose to work towards. They involve clarity around values, with the evident implication that values can be contested. The paper draws upon existing literature alongside the experience of the authors to examine considerations in the development of visions – as part of the vision-led approach to transport planning. It is framed by a set of ten guiding questions that, when taken in sequence, help to chart a course through the process of developing a vision (so-called ‘visioning’). The interdependent nature of the questions within the set is also highlighted.</w:t>
      </w:r>
    </w:p>
    <w:p>
      <w:pPr/>
      <w:r>
        <w:rPr>
          <w:b/>
        </w:rPr>
        <w:t>POSSIBLE 2023:</w:t>
      </w:r>
      <w:r>
        <w:t xml:space="preserve"> Pre-Visions: First Results of the EDEN Fellows Survey on the Futures of Learning — https://doi.org/10.5334/uproc.103</w:t>
      </w:r>
    </w:p>
    <w:p>
      <w:pPr/>
      <w:r>
        <w:rPr>
          <w:b/>
        </w:rPr>
        <w:t>Shared claim-specific concepts:</w:t>
      </w:r>
      <w:r>
        <w:t xml:space="preserve"> exercise, technology; EU scope visible. This is a provisional connection, not an outcome finding.</w:t>
      </w:r>
    </w:p>
    <w:p>
      <w:pPr>
        <w:pStyle w:val="SourceNote"/>
      </w:pPr>
      <w:r>
        <w:rPr>
          <w:b/>
        </w:rPr>
        <w:t>Available abstract (not full text):</w:t>
      </w:r>
      <w:r>
        <w:t xml:space="preserve"> Technology is pervasive and intertwined in many aspects of modern life and society. The digital revolution that is sweeping the world has shown its potential in education during the Covid-19 pandemic. It is rapidly transforming the way students learn, and as a result, technology is expected to improve the face of education by making it more inclusive and accessible. In the framework of the EDEN Pre-Visions project, the EDEN fellows conducted a prospective study on the future trends of open and digital education in Europe in the next decade. 40 EDEN Fellows took part in an online survey launched in January 2023. In this paper, we present and analyse the first results of this exercise, describing the views of the experts on six dimensions: the European context evolution and socio-economic dynamics; EdTech research and development; EdTech practices; institutional digital transformation; societal impacts and implications; policies and regulations.</w:t>
      </w:r>
    </w:p>
    <w:p>
      <w:pPr/>
      <w:r>
        <w:rPr>
          <w:b/>
        </w:rPr>
        <w:t>POSSIBLE 2023:</w:t>
      </w:r>
      <w:r>
        <w:t xml:space="preserve"> An empirical study on the effect of outdoor illumination and exercise intervention on Children’s vision — https://doi.org/10.3389/fpubh.2023.1270826</w:t>
      </w:r>
    </w:p>
    <w:p>
      <w:pPr/>
      <w:r>
        <w:rPr>
          <w:b/>
        </w:rPr>
        <w:t>Shared claim-specific concepts:</w:t>
      </w:r>
      <w:r>
        <w:t xml:space="preserve"> exercise, different, reducing; EU scope not established. This is a provisional connection, not an outcome finding.</w:t>
      </w:r>
    </w:p>
    <w:p>
      <w:pPr>
        <w:pStyle w:val="SourceNote"/>
      </w:pPr>
      <w:r>
        <w:rPr>
          <w:b/>
        </w:rPr>
        <w:t>Available abstract (not full text):</w:t>
      </w:r>
      <w:r>
        <w:t xml:space="preserve"> Objective To explore the relationship between outdoor lighting and sports and the development of myopia, and to analyze the effects of outdoor lighting and exercise on the diopter of children with normal vision and myopia, so as to provide guidance for the prevention and treatment of myopia in children and adolescents in the future. Methods A total of 201 children were divided into two groups according to myopia or not. Each group was randomly divided into 4 groups: outdoor exercise group, outdoor control group, indoor exercise group and indoor control group. Among them, the outdoor exercise group and indoor exercise group received moderate and high intensity aerobic exercise 3 times a week for 60 min each time for 12 months, while the outdoor control group and indoor control group had normal study and life during the corresponding period of time. No additional exercise intervention. At the end of the experiment, the diopter of each group was compared. Results The diopter of all groups with normal vision and myopia decreased significantly after the experiment ( p &lt; 0.01). There were significant differences in diopter between outdoor exercise group and indoor control group ( p &lt; 0.01), between outdoor exercise group and indoor control group ( p &lt; 0.05), and between indoor exercise group and indoor control group ( p &lt; 0.01). There were significant differences in diopter between i</w:t>
      </w:r>
    </w:p>
    <w:p>
      <w:pPr/>
      <w:r>
        <w:rPr>
          <w:b/>
        </w:rPr>
        <w:t>POSSIBLE 2023:</w:t>
      </w:r>
      <w:r>
        <w:t xml:space="preserve"> Peripheral Vision in Basketball Players at Different Level of Experience — https://doi.org/10.2478/pjst-2023-0007</w:t>
      </w:r>
    </w:p>
    <w:p>
      <w:pPr/>
      <w:r>
        <w:rPr>
          <w:b/>
        </w:rPr>
        <w:t>Shared claim-specific concepts:</w:t>
      </w:r>
      <w:r>
        <w:t xml:space="preserve"> different, focus, need; EU scope visible. This is a provisional connection, not an outcome finding.</w:t>
      </w:r>
    </w:p>
    <w:p>
      <w:pPr>
        <w:pStyle w:val="SourceNote"/>
      </w:pPr>
      <w:r>
        <w:rPr>
          <w:b/>
        </w:rPr>
        <w:t>Available abstract (not full text):</w:t>
      </w:r>
      <w:r>
        <w:t xml:space="preserve"> Abstract Introduction. This study focuses on the sensory information delivered by the visual system, particularly in the peripheral visual field (PVF). Visual abilities, especially the ability to detect peripheral information, have been identified as important factors for successful performance in team sports. Athletes often need to divide their visual focus between central and peripheral fields to achieve optimal performance. However, research on visual perception in athletes with varying levels of experience is still limited. The aim of the study was to compare peripheral perception of basketball players at different level of experience. Material and Methods. In study 165 basketball players took part at different level of experience. An analysis compare abilities general visual functions (i.e. field of vision) and reaction time to visual stimuli. Peripheral perception was examined using the peripheral test included in Vienna Test System (VTS, Schuhfried, Austria). During the test variables were recorded: total field of vision, viewing angle of the left and right eye., tracking deviation, number of correct reactions, the number of omitted responses and median reaction time – left and right stimuli. Results. The results indicate that the E and U19 groups had significantly shorter response time to stimuli appearing in the peripheral field of vision compared to U15 group. Two mor</w:t>
      </w:r>
    </w:p>
    <w:p>
      <w:pPr/>
      <w:r>
        <w:rPr>
          <w:b/>
        </w:rPr>
        <w:t>POSSIBLE 2023:</w:t>
      </w:r>
      <w:r>
        <w:t xml:space="preserve"> Identifying important questions for Cochrane systematic reviews in Eyes and Vision: Report of a priority setting exercise — https://doi.org/10.1002/cesm.12014</w:t>
      </w:r>
    </w:p>
    <w:p>
      <w:pPr/>
      <w:r>
        <w:rPr>
          <w:b/>
        </w:rPr>
        <w:t>Shared claim-specific concepts:</w:t>
      </w:r>
      <w:r>
        <w:t xml:space="preserve"> exercise, reducing, need; EU scope not established. This is a provisional connection, not an outcome finding.</w:t>
      </w:r>
    </w:p>
    <w:p>
      <w:pPr>
        <w:pStyle w:val="SourceNote"/>
      </w:pPr>
      <w:r>
        <w:rPr>
          <w:b/>
        </w:rPr>
        <w:t>Available abstract (not full text):</w:t>
      </w:r>
      <w:r>
        <w:t xml:space="preserve"> Introduction: Systematic reviews are important to inform decision-making for evidence-based health care and patient choice. Deciding which reviews should be prioritized is a key issue for decision-makers and researchers. Cochrane Eyes and Vision conducted a priority setting exercise for systematic reviews in eye health care. Methods: We established a steering group including practitioners, patient organizations, and researchers. To identify potential systematic review questions, we searched global policy reports, research prioritization exercises, guidelines, systematic review databases, and the Cochrane Library (CENTRAL). We grouped questions into separate condition lists and conducted a two-round online modified Delphi survey, including a ranking request. Participants in the survey were recruited through social media and the networks of the steering group. Results: In Round 1, 343 people ranked one or more of the condition lists. Participants were eye care practitioners (69%), researchers (37%), patients or carers (24%), research providers/funders (5%), or noneye health care practitioners (4%) and from all World Health Organization regions. Two hundred twenty-six people expressed interest in completing Round 2 and 160 of these (71%) completed the Round 2 survey. Reviews on cataract and refractive error, reviews relevant to children, and reviews on rehabilitation were consider</w:t>
      </w:r>
    </w:p>
    <w:p>
      <w:pPr/>
      <w:r>
        <w:rPr>
          <w:b/>
        </w:rPr>
        <w:t>POSSIBLE 2022:</w:t>
      </w:r>
      <w:r>
        <w:t xml:space="preserve"> A Review on Computer Vision Technology for Physical Exercise Monitoring — https://doi.org/10.3390/a15120444</w:t>
      </w:r>
    </w:p>
    <w:p>
      <w:pPr/>
      <w:r>
        <w:rPr>
          <w:b/>
        </w:rPr>
        <w:t>Shared claim-specific concepts:</w:t>
      </w:r>
      <w:r>
        <w:t xml:space="preserve"> exercise, technology, over, active; EU scope not established. This is a provisional connection, not an outcome finding.</w:t>
      </w:r>
    </w:p>
    <w:p>
      <w:pPr>
        <w:pStyle w:val="SourceNote"/>
      </w:pPr>
      <w:r>
        <w:rPr>
          <w:b/>
        </w:rPr>
        <w:t>Available abstract (not full text):</w:t>
      </w:r>
      <w:r>
        <w:t xml:space="preserve"> Physical activity is movement of the body or part of the body to make muscles more active and to lose the energy from the body. Regular physical activity in the daily routine is very important to maintain good physical and mental health. It can be performed at home, a rehabilitation center, gym, etc., with a regular monitoring system. How long and which physical activity is essential for specific people is very important to know because it depends on age, sex, time, people that have specific diseases, etc. Therefore, it is essential to monitor physical activity either at a physical activity center or even at home. Physiological parameter monitoring using contact sensor technology has been practiced for a long time, however, it has a lot of limitations. In the last decades, a lot of inexpensive and accurate non-contact sensors became available on the market that can be used for vital sign monitoring. In this study, the existing research studies related to the non-contact and video-based technologies for various physiological parameters during exercise are reviewed. It covers mainly Heart Rate, Respiratory Rate, Heart Rate Variability, Blood Pressure, etc., using various technologies including PPG, Video analysis using deep learning, etc. This article covers all the technologies using non-contact methods to detect any of the physiological parameters and discusses how technology h</w:t>
      </w:r>
    </w:p>
    <w:p>
      <w:pPr/>
      <w:r>
        <w:rPr>
          <w:b/>
        </w:rPr>
        <w:t>POSSIBLE 2022:</w:t>
      </w:r>
      <w:r>
        <w:t xml:space="preserve"> LONG-TERM VISION FOR RURAL DEVELOPMENT AND CRITICAL ENABLERS FOR ACHIEVING IT - CASE OF MAZOWIECKIE REGION (POLAND) — https://doi.org/10.15544/rd.2021.060</w:t>
      </w:r>
    </w:p>
    <w:p>
      <w:pPr/>
      <w:r>
        <w:rPr>
          <w:b/>
        </w:rPr>
        <w:t>Shared claim-specific concepts:</w:t>
      </w:r>
      <w:r>
        <w:t xml:space="preserve"> visioning, exercise, local, green; EU scope visible. This is a provisional connection, not an outcome finding.</w:t>
      </w:r>
    </w:p>
    <w:p>
      <w:pPr>
        <w:pStyle w:val="SourceNote"/>
      </w:pPr>
      <w:r>
        <w:rPr>
          <w:b/>
        </w:rPr>
        <w:t>Available abstract (not full text):</w:t>
      </w:r>
      <w:r>
        <w:t xml:space="preserve"> Rural areas face significant challenges related to climate and demographic changes as well as green transformation of the economy. First step for such a transition is a long-term vision. Within the SHERPA projects multi-actor platforms were created and they discussed the vision for 2040 for their territories. This participatory process included representatives of science, society, and policy. The participants discussed development challenges, vision and enabling factors for achieving the desirable vision. The aim of the paper is to compare the results of the visioning exercise conducted by the Polish platform located in Mazowieckie region with the results of the other ones and the vision prepared by the European Commission. The results show that the characteristics of a desirable future vision are shared throughout the EU and call for vibrant rural communities and rural attractiveness. Improving availability and accessibility of public and private services as well as digitalization and diversification of rural economy accompanied by a sustainable use of natural resources are key elements of vibrance and attractiveness of rural areas. To achieve this vision not only financial support and more efficient public policies are needed but also greater empowerment of local communities is essential.</w:t>
      </w:r>
    </w:p>
    <w:p>
      <w:pPr>
        <w:pStyle w:val="Heading2"/>
      </w:pPr>
      <w:r>
        <w:t>597.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2024:</w:t>
      </w:r>
      <w:r>
        <w:t xml:space="preserve"> MediAlbertina: An European Portuguese medical language model — https://doi.org/10.1016/j.compbiomed.2024.109233</w:t>
      </w:r>
    </w:p>
    <w:p>
      <w:pPr/>
      <w:r>
        <w:rPr>
          <w:b/>
        </w:rPr>
        <w:t>Shared claim-specific concepts:</w:t>
      </w:r>
      <w:r>
        <w:t xml:space="preserve"> after, filtering, values, made; EU scope visible. This is a provisional connection, not an outcome finding.</w:t>
      </w:r>
    </w:p>
    <w:p>
      <w:pPr>
        <w:pStyle w:val="SourceNote"/>
      </w:pPr>
      <w:r>
        <w:rPr>
          <w:b/>
        </w:rPr>
        <w:t>Available abstract (not full text):</w:t>
      </w:r>
      <w:r>
        <w:t xml:space="preserve"> Patient medical information often exists in unstructured text containing abbreviations and acronyms deemed essential to conserve time and space but posing challenges for automated interpretation. Leveraging the efficacy of Transformers in natural language processing, our objective was to use the knowledge acquired by a language model and continue its pre-training to develop an European Portuguese (PT-PT) healthcare-domain language model. After carrying out a filtering process, Albertina PT-PT 900M was selected as our base language model, and we continued its pre-training using more than 2.6 million electronic medical records from Portugal's largest public hospital. MediAlbertina 900M has been created through domain adaptation on this data using masked language modelling. The comparison with our baseline was made through the usage of both perplexity, which decreased from about 20 to 1.6 values, and the fine-tuning and evaluation of information extraction models such as Named Entity Recognition and Assertion Status. MediAlbertina PT-PT outperformed Albertina PT-PT in both tasks by 4–6% on recall and f1-score. This study contributes with the first publicly available medical language model trained with PT-PT data. It underscores the efficacy of domain adaptation and offers a contribution to the scientific community in overcoming obstacles of non-English languages. With MediAlbertin</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climate, those, long-term;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2023:</w:t>
      </w:r>
      <w:r>
        <w:t xml:space="preserve"> Convoluted filtering for process cycle modeling — https://doi.org/10.1002/eng2.12657</w:t>
      </w:r>
    </w:p>
    <w:p>
      <w:pPr/>
      <w:r>
        <w:rPr>
          <w:b/>
        </w:rPr>
        <w:t>Shared claim-specific concepts:</w:t>
      </w:r>
      <w:r>
        <w:t xml:space="preserve"> after, filtering, limited; EU scope not established. This is a provisional connection, not an outcome finding.</w:t>
      </w:r>
    </w:p>
    <w:p>
      <w:pPr>
        <w:pStyle w:val="SourceNote"/>
      </w:pPr>
      <w:r>
        <w:rPr>
          <w:b/>
        </w:rPr>
        <w:t>Available abstract (not full text):</w:t>
      </w:r>
      <w:r>
        <w:t xml:space="preserve"> Abstract Principles of materials science and engineering, physics, mathematics, and information science are used to extract knowledge and insights from the process‐structure–property‐performance relationships hidden in materials data. The process‐structure modeling can be accelerated without loss of interpretability, with artificial intelligence tools that mimic the salient features of the process and process‐structure relations. In this work, a novel convoluted model‐filtering technique was exploited to build and successfully train the Convoluted Filter (CoFi) artifacts for Fe‐based alloy heat treatment cycles. The artifacts were pre‐trained to filter out deep models that change the surrogate microstructure state after the heat treatment at ambient conditions. Direct representation of the thermal cycle features within knowledge Graph facilitated development of meaningful data models for microstructure evolution, which reduce overfitting to limited datasets.</w:t>
      </w:r>
    </w:p>
    <w:p>
      <w:pPr/>
      <w:r>
        <w:rPr>
          <w:b/>
        </w:rPr>
        <w:t>POSSIBLE 2022:</w:t>
      </w:r>
      <w:r>
        <w:t xml:space="preserve"> Presence-Absence Points for Tree Species Distribution Modelling for Europe — https://doi.org/10.5281/zenodo.5818021</w:t>
      </w:r>
    </w:p>
    <w:p>
      <w:pPr/>
      <w:r>
        <w:rPr>
          <w:b/>
        </w:rPr>
        <w:t>Shared claim-specific concepts:</w:t>
      </w:r>
      <w:r>
        <w:t xml:space="preserve"> after, values, period; EU scope visible. This is a provisional connection, not an outcome finding.</w:t>
      </w:r>
    </w:p>
    <w:p>
      <w:pPr>
        <w:pStyle w:val="SourceNote"/>
      </w:pPr>
      <w:r>
        <w:rPr>
          <w:b/>
        </w:rPr>
        <w:t>Available abstract (not full text):</w:t>
      </w:r>
      <w:r>
        <w:t xml:space="preserve"> The dataset is a collection of presence and absence points for forest tree species for Europe. Each unique combination of longitude, latitude and year was considered as an independent sample. Presence data was obtained from the harmonized tree species occurrence dataset by Heising and Hengl (2020) and absence data from the LUCAS (in-situ source) dataset. A set of 50 different forest tree species was selected from the harmonized tree species dataset and data lacking a temporal observation was overlaid with yearly forest masks derived from land cover maps produced by Parente et al. (2021). We overlaid the points with the probability maps for the classes: 311: Broad-leaved forest, 312: Coniferous forest, 313: Mixed forest, 323: Sclerophyllous forest, 324: Transitional woodland-shrub, 333: Sparsely vegetated area. Points were included in the dataset only if the probability value extracted for at least one of the above classes was ≥ 50% for all the years considered. An additional quality flag was added to distinguish points coming from this operation and the points with original year of observation coming from source datasets. The final dataset contains 4,359,999 observations for and a total of 630 columns. The first 8 columns of the dataset contain metadata information used to uniquely identify the points: id: unique point identifier, year: year of observation, postprocess: quality</w:t>
      </w:r>
    </w:p>
    <w:p>
      <w:pPr/>
      <w:r>
        <w:rPr>
          <w:b/>
        </w:rPr>
        <w:t>POSSIBLE 2022:</w:t>
      </w:r>
      <w:r>
        <w:t xml:space="preserve"> New models for wild ungulates occurrence and hunting yield abundance at European scale — https://doi.org/10.2903/sp.efsa.2022.en-7631</w:t>
      </w:r>
    </w:p>
    <w:p>
      <w:pPr/>
      <w:r>
        <w:rPr>
          <w:b/>
        </w:rPr>
        <w:t>Shared claim-specific concepts:</w:t>
      </w:r>
      <w:r>
        <w:t xml:space="preserve"> limited, period, those; EU scope visible. This is a provisional connection, not an outcome finding.</w:t>
      </w:r>
    </w:p>
    <w:p>
      <w:pPr>
        <w:pStyle w:val="SourceNote"/>
      </w:pPr>
      <w:r>
        <w:rPr>
          <w:b/>
        </w:rPr>
        <w:t>Available abstract (not full text):</w:t>
      </w:r>
      <w:r>
        <w:t xml:space="preserve"> The goal of this report is i) to model the occurrence and hunting yield (HY) density of wild ungulates not only for widely distributed species in Europe, but also for those ones which have a constrained distribution and ii) to compare the output of occurrence with observed HY. Random Forest function was used for modelling occurrence of species. We used occurrence data available from the past 30 years, and HY data (period 2015-2020) from records collected by ENETWILD. Like previous models based on HY, the response variable was the maximum number of wild ruminants annually hunted in 2015-2020 hunting seasons divided by the area (km2) of the corresponding administrative unit (HY density). Models based on HY were statistically downscaled to make predictions to 10x10km squares. Occurrence data models indicated a good predictive performance for most species, showing that the model framework proposed have improved results in comparison to previous models. The transferability of models into new regions was limited by the exposure of species to environmental conditions. As for HY models, the calibration plots showed a good and linear predictive performance for widely distributed species, as well as constrained distributed species. Overall, our results were consistent with the expected abundance distribution of widely distributed species. The removal of zeros on the validation datasets a</w:t>
      </w:r>
    </w:p>
    <w:p>
      <w:pPr/>
      <w:r>
        <w:rPr>
          <w:b/>
        </w:rPr>
        <w:t>POSSIBLE 2022:</w:t>
      </w:r>
      <w:r>
        <w:t xml:space="preserve"> Ensemble random forest filter: An alternative to the ensemble Kalman filter for inverse modeling — https://doi.org/10.1016/j.jhydrol.2022.128642</w:t>
      </w:r>
    </w:p>
    <w:p>
      <w:pPr/>
      <w:r>
        <w:rPr>
          <w:b/>
        </w:rPr>
        <w:t>Shared claim-specific concepts:</w:t>
      </w:r>
      <w:r>
        <w:t xml:space="preserve"> reconstructing, ensemble, values, computed; EU scope not established. This is a provisional connection, not an outcome finding.</w:t>
      </w:r>
    </w:p>
    <w:p>
      <w:pPr>
        <w:pStyle w:val="SourceNote"/>
      </w:pPr>
      <w:r>
        <w:rPr>
          <w:b/>
        </w:rPr>
        <w:t>Available abstract (not full text):</w:t>
      </w:r>
      <w:r>
        <w:t xml:space="preserve"> The ensemble random forest filter (ERFF) is presented as an alternative to the ensemble Kalman filter (EnKF) for inverse modeling. The EnKF is a data assimilation approach that forecasts and updates parameter estimates sequentially in time as observations are collected. The updating step is based on the experimental covariances computed from an ensemble of realizations, and the updates are given as linear combinations of the differences between observations and forecasted system state values. The ERFF replaces the linear combination in the update step with a non-linear function represented by a random forest. This way, the non-linear relationships between the parameters to be updated and the observations can be captured, and a better update produced. The ERFF is demonstrated for log-conductivity identification from piezometric head observations in several scenarios with varying degrees of heterogeneity (log-conductivity variances going from 1 up to 6.25 (ln m/d)2), number of realizations in the ensemble (50 or 100), and number of piezometric head observations (18 or 36). In all scenarios, the ERFF works well, reconstructing the log-conductivity spatial heterogeneity while matching the observed piezometric heads at selected control points. For benchmarking purposes, the ERFF is compared to the restart EnKF to find that the ERFF is superior to the EnKF for the number of ensemble </w:t>
      </w:r>
    </w:p>
    <w:p>
      <w:pPr/>
      <w:r>
        <w:rPr>
          <w:b/>
        </w:rPr>
        <w:t>POSSIBLE 2022:</w:t>
      </w:r>
      <w:r>
        <w:t xml:space="preserve"> Increase of depression among children and adolescents after the onset of the COVID-19 pandemic in Europe: a systematic review and meta-analysis — https://doi.org/10.1186/s13034-022-00546-y</w:t>
      </w:r>
    </w:p>
    <w:p>
      <w:pPr/>
      <w:r>
        <w:rPr>
          <w:b/>
        </w:rPr>
        <w:t>Shared claim-specific concepts:</w:t>
      </w:r>
      <w:r>
        <w:t xml:space="preserve"> after, mean, long-term; EU scope visible. This is a provisional connection, not an outcome finding.</w:t>
      </w:r>
    </w:p>
    <w:p>
      <w:pPr>
        <w:pStyle w:val="SourceNote"/>
      </w:pPr>
      <w:r>
        <w:rPr>
          <w:b/>
        </w:rPr>
        <w:t>Available abstract (not full text):</w:t>
      </w:r>
      <w:r>
        <w:t xml:space="preserve"> Abstract Background Research points to a high depression burden among youth during the COVID-19 pandemic; however, a lack of systematic evidence exists. We determine the change in depression symptoms among children and adolescents during COVID-19 compared to pre-pandemic baselines. By using country differences in pandemic-related restrictions and school closures in Europe as quasi-experimental design, we evaluate policy impacts on depression. Methods In this systematic review and meta-analysis, following the PRISMA statement, we searched six databases (MEDLINE, EMBASE, PsycINFO, Cochrane Central, Web of Science, WHO COVID-19) using a peer-reviewed search string up until March 18, 2022 with citation tracking and grey literature searches. No limitations regarding language and effect measures existed. We included studies that compared (1) general depression symptoms or (2) clinically relevant depression rates in children and adolescents (≤ 19 years) before and during the COVID-19 pandemic in Europe. The validated Oxford Stringency Index was used as indicator for pandemic-related restrictions. Screening for eligibility, extracting data from published reports and from unpublished data requested directly from study authors, assessing the study risk of bias and grading certainty of evidence using the GRADE approach, were all done in duplicate. Data were pooled in a random-effects mode</w:t>
      </w:r>
    </w:p>
    <w:p>
      <w:pPr>
        <w:pStyle w:val="Heading2"/>
      </w:pPr>
      <w:r>
        <w:t>598.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2025:</w:t>
      </w:r>
      <w:r>
        <w:t xml:space="preserve"> Urban ozone trends in Europe and the USA (2000–2021) — https://doi.org/10.5194/acp-25-16009-2025</w:t>
      </w:r>
    </w:p>
    <w:p>
      <w:pPr/>
      <w:r>
        <w:rPr>
          <w:b/>
        </w:rPr>
        <w:t>Shared claim-specific concepts:</w:t>
      </w:r>
      <w:r>
        <w:t xml:space="preserve"> trend, high, compared, increase; EU scope visible. This is a provisional connection, not an outcome finding.</w:t>
      </w:r>
    </w:p>
    <w:p>
      <w:pPr>
        <w:pStyle w:val="SourceNote"/>
      </w:pPr>
      <w:r>
        <w:rPr>
          <w:b/>
        </w:rPr>
        <w:t>Available abstract (not full text):</w:t>
      </w:r>
      <w:r>
        <w:t xml:space="preserve"> Abstract. Trends in urban O3 and NO2 across Europe and the United States of America were explored between 2000–2021. Using surface monitoring site data from the TOAR-II and European Environment Agency databases, piecewise quantile regression (PQR) analysis was performed on 228 O3 time series (144 European, 84 USA) and 322 NO2 times series (245 European, 77 USA). The PQR analysis permitted 2 break points over the 23 year period to balance the intent to describe changes over a large time period, while still capturing the abrupt changes that can occur in urban atmospheres. Regressions were performed over quantiles ranging from 0.05 to 0.95 and indications of a slowing in the increase of high European O3 levels was observed. In Europe, more trends were found to having an increasing O3 trend between 2015–2021 compared with 2000–2004. The reverse was true in the USA, with a reduction in the number of sites with increasing O3 trends when the same periods were compared. An analysis of the change points revealed a large proportion of sites in Europe, were the second change point in NO2 switched from a positive to negative trend, occurred in 2020 (41/43 second change points in this year). This was attributed a reduction in NO2 due to the COVID-19 pandemic, however, in some cases these increasing trends have sustained beyond the recovery from restrictions.</w:t>
      </w:r>
    </w:p>
    <w:p>
      <w:pPr/>
      <w:r>
        <w:rPr>
          <w:b/>
        </w:rPr>
        <w:t>POSSIBLE 2025:</w:t>
      </w:r>
      <w:r>
        <w:t xml:space="preserve"> Appendicitis burden, trends, and inequalities in Europe, 1990–2019: a population-based study — https://doi.org/10.1093/gastro/goaf070</w:t>
      </w:r>
    </w:p>
    <w:p>
      <w:pPr/>
      <w:r>
        <w:rPr>
          <w:b/>
        </w:rPr>
        <w:t>Shared claim-specific concepts:</w:t>
      </w:r>
      <w:r>
        <w:t xml:space="preserve"> average, mortality, three, countries; EU scope visible. This is a provisional connection, not an outcome finding.</w:t>
      </w:r>
    </w:p>
    <w:p>
      <w:pPr>
        <w:pStyle w:val="SourceNote"/>
      </w:pPr>
      <w:r>
        <w:rPr>
          <w:b/>
        </w:rPr>
        <w:t>Available abstract (not full text):</w:t>
      </w:r>
      <w:r>
        <w:t xml:space="preserve"> Background: Appendicitis imposes a substantial healthcare burden globally, yet comprehensive insights into its disease burden in Europe remain limited. This study assesses regional trends, disparities and high-burden countries for appendicitis in Europe. Methods: Data on appendicitis-related incidence, mortality and disability-adjusted life years (DALYs) were extracted from the Global Burden of Disease 2019 study. Joinpoint regression analyzed temporal trends, while health inequality and quadrant analyses identified socio-demographic disparities and priority countries. Results: In 2019, Europe's age-standardized incidence rate (ASIR) for appendicitis was 266.47 per 100,000, exceeding the global average (229.86 per 100,000). However, Europe's age-standardized mortality rate and age-standardized DALY rate were lower than the global averages. From 1990 to 2019, the average annual percentage change (AAPC) for the ASIR was 0.50%, whereas the AAPCs for the age-standardized mortality rate and age-standardized DALY rate were -3.02% and -2.20%, respectively. Finland was the sole exception, showing a reduced ASIR (AAPC: -0.20%). Health inequality analysis revealed that the burden of DALYs disproportionately affected less developed European nations. However, there was a notable improvement over the past three decades. The slope index of inequality decreased from -7.32 DALYs per 100,000 in</w:t>
      </w:r>
    </w:p>
    <w:p>
      <w:pPr/>
      <w:r>
        <w:rPr>
          <w:b/>
        </w:rPr>
        <w:t>POSSIBLE 2025:</w:t>
      </w:r>
      <w:r>
        <w:t xml:space="preserve"> The European Alps in a changing climate: physical trends and impacts — https://doi.org/10.5802/crgeos.288</w:t>
      </w:r>
    </w:p>
    <w:p>
      <w:pPr/>
      <w:r>
        <w:rPr>
          <w:b/>
        </w:rPr>
        <w:t>Shared claim-specific concepts:</w:t>
      </w:r>
      <w:r>
        <w:t xml:space="preserve"> high, compared, increase; EU scope visible. This is a provisional connection, not an outcome finding.</w:t>
      </w:r>
    </w:p>
    <w:p>
      <w:pPr>
        <w:pStyle w:val="SourceNote"/>
      </w:pPr>
      <w:r>
        <w:rPr>
          <w:b/>
        </w:rPr>
        <w:t>Available abstract (not full text):</w:t>
      </w:r>
      <w:r>
        <w:t xml:space="preserve"> Mountain areas crown their surrounding landscapes and host a great diversity of ecosystems and human activities. Due to their high altitudes and low temperatures, mountains, in many regions of the world, including Europe, allow the existence of the solid phase of water, ice, seasonally or perennially, which is found in glaciers, snow cover and permafrost, key components of the cryosphere. In the European Alps, the air temperature has increased by about 2 °C compared to the pre-industrial period (end of 19th century), alongside with a slight change in the seasonality of precipitation. Both are projected to intensify in the future. The increase in temperature induces profound changes for the mountain cryosphere with in particular the scarcity of snow cover, the retreat of glaciers and the thawing of permafrost. These changes are causing a cascade of upheavals for the water cycle, mountain ecosystems, the economic and touristic activity of mountain societies. They also induce changes in the natural hazards associated with the cryosphere such as avalanches, risks of glacial and peri-glacial origins as well as floods and droughts. Thus, in a changing climate, the fragile beauty and balance of the European Alps is undergoing profound disruptions whose consequences extend to the lowlands. These will continue to intensify as long as the temperature continues to rise and this is why eve</w:t>
      </w:r>
    </w:p>
    <w:p>
      <w:pPr/>
      <w:r>
        <w:rPr>
          <w:b/>
        </w:rPr>
        <w:t>POSSIBLE 2024:</w:t>
      </w:r>
      <w:r>
        <w:t xml:space="preserve"> Sex Disparities in Ischemic Heart Disease Mortality in Europe — https://doi.org/10.1016/j.jacadv.2024.101252</w:t>
      </w:r>
    </w:p>
    <w:p>
      <w:pPr/>
      <w:r>
        <w:rPr>
          <w:b/>
        </w:rPr>
        <w:t>Shared claim-specific concepts:</w:t>
      </w:r>
      <w:r>
        <w:t xml:space="preserve"> average, mortality, countries, compared, significant; EU scope visible. This is a provisional connection, not an outcome finding.</w:t>
      </w:r>
    </w:p>
    <w:p>
      <w:pPr>
        <w:pStyle w:val="SourceNote"/>
      </w:pPr>
      <w:r>
        <w:rPr>
          <w:b/>
        </w:rPr>
        <w:t>Available abstract (not full text):</w:t>
      </w:r>
      <w:r>
        <w:t xml:space="preserve"> Background: Ischemic heart disease (IHD) is the leading cause of death in the European Union (EU). Understanding variations by sex, income, and countries can help in tailoring effective public health policies. Objectives: The purpose of the study was to examine trends in sex differences in IHD prevalence and prognosis within the EU. Methods: We conducted a cross-sectional analysis of IHD using the Global Burden of Disease Study Database to examine trends in sex-specific age-standardized mortality rate (ASMR)-to-age-standardized prevalence rate (ASPR) ratio (ASMR-to-ASPR index) per 100,000 inhabitants/year across the EU from 2005 to 2019. Results: Men showed higher ASMR than women. However, the ASMR-to-ASPR index was notably higher in women than in men indicating that women who develop IHD have a higher risk of dying from the disease compared with their male counterparts. Despite a significant decline in ASMR across EU from 2005 to 2019 both among women (from 1.752 to 1.662) and men (from 3.372 to 3.135), sex disparities in ASMR-to-ASPR index (EU average: 4.96% vs 4.34%) persisted (with a women-to-men ratio ranging from 1.05 to 1.44). No significant relationship was found between country-specific ASMR or country income status and ASMR-to-ASPR index. Examples include Romania, which displayed higher ASMR (men: 219.87, women: 143.54) compared with Germany (men: 107.22, women: 60.76</w:t>
      </w:r>
    </w:p>
    <w:p>
      <w:pPr/>
      <w:r>
        <w:rPr>
          <w:b/>
        </w:rPr>
        <w:t>POSSIBLE 2024:</w:t>
      </w:r>
      <w:r>
        <w:t xml:space="preserve"> Exploring the paradoxical nature of cold temperature mortality in Europe — https://doi.org/10.1038/s41598-024-53675-z</w:t>
      </w:r>
    </w:p>
    <w:p>
      <w:pPr/>
      <w:r>
        <w:rPr>
          <w:b/>
        </w:rPr>
        <w:t>Shared claim-specific concepts:</w:t>
      </w:r>
      <w:r>
        <w:t xml:space="preserve"> average, mortality, high, countries; EU scope visible. This is a provisional connection, not an outcome finding.</w:t>
      </w:r>
    </w:p>
    <w:p>
      <w:pPr>
        <w:pStyle w:val="SourceNote"/>
      </w:pPr>
      <w:r>
        <w:rPr>
          <w:b/>
        </w:rPr>
        <w:t>Available abstract (not full text):</w:t>
      </w:r>
      <w:r>
        <w:t xml:space="preserve"> Abstract While low winter temperatures are associated with increased mortality, this phenomenon has been suggested to be most severe in regions with seemingly mild winters. The study aimed to establish a temperature-based formula that could elucidate the previously ambiguous regional differences in vulnerability to low temperature. European weekly mortality data (2000–2019) were matched with meteorological data to determine for each region vulnerability to temperature decrease and the optimal temperature with lowest mortality. Regression models were developed to generalize and explain these findings considering regional temperature characteristics. Optimal temperature could be predicted based on local average summer temperature (R2 = 85.6%). Regional vulnerability to temperature decrease could be explained by combination of winter and summer temperatures (R2 = 86.1%). Regions with warm winters and cold summers showed the highest vulnerability to decrease of temperature during winter. Contrary to theories about economic disparities Eastern Europe exhibited resistance comparable to Scandinavia. The southern edges of Europe demonstrated serious low temperature vulnerability to decreased temperatures, even if temperature was relatively high around 20 °C. This suggests that the observed connection primarily reflects the modulation of the length of respiratory virus infection seasons</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average, mortality, high, all, three, countries;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Mortality trends in idiopathic pulmonary fibrosis in Europe between 2013 and 2018 — https://doi.org/10.1183/13993003.02080-2023</w:t>
      </w:r>
    </w:p>
    <w:p>
      <w:pPr/>
      <w:r>
        <w:rPr>
          <w:b/>
        </w:rPr>
        <w:t>Shared claim-specific concepts:</w:t>
      </w:r>
      <w:r>
        <w:t xml:space="preserve"> average, mortality, countries, suggest; EU scope visible. This is a provisional connection, not an outcome finding.</w:t>
      </w:r>
    </w:p>
    <w:p>
      <w:pPr>
        <w:pStyle w:val="SourceNote"/>
      </w:pPr>
      <w:r>
        <w:rPr>
          <w:b/>
        </w:rPr>
        <w:t>Available abstract (not full text):</w:t>
      </w:r>
      <w:r>
        <w:t xml:space="preserve"> BACKGROUND: Previous research has suggested that the incidence of idiopathic pulmonary fibrosis (IPF) is increasing in the UK and elsewhere. The aim of this study is to provide contemporary estimates of IPF mortality rates across 24 European Union (EU) countries from 2013 to 2018, using death certificate data from the European Statistics Institution (EUROSTAT) database. METHODS: We extracted country data for IPF (International Classification of Diseases, 10th Revision: code J84.1) mortality from the EUROSTAT dataset. We calculated country-, age- and sex-specific death registration rates between 2013 and 2018. We used direct standardisation to compare rates between countries. We calculated annual trends in mortality rate ratios using a segmented regression model. RESULTS: The overall standardised mortality rate in 24 EU countries during this period was 3.90 (95% CI 3.80-3.90) per 100 000 person-years, with the rate rising from 3.70 in 2013 to 4.00 in 2018 (average annual percent change 1.74%, 95% CI 0.91-2.59%). We observed substantial inter-country differences, with the highest rates detected in Ireland, the UK and Finland, the lowest rate in Bulgaria, and middle rates in Germany, Greece, Italy, the Netherlands, Portugal and Slovenia. CONCLUSIONS: The IPF mortality rate is increasing across Europe. There are currently more than 17 000 deaths recorded from IPF each year in Europ</w:t>
      </w:r>
    </w:p>
    <w:p>
      <w:pPr>
        <w:pStyle w:val="Heading2"/>
      </w:pPr>
      <w:r>
        <w:t>599.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aim, promising, current;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identify, promising, pathways;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Review on the contribution of farming practices and technologies towards climate-smart agricultural outcomes in a European context — https://doi.org/10.1016/j.atech.2024.100413</w:t>
      </w:r>
    </w:p>
    <w:p>
      <w:pPr/>
      <w:r>
        <w:rPr>
          <w:b/>
        </w:rPr>
        <w:t>Shared claim-specific concepts:</w:t>
      </w:r>
      <w:r>
        <w:t xml:space="preserve"> aim, promising, well; EU scope visible. This is a provisional connection, not an outcome finding.</w:t>
      </w:r>
    </w:p>
    <w:p>
      <w:pPr>
        <w:pStyle w:val="SourceNote"/>
      </w:pPr>
      <w:r>
        <w:rPr>
          <w:b/>
        </w:rPr>
        <w:t>Available abstract (not full text):</w:t>
      </w:r>
      <w:r>
        <w:t xml:space="preserve"> The aim of this review was to provide an overview of existing farming practices and technologies in Europe by assessing their contribution to climate-smart agricultural (CSA) outcomes. Following the PRISMA protocol, 110 final selected studies were scrutinized. Altogether 74 different practices and technologies were identified. Using an inductive approach, the identified practices and technologies were categorized, and their potential contribution towards contextualized CSA outcomes—productivity, resilience, GHG mitigation, biodiversity improvement, animal welfare support, water and energy use efficiency—was assessed. Among CSA farming practices, this review highlighted legume-based cover crops, crop rotation, intercropping, and crop diversification as having promising potential to achieve CSA outcomes. Among CSA technologies, precision fertilization, crop protection, and irrigation showed promising potential. Moreover, pasture grazing, legume-based feed additives, improved forage production and holistic husbandry management with precision technologies were identified as promising contributors to CSA outcomes. The review emphasizes that the utilization of smart farming technologies and practices in crop and livestock production systems could positively contribute to achieving one or more outcomes. Overall, the GHG mitigation and farm productivity improvement outcomes were relati</w:t>
      </w:r>
    </w:p>
    <w:p>
      <w:pPr/>
      <w:r>
        <w:rPr>
          <w:b/>
        </w:rPr>
        <w:t>POSSIBLE 2023:</w:t>
      </w:r>
      <w:r>
        <w:t xml:space="preserve"> Use of existing gas infrastructure in European hydrogen economy — https://doi.org/10.1016/j.ijhydene.2023.04.283</w:t>
      </w:r>
    </w:p>
    <w:p>
      <w:pPr/>
      <w:r>
        <w:rPr>
          <w:b/>
        </w:rPr>
        <w:t>Shared claim-specific concepts:</w:t>
      </w:r>
      <w:r>
        <w:t xml:space="preserve"> aim, identify, promising, finland; EU scope visible. This is a provisional connection, not an outcome finding.</w:t>
      </w:r>
    </w:p>
    <w:p>
      <w:pPr>
        <w:pStyle w:val="SourceNote"/>
      </w:pPr>
      <w:r>
        <w:rPr>
          <w:b/>
        </w:rPr>
        <w:t>Available abstract (not full text):</w:t>
      </w:r>
      <w:r>
        <w:t xml:space="preserve"> The rapidly increasing production volume of clean hydrogen creates challenges for transport infrastructure. This study improves understanding of hydrogen transport options in Europe and provides more detailed analysis on the prospects for hydrogen transport in Finland. Previous studies and ongoing pipeline projects were reviewed to identify potential and barriers to hydrogen transport. A fatigue life assessment tool was built because material challenges have been one of the main concerns of hydrogen transportation. Many European countries aim at utilizing existing gas infrastructure for hydrogen. Conducted studies and pilot facilities have provided promising results. Hydrogen reduces the fatigue life of the pipeline, but existing pipelines can be used for hydrogen if pressure variation is maintained at a reasonable level and the maximum operation pressure is limited. Moreover, the use of existing pipelines can reduce hydrogen transport costs, but the suitability of every pipeline for hydrogen must be analyzed, and several issues such as leakage, leakage detection, effects of hydrogen on pipeline assets and end users, corrosion, maintenance, and metering of gas flow must be considered. The development of hydrogen transport will vary within countries depending on the structure of the existing gas infrastructure, and on the future hydrogen use profile.</w:t>
      </w:r>
    </w:p>
    <w:p>
      <w:pPr/>
      <w:r>
        <w:rPr>
          <w:b/>
        </w:rPr>
        <w:t>POSSIBLE 2023:</w:t>
      </w:r>
      <w:r>
        <w:t xml:space="preserve"> Identifying Promising Domains of Decarbonization Technologies: An Improved Methodology — https://doi.org/10.23919/splitech58164.2023.10193705</w:t>
      </w:r>
    </w:p>
    <w:p>
      <w:pPr/>
      <w:r>
        <w:rPr>
          <w:b/>
        </w:rPr>
        <w:t>Shared claim-specific concepts:</w:t>
      </w:r>
      <w:r>
        <w:t xml:space="preserve"> identify, promising, applied; EU scope not established. This is a provisional connection, not an outcome finding.</w:t>
      </w:r>
    </w:p>
    <w:p>
      <w:pPr>
        <w:pStyle w:val="SourceNote"/>
      </w:pPr>
      <w:r>
        <w:rPr>
          <w:b/>
        </w:rPr>
        <w:t>Available abstract (not full text):</w:t>
      </w:r>
      <w:r>
        <w:t xml:space="preserve"> Humanity has sought ways to decarbonize the economies and mitigate the effects of global warming. The scientific community has been producing intensive research on decarbonizing technologies and strategies. This article introduces an improved methodology, based on two available text-mining software, to identify the most relevant domains of decarbonizing technologies presented in scientific papers, research projects and patents. The improvements include the definition of an approach to obtain a final rank of the technologies’ domains and an enhanced procedure to create the semantic dictionary, a critical component for the bibliometric analysis. Moreover, a more robust and comprehensive search string was defined, reconciling the particularities of the used text-mining software. The methodology was applied to the 2011 to 2021 period. The results evidence the twenty better-ranked domains, where energy efficiency/management, hydrogen, generic renewable energy, carbon capture, energy storage and biofuel occupy the six first positions. Hydrogen, carbon capture and energy storage are the domains with a more accelerated increase in the scientific community’s relative interest. In contrast, energy efficiency and management, biofuel, and low-carbon transportation have lost relative interest. Moreover, results show that electrification, hydrogen, and geothermal energy domains significantly</w:t>
      </w:r>
    </w:p>
    <w:p>
      <w:pPr/>
      <w:r>
        <w:rPr>
          <w:b/>
        </w:rPr>
        <w:t>POSSIBLE 2023:</w:t>
      </w:r>
      <w:r>
        <w:t xml:space="preserve"> 2017-2023: state of the art of gene therapies in rare diseases in Europe: the dynamics of clinical R&amp;D, new approved treatments and expected therapies in the pipelines — https://doi.org/10.20517/rdodj.2023.29</w:t>
      </w:r>
    </w:p>
    <w:p>
      <w:pPr/>
      <w:r>
        <w:rPr>
          <w:b/>
        </w:rPr>
        <w:t>Shared claim-specific concepts:</w:t>
      </w:r>
      <w:r>
        <w:t xml:space="preserve"> aim, promising, required, current; EU scope visible. This is a provisional connection, not an outcome finding.</w:t>
      </w:r>
    </w:p>
    <w:p>
      <w:pPr>
        <w:pStyle w:val="SourceNote"/>
      </w:pPr>
      <w:r>
        <w:rPr>
          <w:b/>
        </w:rPr>
        <w:t>Available abstract (not full text):</w:t>
      </w:r>
      <w:r>
        <w:t xml:space="preserve"> Aim: Gene therapies have been tested over the past three decades, and after a first market authorization in 2017, the field is starting to deliver. The study aims to analyze the current development dynamics of gene therapies for rare diseases using the GENOTRIAL database®, which gathers information on gene therapy clinical trials and studies conducted between 2017 and 2023 in Europe. Methods: The study involved extracting and filtering clinical trial data from the EudraCT database. Trials with the keyword "Gene Therapy" were selected and filtered using the "Rare disease" filter. Manual verification was conducted to ensure that the selected trial only concerned gene therapy treatments authorized in Europe for rare diseases in phases I to III. A total of 300 European country-related clinical investigations representing a total of 93 European-specific clinical studies were included in the GENOTRIAL database. The trials were classified by development phases, temporal status, sponsors and investigating countries, rare diseases with their related therapeutic area, and approval regulatory information of the identified gene therapies. Results: Analysis reveals that rare diseases present a promising area for gene therapy development. On average, eight rare disease gene therapy trials are launched each year in Europe. The main sponsors of European clinical trials of gene therapies for ra</w:t>
      </w:r>
    </w:p>
    <w:p>
      <w:pPr/>
      <w:r>
        <w:rPr>
          <w:b/>
        </w:rPr>
        <w:t>POSSIBLE 2022:</w:t>
      </w:r>
      <w:r>
        <w:t xml:space="preserve"> Saline soils worldwide: Identifying the most promising areas for saline agriculture — https://doi.org/10.1016/j.jaridenv.2022.104775</w:t>
      </w:r>
    </w:p>
    <w:p>
      <w:pPr/>
      <w:r>
        <w:rPr>
          <w:b/>
        </w:rPr>
        <w:t>Shared claim-specific concepts:</w:t>
      </w:r>
      <w:r>
        <w:t xml:space="preserve"> aim, identify, promising, well; EU scope not established. This is a provisional connection, not an outcome finding.</w:t>
      </w:r>
    </w:p>
    <w:p>
      <w:pPr>
        <w:pStyle w:val="SourceNote"/>
      </w:pPr>
      <w:r>
        <w:rPr>
          <w:b/>
        </w:rPr>
        <w:t>Available abstract (not full text):</w:t>
      </w:r>
      <w:r>
        <w:t xml:space="preserve"> Salinization poses a major challenge for modern agriculture with considerable areas being salt-affected worldwide. However, these lands can be cultivated by applying saline agriculture, involving soil, water and salt-tolerant crop management methods. The agricultural use of saline soils helps in addressing food security in times of population growth and climate change. Therefore, there is a need to map saline soils and examine conditions under which saline agriculture can be implemented. The aim of this study is to identify locations and surface area of saline soils. The potential areas for saline agricultural production are mapped using the QGIS software with a focus on the most promising lands for saline agriculture. To identify these most promising areas, we apply criteria of soil salinity, soil fertility, soil pH, water availability, presence of irrigation equipment, as well as depleted water basins. Our results show that the total area of salt-affected soils equals 17 million km2, but the largest potential for saline agriculture lays in saline soils above 4 dS/m ECe in non-depleted water basins totalling to 2 million km2. We conclude that further socio-economic analysis is needed to fully determine countries which should be prioritized in exploring the future potential for sustainable food production.</w:t>
      </w:r>
    </w:p>
    <w:p>
      <w:pPr/>
      <w:r>
        <w:rPr>
          <w:b/>
        </w:rPr>
        <w:t>POSSIBLE 2022:</w:t>
      </w:r>
      <w:r>
        <w:t xml:space="preserve"> Stochastic Ex-Ante LCA under Multidimensional Uncertainty: Anticipating the Production of Undiscovered Microalgal Compounds in Europe — https://doi.org/10.1021/acs.est.2c04849</w:t>
      </w:r>
    </w:p>
    <w:p>
      <w:pPr/>
      <w:r>
        <w:rPr>
          <w:b/>
        </w:rPr>
        <w:t>Shared claim-specific concepts:</w:t>
      </w:r>
      <w:r>
        <w:t xml:space="preserve"> identify, promising, sector, well, current; EU scope visible. This is a provisional connection, not an outcome finding.</w:t>
      </w:r>
    </w:p>
    <w:p>
      <w:pPr>
        <w:pStyle w:val="SourceNote"/>
      </w:pPr>
      <w:r>
        <w:rPr>
          <w:b/>
        </w:rPr>
        <w:t>Available abstract (not full text):</w:t>
      </w:r>
      <w:r>
        <w:t xml:space="preserve"> Due to their biodiversity, microalgae represent a promising source of high-value compounds that bioprospecting is aiming to reveal. Performing an ex-ante Life Cycle Assessment (LCA) to anticipate and potentially minimize the environmental burden associated with the European production of a bioprospected microalgal compound is subject to substantial and multi-factorial uncertainty as the compound remains undiscovered. Given that any microalgal strain could potentially host the compound of interest, the ex-ante LCA should consider this bioprospecting uncertainty together with the uncertainty on the technology and the production mix. Using a parameterized cultivation simulation and consequential LCA model and an extensive stochastic pseudo Monte Carlo approach, we define and propagate techno-operational, bioprospecting, and production mix uncertainties for a microalgal compound being currently bioprospected in Europe. We perform global sensitivity analysis using different sampling strategies to identify the main contributors to the total output variance. Overall, the uncertainty propagation allowed us to define and analyze the probabilistic scope for the potential environmental impacts in the emerging production of high-value microalgal compounds in Europe based on current knowledge. These findings can support policy-making as well as actors in the microalgal sector toward technol</w:t>
      </w:r>
    </w:p>
    <w:p>
      <w:pPr>
        <w:pStyle w:val="Heading2"/>
      </w:pPr>
      <w:r>
        <w:t>600.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r>
        <w:rPr>
          <w:b/>
        </w:rPr>
        <w:t>POSSIBLE 2024:</w:t>
      </w:r>
      <w:r>
        <w:t xml:space="preserve"> On the diversity of spatial planning instruments across Europe — https://doi.org/10.4337/9781839106255.00016</w:t>
      </w:r>
    </w:p>
    <w:p>
      <w:pPr/>
      <w:r>
        <w:rPr>
          <w:b/>
        </w:rPr>
        <w:t>Shared claim-specific concepts:</w:t>
      </w:r>
      <w:r>
        <w:t xml:space="preserve"> countries, become, also; EU scope visible. This is a provisional connection, not an outcome finding.</w:t>
      </w:r>
    </w:p>
    <w:p>
      <w:pPr>
        <w:pStyle w:val="SourceNote"/>
      </w:pPr>
      <w:r>
        <w:rPr>
          <w:b/>
        </w:rPr>
        <w:t>Available abstract (not full text):</w:t>
      </w:r>
      <w:r>
        <w:t xml:space="preserve"> Spatial planning instruments are fundamental for the operation of spatial planning systems. In the ESPON COMPASS project over 250 spatial planning instruments at different policy levels in 32 European countries were identified. In this chapter we compare and review these planning instruments that are used to mediate competition over the use of land, to allocate rights of development, to regulate change and to promote preferred spatial and urban form. The comparative analysis highlights that there are various types of spatial planning instruments at different policy levels many of which have multiple characteristics, that is, they are expected to have multiple functions in relation to spatial development and territorial governance practices. However, there is a significant consistency in how planning systems are hierarchically structured around spatial planning instruments and how these systems are based on rational ideals. Furthermore, the results indicates that there is a clear direction towards more strategic forms of spatial planning, also among statuary planning instruments. In conclusion, our survey reveals that spatial planning instruments are expected to serve as multi-purpose tools that simultaneously provide strategic frameworks and regulate spatial development whilst they have become less visionary.</w:t>
      </w:r>
    </w:p>
    <w:p>
      <w:pPr/>
      <w:r>
        <w:rPr>
          <w:b/>
        </w:rPr>
        <w:t>POSSIBLE 2024:</w:t>
      </w:r>
      <w:r>
        <w:t xml:space="preserve"> The meaning of spatial planning in the law of European countries — https://doi.org/10.4337/9781839106255.00014</w:t>
      </w:r>
    </w:p>
    <w:p>
      <w:pPr/>
      <w:r>
        <w:rPr>
          <w:b/>
        </w:rPr>
        <w:t>Shared claim-specific concepts:</w:t>
      </w:r>
      <w:r>
        <w:t xml:space="preserve"> countries, only; EU scope visible. This is a provisional connection, not an outcome finding.</w:t>
      </w:r>
    </w:p>
    <w:p>
      <w:pPr>
        <w:pStyle w:val="SourceNote"/>
      </w:pPr>
      <w:r>
        <w:rPr>
          <w:b/>
        </w:rPr>
        <w:t>Available abstract (not full text):</w:t>
      </w:r>
      <w:r>
        <w:t xml:space="preserve"> The law on spatial planning in member states is fundamental to its practice. The terms used give insights into the way planning is understood. Law assigns powers, duties, rights and lines of accountability for spatial planning. It establishes the outline of planning instruments, procedures and for some countries, their substantive goals for planning. Legal definitions and terms used in Europe are diverse. The chapter explains that there is common attention to establishing arrangements for the regulation of physical development, and in most cases legal means to protect environmental assets. Many countries mandate sustainability and/or economic growth goals for planning in law. No two definitions are the same. Some explain planning primarily as a set of procedures whereas others say much more about what planning is intended to achieve. Some countries specify the components of planning in detail, others provide only a framework within which the specifics can change quickly.</w:t>
      </w:r>
    </w:p>
    <w:p>
      <w:pPr/>
      <w:r>
        <w:rPr>
          <w:b/>
        </w:rPr>
        <w:t>POSSIBLE 2024:</w:t>
      </w:r>
      <w:r>
        <w:t xml:space="preserve"> PLANNED ECONOMY: THE HISTORICAL EXPERIENCE OF THE USSR AND EASTERN EUROPEAN COUNTRIES — https://openalex.org/W7161532853</w:t>
      </w:r>
    </w:p>
    <w:p>
      <w:pPr/>
      <w:r>
        <w:rPr>
          <w:b/>
        </w:rPr>
        <w:t>Shared claim-specific concepts:</w:t>
      </w:r>
      <w:r>
        <w:t xml:space="preserve"> countries, not, production, but, also; EU scope visible. This is a provisional connection, not an outcome finding.</w:t>
      </w:r>
    </w:p>
    <w:p>
      <w:pPr>
        <w:pStyle w:val="SourceNote"/>
      </w:pPr>
      <w:r>
        <w:rPr>
          <w:b/>
        </w:rPr>
        <w:t>Available abstract (not full text):</w:t>
      </w:r>
      <w:r>
        <w:t xml:space="preserve"> This article explores the phenomenon of the planned economy as a centralized management system in which the state exercises strict control over production, pricing, and resource allocation. The study demonstrates that the planned economy model was not a domestic policy of the Union of Soviet Socialist Republics (USSR), but rather a widespread phenomenon that was also implemented in countries across Western and Eastern Europe. The key goal is to eliminate economic backwardness and overcome the «anarchy of production» inherent in capitalism. The authors have analyzed the advantages and disadvantages of implementing a planned economy. They have proven the effectiveness of accelerated industrialization in priority sectors of the economy and the solution of national economic problems in the short term. However, in the long term, the implementation of a planned economy has revealed its systemic drawbacks (chronic shortages of consumer goods, suppression of initiatives, and a complete lack of flexibility).</w:t>
      </w:r>
    </w:p>
    <w:p>
      <w:pPr/>
      <w:r>
        <w:rPr>
          <w:b/>
        </w:rPr>
        <w:t>POSSIBLE 2023:</w:t>
      </w:r>
      <w:r>
        <w:t xml:space="preserve"> EUROPEAN EXPERIENCE OF STRATEGIC PLANNING FOR THE DEVELOPMENT OF TERRITORIAL COMMUNITIES — https://doi.org/10.37332/2309-1533.2023.1.8</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Purpose. The aim of the article is to study of the best practices of the European experience of strategic planning to increase the competitiveness of domestic territorial communities. Methodology of research. The methodological basis of the study was scientific methods of cognition based on a systematic approach to solving the tasks. A number of general and special scientific research methods were used to achieve the set goal and obtain research results: dialectical; monographic (when processing scientific publications); system analysis (when studying the current state of development of territorial communities); abstract and logical (to substantiate the key characteristics of strategic planning for the development of territorial communities); complex analysis (when forming conclusions and proposals for solving tasks) and others. Findings. An analysis of the best practices of strategic planning of European countries was carried out. It was established that there is no universal model of development of territorial communities in European countries, the way of organizing decentralized power in each country is related to its history, political and managerial culture, economy and social experience. It has been established that the strategic approach in the management of European countries has recently become widespread and is used at all levels, from the national to the level of aut</w:t>
      </w:r>
    </w:p>
    <w:p>
      <w:pPr/>
      <w:r>
        <w:rPr>
          <w:b/>
        </w:rPr>
        <w:t>POSSIBLE 2023:</w:t>
      </w:r>
      <w:r>
        <w:t xml:space="preserve"> FDI and Economic Growth – Perspective of Southeast European Countries — https://doi.org/10.2478/zireb-2023-0006</w:t>
      </w:r>
    </w:p>
    <w:p>
      <w:pPr/>
      <w:r>
        <w:rPr>
          <w:b/>
        </w:rPr>
        <w:t>Shared claim-specific concepts:</w:t>
      </w:r>
      <w:r>
        <w:t xml:space="preserve"> countries, become, not, also; EU scope visible. This is a provisional connection, not an outcome finding.</w:t>
      </w:r>
    </w:p>
    <w:p>
      <w:pPr>
        <w:pStyle w:val="SourceNote"/>
      </w:pPr>
      <w:r>
        <w:rPr>
          <w:b/>
        </w:rPr>
        <w:t>Available abstract (not full text):</w:t>
      </w:r>
      <w:r>
        <w:t xml:space="preserve"> Abstract Emergence of new economic entities, through either integration or disintegration, always creates system inefficiencies resulting in temporary economic setbacks. At the macroeconomic level, this brings about slowdown in economic growth and delayed catching up with more advanced economies. In Europe, the turn of the century brought along political and economic disintegration, on one hand, and economic integration, on the other. Demise of planned economies across Eastern Europe caused serious economic turmoil due to market fragmentation. Meanwhile, creation of new economic architecture in the European Union (EU) has created additional challenges of economic restructuring. Therefore, achieving sustainable economic growth and high income has become the ultimate economic policy objective. Equity investment in form of foreign direct investment (FDI) has proven to be the right choice, because influx of fresh capital and know-how enabled strong economic growth and restructuring through increasing labor productivity and economic efficiency. Stronger competitive pressure through FDI contributed to dynamic restructuring, resembling in increasing exports and stronger integration into global economy. Yet, growth rates across countries were not always proportional to the volume of inward FDI, which indicates a certain level of underperformance for some countries. The aim of the paper</w:t>
      </w:r>
    </w:p>
    <w:p>
      <w:pPr/>
      <w:r>
        <w:rPr>
          <w:b/>
        </w:rPr>
        <w:t>POSSIBLE 2023:</w:t>
      </w:r>
      <w:r>
        <w:t xml:space="preserve"> Determination of Country-Specific Criteria Weights for Long-Term Energy Planning in Europe — https://doi.org/10.3390/en16134920</w:t>
      </w:r>
    </w:p>
    <w:p>
      <w:pPr/>
      <w:r>
        <w:rPr>
          <w:b/>
        </w:rPr>
        <w:t>Shared claim-specific concepts:</w:t>
      </w:r>
      <w:r>
        <w:t xml:space="preserve"> countries, production, energy; EU scope visible. This is a provisional connection, not an outcome finding.</w:t>
      </w:r>
    </w:p>
    <w:p>
      <w:pPr>
        <w:pStyle w:val="SourceNote"/>
      </w:pPr>
      <w:r>
        <w:rPr>
          <w:b/>
        </w:rPr>
        <w:t>Available abstract (not full text):</w:t>
      </w:r>
      <w:r>
        <w:t xml:space="preserve">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pPr>
        <w:pStyle w:val="Heading2"/>
      </w:pPr>
      <w:r>
        <w:t>601.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2024:</w:t>
      </w:r>
      <w:r>
        <w:t xml:space="preserve"> European S2k guidelines for hidradenitis suppurativa/acne inversa part 2: Treatment — https://doi.org/10.1111/jdv.20472</w:t>
      </w:r>
    </w:p>
    <w:p>
      <w:pPr/>
      <w:r>
        <w:rPr>
          <w:b/>
        </w:rPr>
        <w:t>Shared claim-specific concepts:</w:t>
      </w:r>
      <w:r>
        <w:t xml:space="preserve"> part, not, experts; EU scope visible. This is a provisional connection, not an outcome finding.</w:t>
      </w:r>
    </w:p>
    <w:p>
      <w:pPr>
        <w:pStyle w:val="SourceNote"/>
      </w:pPr>
      <w:r>
        <w:rPr>
          <w:b/>
        </w:rPr>
        <w:t>Available abstract (not full text):</w:t>
      </w:r>
      <w:r>
        <w:t xml:space="preserve"> INTRODUCTION: This second part of the S2k guidelines is an update of the 2015 S1 European guidelines. OBJECTIVE: These guidelines aim to provide an accepted decision aid for the selection, implementation and assessment of appropriate and sufficient therapy for patients with hidradenitis suppurativa/acne inversa (HS). METHODS: The chapters have been selected after a Delphi procedure among the experts/authors. Certain passages have been adopted without changes from the previous version. Potential treatment complications are not included, being beyond the scope of these guidelines. RESULTS: Since the S1 guidelines publication, validation of new therapeutic approaches has almost completely overhauled the knowledge in the field of HS treatment. Inflammatory nodules/abscesses/draining tunnels are the primary lesions, which enable the classification of the disease severity by new validated tools. In relation to the degree of detectable inflammation, HS is classified into the inflammatory and the predominantly non-inflammatory forms. While the intensity of the inflammatory form can be subdivided by the IHS4 classification in mild, moderate and severe HS and is treated by medication accordingly, the decision on surgical treatment of the predominantly non-inflammatory form is based on the Hurley stage of the affected localization. The effectiveness of oral tetracyclines as an alternative</w:t>
      </w:r>
    </w:p>
    <w:p>
      <w:pPr/>
      <w:r>
        <w:rPr>
          <w:b/>
        </w:rPr>
        <w:t>POSSIBLE 2024:</w:t>
      </w:r>
      <w:r>
        <w:t xml:space="preserve"> Do Preliminary References Increase Public Support for European Law? Experimental Evidence from Germany — https://doi.org/10.1017/s0020818323000243</w:t>
      </w:r>
    </w:p>
    <w:p>
      <w:pPr/>
      <w:r>
        <w:rPr>
          <w:b/>
        </w:rPr>
        <w:t>Shared claim-specific concepts:</w:t>
      </w:r>
      <w:r>
        <w:t xml:space="preserve"> preliminary, many, citizens; EU scope visible. This is a provisional connection, not an outcome finding.</w:t>
      </w:r>
    </w:p>
    <w:p>
      <w:pPr>
        <w:pStyle w:val="SourceNote"/>
      </w:pPr>
      <w:r>
        <w:rPr>
          <w:b/>
        </w:rPr>
        <w:t>Available abstract (not full text):</w:t>
      </w:r>
      <w:r>
        <w:t xml:space="preserve"> Abstract Explanations for the successful expansion and consolidation of the European Union and its legal system have long emphasized the importance of domestic courts’ sending preliminary references to the Court of Justice. Key to many of these theoretical accounts is the claim that domestic courts are better equipped than the Court of Justice to compel national governments to comply with EU law. Integrating insights from the comparative judicial politics literature into the context of the EU's preliminary references system, we provide a theoretical and empirical foundation for this claim by arguing that incorporating domestic courts into the EU legal process enhances public support for expansive judicial interpretations of EU law. We go on to argue, however, that this transfer of legitimacy depends on citizens’ views of the national and European courts. We support our argument with evidence from a preregistered survey experiment fielded in Germany.</w:t>
      </w:r>
    </w:p>
    <w:p>
      <w:pPr/>
      <w:r>
        <w:rPr>
          <w:b/>
        </w:rPr>
        <w:t>POSSIBLE 2023:</w:t>
      </w:r>
      <w:r>
        <w:t xml:space="preserve"> Impact of the European Green Deal on Business Operations—Preliminary Benchmarking — https://doi.org/10.3390/su15107780</w:t>
      </w:r>
    </w:p>
    <w:p>
      <w:pPr/>
      <w:r>
        <w:rPr>
          <w:b/>
        </w:rPr>
        <w:t>Shared claim-specific concepts:</w:t>
      </w:r>
      <w:r>
        <w:t xml:space="preserve"> preliminary, many, also, well; EU scope visible. This is a provisional connection, not an outcome finding.</w:t>
      </w:r>
    </w:p>
    <w:p>
      <w:pPr>
        <w:pStyle w:val="SourceNote"/>
      </w:pPr>
      <w:r>
        <w:rPr>
          <w:b/>
        </w:rPr>
        <w:t>Available abstract (not full text):</w:t>
      </w:r>
      <w:r>
        <w:t xml:space="preserve"> Sustainable development is present in almost every aspect of today’s life. The European Green Deal is characterized by a holistic approach that covers both energy sectors and other spillovers for European Union countries. Implementing the European Green Deal requires many different activities in three main areas. In the countries of the European Union, policies are being implemented to reduce the negative impact of economic activity on the natural environment, because it also affects human health and may even threaten the vitality of some populations. In this article, the research conducted was aimed at identifying actions taken by businesses in order to implement the guidelines of the European Green Deal and the factors hindering and motivating the implementation of eco-changes. It is a program that should be implemented in countries and visible in the activities of enterprises. However, what is its real impact on the pro-ecological and pro-social activities of enterprises? Answers to the listed questions were obtained on the basis of the opinion of an inter-national group of professionals. The study is international, and is a comparative analysis. Operational activities undertaken by businesses in order to implement the guidelines of the European Green Deal and of environmental protection, as well as factors hindering and motivating the implementation of environmental changes</w:t>
      </w:r>
    </w:p>
    <w:p>
      <w:pPr/>
      <w:r>
        <w:rPr>
          <w:b/>
        </w:rPr>
        <w:t>POSSIBLE 2023:</w:t>
      </w:r>
      <w:r>
        <w:t xml:space="preserve"> DELIBERATIVE DEMOCRACY OR DELIBERATIVE SUPRANATIONALISM ? PRELIMINARY INSITGHTS FROM THE CONFERENCE ON THE FUTURE OF EUROPE — https://doi.org/10.24193/ojmne.2023.42.08</w:t>
      </w:r>
    </w:p>
    <w:p>
      <w:pPr/>
      <w:r>
        <w:rPr>
          <w:b/>
        </w:rPr>
        <w:t>Shared claim-specific concepts:</w:t>
      </w:r>
      <w:r>
        <w:t xml:space="preserve"> preliminary, not, only, democratic; EU scope visible. This is a provisional connection, not an outcome finding.</w:t>
      </w:r>
    </w:p>
    <w:p>
      <w:pPr>
        <w:pStyle w:val="SourceNote"/>
      </w:pPr>
      <w:r>
        <w:rPr>
          <w:b/>
        </w:rPr>
        <w:t>Available abstract (not full text):</w:t>
      </w:r>
      <w:r>
        <w:t xml:space="preserve"> The goal of this article is to assess the effectiveness of deliberative democratic mechanisms in the practice of international organization, with the Conference on the Future of Europe serving as the main object of the study.The analysis is focused on a comparison of the usefulness of two concepts (deliberative democracy and deliberative supranationalism) to the analysis of the EU political decision-making.On the basis of both approaches four hypotheses are formulated and initially verified.The dependent variables of the hypotheses are confronted with the essential features of the course and follow-up of the Conference in the first year after its conclusion.The most important results of the study include four findings.Firstly, the structure of the Conference did not fully correspond to the assumptions of the concept of deliberative democracy, while -secondly -the substantial quality of the Conference's proposals was low.Thirdly, one year after the conclusion of the Conference, no interinstitutional debate on the implementation of its proposals has started.Fourthly, there is no inter-state discussion on the results of the Conference, no Convention is planned, and support for introducing treaty changes is low.So far, the only measurable results of the Conference are minor non-treaty reforms proposed by the Commission.Therefore, the introduction of the principles of deliberative d</w:t>
      </w:r>
    </w:p>
    <w:p>
      <w:pPr/>
      <w:r>
        <w:rPr>
          <w:b/>
        </w:rPr>
        <w:t>POSSIBLE 2023:</w:t>
      </w:r>
      <w:r>
        <w:t xml:space="preserve"> 1 Preliminaries — https://doi.org/10.1515/9783110786996-001</w:t>
      </w:r>
    </w:p>
    <w:p>
      <w:pPr/>
      <w:r>
        <w:rPr>
          <w:b/>
        </w:rPr>
        <w:t>Shared claim-specific concepts:</w:t>
      </w:r>
      <w:r>
        <w:t xml:space="preserve"> see, many, not, but, also; EU scope visible. This is a provisional connection, not an outcome finding.</w:t>
      </w:r>
    </w:p>
    <w:p>
      <w:pPr>
        <w:pStyle w:val="SourceNote"/>
      </w:pPr>
      <w:r>
        <w:rPr>
          <w:b/>
        </w:rPr>
        <w:t>Available abstract (not full text):</w:t>
      </w:r>
      <w:r>
        <w:t xml:space="preserve"> Preliminaries 1.Printing in Arabic before 1700: the Western European PressesAs a commodity, paper reached Europe in the 12 th century through the Arab merchants who traversed North Africa. 1 Like parchment, this early paper was very fragile, as it was made with plant-based resins that gave it little sturdiness.Over the following two centuries, manufacturing technologies and paper workshops appeared in Europe, where animal-based glues and more evolved tools were used in paper production.The gradual replacement of wool with flax brought greater strength to the final product and allowed paper to last longer.One of the centers of paper manufacture was Genoa, where many printing presses were then set up, owing to the availability of paper.As a marking technique, stamping was developed quite early in human history.On the Mediterranean coasts, the process of applying engraved brass plates to tanned animal skins, to obtain ornamental motifs, was transferred to making covers for manuscript codices. 2 In the 14 th century, Europe saw the coming of imprinted cloths from East Asia, made by pressing colored inks onto the textiles with wood or metal tools.3 Towards the middle of the 14 th century, Middle Eastern and subsequently European printing technology had reached the phase of xylographs or block prints: wooden plates engraved with sacred words, biblical scenes, images of saints, or bri</w:t>
      </w:r>
    </w:p>
    <w:p>
      <w:pPr/>
      <w:r>
        <w:rPr>
          <w:b/>
        </w:rPr>
        <w:t>POSSIBLE 2022:</w:t>
      </w:r>
      <w:r>
        <w:t xml:space="preserve"> A Preliminary European-Scale Assessment of Microplastics in Urban Wastewater — https://doi.org/10.3389/fenvs.2022.912323</w:t>
      </w:r>
    </w:p>
    <w:p>
      <w:pPr/>
      <w:r>
        <w:rPr>
          <w:b/>
        </w:rPr>
        <w:t>Shared claim-specific concepts:</w:t>
      </w:r>
      <w:r>
        <w:t xml:space="preserve"> preliminary, not, well; EU scope visible. This is a provisional connection, not an outcome finding.</w:t>
      </w:r>
    </w:p>
    <w:p>
      <w:pPr>
        <w:pStyle w:val="SourceNote"/>
      </w:pPr>
      <w:r>
        <w:rPr>
          <w:b/>
        </w:rPr>
        <w:t>Available abstract (not full text):</w:t>
      </w:r>
      <w:r>
        <w:t xml:space="preserve"> Microplastics (MP) are not well defined from an analytical point of view and their measurement in the environment is still challenging. At the same time, their increasingly widespread presence is raising concerns for human health and ecosystems. In this contribution, we present a preliminary European-scale assessment of the environmental input of MP through urban wastewater and urban runoff. We quantify the emissions associated with urban wastewater based on the range of observed concentrations in wastewater treatment plants (WWTPs) effluents, and the emissions from tire wear particles (TWP) by assuming that a percentage of the particles generated on roads eventually reaches surface waters. In spite of the large uncertainties entailed in the calculation, it is apparent that TWP dominate the input of total plastic loads into European surface waters. The management of urban runoff, road runoff, and combined sewer overflows (CSO) is essential to control the emissions of MP from urban areas. On the other hand, WWTPs retain the majority of MP in the sewage sludge. The spreading of sewage sludge onto soil therefore represents a potential pathway of MP from urban wastewater into the environment.</w:t>
      </w:r>
    </w:p>
    <w:p>
      <w:pPr/>
      <w:r>
        <w:rPr>
          <w:b/>
        </w:rPr>
        <w:t>POSSIBLE 2022:</w:t>
      </w:r>
      <w:r>
        <w:t xml:space="preserve"> The Regional Development Trap in Europe — https://doi.org/10.1080/00130095.2022.2080655</w:t>
      </w:r>
    </w:p>
    <w:p>
      <w:pPr/>
      <w:r>
        <w:rPr>
          <w:b/>
        </w:rPr>
        <w:t>Shared claim-specific concepts:</w:t>
      </w:r>
      <w:r>
        <w:t xml:space="preserve"> challenges, but, also;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European consensus-based interdisciplinary guideline for melanoma. Part 2: Treatment - Update 2022 — https://doi.org/10.1016/j.ejca.2022.04.018</w:t>
      </w:r>
    </w:p>
    <w:p>
      <w:pPr/>
      <w:r>
        <w:rPr>
          <w:b/>
        </w:rPr>
        <w:t>Shared claim-specific concepts:</w:t>
      </w:r>
      <w:r>
        <w:t xml:space="preserve"> part, not, experts; EU scope visible. This is a provisional connection, not an outcome finding.</w:t>
      </w:r>
    </w:p>
    <w:p>
      <w:pPr>
        <w:pStyle w:val="SourceNote"/>
      </w:pPr>
      <w:r>
        <w:rPr>
          <w:b/>
        </w:rPr>
        <w:t>Available abstract (not full text):</w:t>
      </w:r>
      <w:r>
        <w:t xml:space="preserve"> A unique collaboration of multidisciplinary experts from the European Dermatology Forum (EDF), the European Association of Dermato-Oncology (EADO), and the European Organization of Research and Treatment of Cancer (EORTC) was formed to make recommendations on cutaneous melanoma diagnosis and treatment, based on the systematic literature reviews and the experts' experience. Cutaneous melanomas are excised with one to 2-cm safety margins. Sentinel lymph node dissection shall be performed as a staging procedure in patients with tumor thickness ≥1.0 mm or ≥0.8 mm with additional histological risk factors, although there is as yet no clear survival benefit for this approach. Therapeutic decisions in stage III/IV patients should be primarily made by an interdisciplinary oncology team ("tumor board"). Adjuvant therapies can be proposed in stage III/completely resected stage IV patients and are primarily anti-PD-1, independent of mutational status, or alternatively dabrafenib plus trametinib for BRAF mutant patients. In distant metastases (stage IV), either resected or not, systemic treatment is always indicated. For first-line treatment particularly in BRAF wild-type patients, immunotherapy with PD-1 antibodies alone or in combination with CTLA-4 antibodies shall be considered. In stage IV melanoma with a BRAF-V600 E/K mutation, first-line therapy with BRAF/MEK inhibitors can be offer</w:t>
      </w:r>
    </w:p>
    <w:p>
      <w:pPr>
        <w:pStyle w:val="Heading2"/>
      </w:pPr>
      <w:r>
        <w:t>602.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2025:</w:t>
      </w:r>
      <w:r>
        <w:t xml:space="preserve"> Skill Validation of High-Impact Rainfall Forecasts over Vietnam Using the European Centre for Medium-Range Weather Forecasts (ECMWF) Integrated Forecasting System (IFS) and Dynamical Downscaling with the Weather Research and Forecasting Model — https://doi.org/10.3390/atmos16020224</w:t>
      </w:r>
    </w:p>
    <w:p>
      <w:pPr/>
      <w:r>
        <w:rPr>
          <w:b/>
        </w:rPr>
        <w:t>Shared claim-specific concepts:</w:t>
      </w:r>
      <w:r>
        <w:t xml:space="preserve"> weather, local; EU scope visible. This is a provisional connection, not an outcome finding.</w:t>
      </w:r>
    </w:p>
    <w:p>
      <w:pPr>
        <w:pStyle w:val="SourceNote"/>
      </w:pPr>
      <w:r>
        <w:rPr>
          <w:b/>
        </w:rPr>
        <w:t>Available abstract (not full text):</w:t>
      </w:r>
      <w:r>
        <w:t xml:space="preserve"> This research evaluates the quality of high-impact rainfall forecasts across Vietnam and its sub-climate regions. The 3-day rainfall forecast products evaluated include the European Centre for Medium-Range Weather Forecasts (ECMWF) High-Resolution Integrated Forecasting System (IFS) and its downscaled outputs using the Weather Research and Forecasting (WRF) model with the Advanced Research WRF core (WRF-ARW): direct downscaling and downscaling with data assimilation. A full 5-year validation period from 2019 to 2025 was processed. The validation focused on basic rainfall thresholds and also considered the distribution of skill scores for intense events and extreme events. The validations revealed systematic errors (bias) in the models at low rainfall thresholds. The forecast skill was the lowest for northern regions, while the central regions exhibited the highest. For regions strongly affected by terrain, high-resolution downscaling with local observation data assimilation is necessary to improve the detectability of extreme events.</w:t>
      </w:r>
    </w:p>
    <w:p>
      <w:pPr/>
      <w:r>
        <w:rPr>
          <w:b/>
        </w:rPr>
        <w:t>POSSIBLE 2024:</w:t>
      </w:r>
      <w:r>
        <w:t xml:space="preserve"> Using Numerical Weather Prediction Models for Climate Modeling — https://doi.org/10.1134/s0001433824700610</w:t>
      </w:r>
    </w:p>
    <w:p>
      <w:pPr/>
      <w:r>
        <w:rPr>
          <w:b/>
        </w:rPr>
        <w:t>Shared claim-specific concepts:</w:t>
      </w:r>
      <w:r>
        <w:t xml:space="preserve"> weather, climate; EU scope visible. This is a provisional connection, not an outcome finding.</w:t>
      </w:r>
    </w:p>
    <w:p>
      <w:pPr>
        <w:pStyle w:val="SourceNote"/>
      </w:pPr>
      <w:r>
        <w:rPr>
          <w:b/>
        </w:rPr>
        <w:t>Available abstract (not full text):</w:t>
      </w:r>
      <w:r>
        <w:t xml:space="preserve"> Abstract The concept of seamless prediction atmospheric models designed both for numerical weather forecasting and climate change modeling is considered. It consists of the fact that there are no artificial time boundaries in the atmosphere that separate synoptic, seasonal, and interannual scales. Due to the nonlinearity of the atmosphere, the processes of all spatial and time scales interact with each other. Thus, an atmospheric model focused on reproducing any phenomena must adequately reproduce phenomena of all time scales. It is wrong to talk about seamless atmosphere models as universal models that function at any possible mesh sizes. The same model cannot be used at the horizontal resolution of about 1–2 and 50–80 km, since the processes of convective precipitation formation are mainly described explicitly in the first case, while the deep convection is a subgrid scale process that has to be parametrized in the second case. This article provides an overview of the implementations of multiscale models with the example of some foreign (the unified model (UM) of the UK MetOffice and the European model EC Earth 3) and Russian SL-AV (Semi-Lagrangian, based on the Absolute Vorticity equation) atmosphere general circulation model. An example of a modification to the deep convection parameterization developed for the climate version of the SL-AV model is given that significantly </w:t>
      </w:r>
    </w:p>
    <w:p>
      <w:pPr/>
      <w:r>
        <w:rPr>
          <w:b/>
        </w:rPr>
        <w:t>POSSIBLE 2024:</w:t>
      </w:r>
      <w:r>
        <w:t xml:space="preserve"> The fire weather in Europe: large-scale trends towards higher danger — https://doi.org/10.1088/1748-9326/ad5b09</w:t>
      </w:r>
    </w:p>
    <w:p>
      <w:pPr/>
      <w:r>
        <w:rPr>
          <w:b/>
        </w:rPr>
        <w:t>Shared claim-specific concepts:</w:t>
      </w:r>
      <w:r>
        <w:t xml:space="preserve"> weather, regional, climate, warming; EU scope visible. This is a provisional connection, not an outcome finding.</w:t>
      </w:r>
    </w:p>
    <w:p>
      <w:pPr>
        <w:pStyle w:val="SourceNote"/>
      </w:pPr>
      <w:r>
        <w:rPr>
          <w:b/>
        </w:rPr>
        <w:t>Available abstract (not full text):</w:t>
      </w:r>
      <w:r>
        <w:t xml:space="preserve"> Abstract The climate over Europe has been recorded to be hotter, drier, and more fire-prone over the last decade than ever before, leading to concerns about how climate change will alter fire weather in the future. A typical measure to estimate fire weather severity based on climate is the Canadian fire weather index (FWI). In this study, we used high-resolution, bias-corrected climate model output (∼9 km) from six CMIP6 climate models and four shared socio-economic pathway projections (SSPs) to calculate consistent and comparable daily FWI datasets for Europe from 1950 to 2080. Our study aims to identify regional and large-scale shifts in fire weather severity and its predictability over time to support adaptive planning. We show that irrespective of the future SSP, fire weather will become more severe, but the increase is much stronger under high greenhouse gas emissions. This leads to new areas being exposed to severe fire weather, such as central Europe and rapidly warming mountainous areas. Already fire-prone regions in southern Europe will experience more extreme conditions. We conclude that only the low-emission SSP1-2.6 pathway can prevent strong increases in fire weather beyond the 2050s. Fire surveillance and management will become more important, even in areas and in seasons where they have not been in the focus so far.</w:t>
      </w:r>
    </w:p>
    <w:p>
      <w:pPr/>
      <w:r>
        <w:rPr>
          <w:b/>
        </w:rPr>
        <w:t>POSSIBLE 2023:</w:t>
      </w:r>
      <w:r>
        <w:t xml:space="preserve"> Evaluating neural network models in site-specific solar PV forecasting using numerical weather prediction data and weather observations — https://doi.org/10.1016/j.renene.2023.02.130</w:t>
      </w:r>
    </w:p>
    <w:p>
      <w:pPr/>
      <w:r>
        <w:rPr>
          <w:b/>
        </w:rPr>
        <w:t>Shared claim-specific concepts:</w:t>
      </w:r>
      <w:r>
        <w:t xml:space="preserve"> weather, investigate; EU scope visible. This is a provisional connection, not an outcome finding.</w:t>
      </w:r>
    </w:p>
    <w:p>
      <w:pPr>
        <w:pStyle w:val="SourceNote"/>
      </w:pPr>
      <w:r>
        <w:rPr>
          <w:b/>
        </w:rPr>
        <w:t>Available abstract (not full text):</w:t>
      </w:r>
      <w:r>
        <w:t xml:space="preserve"> The effective use of solar photovoltaic (PV) installations implies the integration of solar PV output into overall energy consumption planning, optimization, and control. Moreover, day-ahead trading of electricity in Europe makes day-ahead solar PV forecasting utterly important, and thus its accuracy becomes of particular interest. Data-driven PV forecasting models are typically trained using numerical weather prediction (NWP) data, the availability of which represents one of the main obstacles in modeling. In this study, we investigate an alternative scenario, in which an artificial neural network (ANN) is trained on weather observations and then tested on NWP data to simulate the model's use in operational PV forecasting. In the experiments, solar PV output data, historical weather observations, and historical NWP data were collected from three sites in eastern Finland. The results showed that, although training ANN on observational data leads to a slight decrease in its performance compared to ANN trained on NWP data, it still outperforms a physical model. In practice, this alternative scenario means that if historical NWP data are not available for model training, observational data allow effective model selection and parameter tuning, and then generalization error estimates are gradually updated using online NWP data.</w:t>
      </w:r>
    </w:p>
    <w:p>
      <w:pPr/>
      <w:r>
        <w:rPr>
          <w:b/>
        </w:rPr>
        <w:t>POSSIBLE 2023:</w:t>
      </w:r>
      <w:r>
        <w:t xml:space="preserve"> EURO1k: A high-resolution European weather model developed by Meteomatics — https://doi.org/10.5194/egusphere-egu23-16670</w:t>
      </w:r>
    </w:p>
    <w:p>
      <w:pPr/>
      <w:r>
        <w:rPr>
          <w:b/>
        </w:rPr>
        <w:t>Shared claim-specific concepts:</w:t>
      </w:r>
      <w:r>
        <w:t xml:space="preserve"> uses, weather, local, regional, current; EU scope visible. This is a provisional connection, not an outcome finding.</w:t>
      </w:r>
    </w:p>
    <w:p>
      <w:pPr>
        <w:pStyle w:val="SourceNote"/>
      </w:pPr>
      <w:r>
        <w:rPr>
          <w:b/>
        </w:rPr>
        <w:t>Available abstract (not full text):</w:t>
      </w:r>
      <w:r>
        <w:t xml:space="preserve"> Accurate and precise weather forecasting is essential for a wide range of applications and industries, from agriculture to transportation to renewable energy. However, current weather models often struggle to represent the weather accurately due to limitations in spatial resolution. Global models with broad resolution are unable to represent small-scale weather features, such as convective thunderstorms or local wind patterns, while regional high resolution models are highly dependent on boundary conditions and typically provide forecasts for a small domain. To fill this gap, Meteomatics has developed the EURO1k model, the first pan-European weather model with a 1km2 resolution. The EURO1k model consists of approximately 20 million grid points and is run 24 times per day, with a forecast horizon of 24 hours. It is based on the WRF (Weather Research and Forecasting) model and uses global ECMWF-IFS model data for boundary conditions. In addition to standard data sources such as weather stations, radar and satellite data, and radiosondes, the EURO1k model also ingests data from a network of Meteodrones, small unmanned aircraft systems (UAS) developed by Meteomatics which collect vertical atmospheric profiles up to 6000m in altitude. The high resolution of the EURO1k model allows it to accurately represent small-scale weather patterns, resulting in highly accurate and precise forec</w:t>
      </w:r>
    </w:p>
    <w:p>
      <w:pPr/>
      <w:r>
        <w:rPr>
          <w:b/>
        </w:rPr>
        <w:t>POSSIBLE 2023:</w:t>
      </w:r>
      <w:r>
        <w:t xml:space="preserve"> EURO1k: A high-resolution European weather model developed by Meteomatics — https://doi.org/10.5194/ems2023-486</w:t>
      </w:r>
    </w:p>
    <w:p>
      <w:pPr/>
      <w:r>
        <w:rPr>
          <w:b/>
        </w:rPr>
        <w:t>Shared claim-specific concepts:</w:t>
      </w:r>
      <w:r>
        <w:t xml:space="preserve"> uses, weather, regional, current; EU scope visible. This is a provisional connection, not an outcome finding.</w:t>
      </w:r>
    </w:p>
    <w:p>
      <w:pPr>
        <w:pStyle w:val="SourceNote"/>
      </w:pPr>
      <w:r>
        <w:rPr>
          <w:b/>
        </w:rPr>
        <w:t>Available abstract (not full text):</w:t>
      </w:r>
      <w:r>
        <w:t xml:space="preserve"> Accurate and precise weather forecasting is essential for a wide range of applications and industries, from agriculture to transportation to renewable energy. However, current weather models often struggle to represent atmospheric processes accurately due to limitations in spatial resolution. To fill this gap, Meteomatics has developed the EURO1k model, the first pan-European weather model with a spatial resolution of 1 km. The EURO1k model grid covers 4250 x 4580 km and is run in a rapid-update setup with 24 initializations per day, each run with a lead time of 24 hours. It is based on the Weather Research and Forecasting (WRF) model and uses global ECMWF-IFS model data for boundary conditions. In addition to standard data sources such as weather stations, radar and satellite data, and radiosondes, the EURO1k model also assimilates data from a network of Meteodrones, unmanned aircraft systems (UAS) developed by Meteomatics which collect vertical atmospheric profiles up to 6000m in altitude. The high spatial and temporal resolution of the EURO1k model allows to accurately represent small-scale weather patterns, resulting in highly accurate and precise forecasts. Indeed, statistical analyses of EURO1k model output against observations from 5000 weather stations in Europe demonstrate increased accuracy compared to other global and regional models. This has important implications </w:t>
      </w:r>
    </w:p>
    <w:p>
      <w:pPr/>
      <w:r>
        <w:rPr>
          <w:b/>
        </w:rPr>
        <w:t>POSSIBLE 2023:</w:t>
      </w:r>
      <w:r>
        <w:t xml:space="preserve"> Gaussian copula modeling of extreme cold and weak-wind events over Europe conditioned on winter weather regimes — https://doi.org/10.1088/1748-9326/acb6aa</w:t>
      </w:r>
    </w:p>
    <w:p>
      <w:pPr/>
      <w:r>
        <w:rPr>
          <w:b/>
        </w:rPr>
        <w:t>Shared claim-specific concepts:</w:t>
      </w:r>
      <w:r>
        <w:t xml:space="preserve"> weather, climate; EU scope visible. This is a provisional connection, not an outcome finding.</w:t>
      </w:r>
    </w:p>
    <w:p>
      <w:pPr>
        <w:pStyle w:val="SourceNote"/>
      </w:pPr>
      <w:r>
        <w:rPr>
          <w:b/>
        </w:rPr>
        <w:t>Available abstract (not full text):</w:t>
      </w:r>
      <w:r>
        <w:t xml:space="preserve"> Abstract A transition to renewable energy is needed to mitigate climate change. In Europe, this transition has been led by wind energy, which is one of the fastest growing energy sources. However, energy demand and production are sensitive to meteorological conditions and atmospheric variability at multiple time scales. To accomplish the required balance between these two variables, critical conditions of high demand and low wind energy supply must be considered in the design of energy systems. We describe a methodology for modeling joint distributions of meteorological variables without making any assumptions about their marginal distributions. In this context, Gaussian copulas are used to model the correlated nature of cold and weak-wind events. The marginal distributions are modeled with logistic regressions defining two sets of binary variables as predictors: four large-scale weather regimes (WRs) and the months of the extended winter season. By applying this framework to ERA5 data, we can compute the joint probabilities of co-occurrence of cold and weak-wind events on a high-resolution grid ( 0.2 ∘ ) .Our results show that (a) WRs must be considered when modeling cold and weak-wind events, (b) it is essential to account for the correlations between these events when modeling their joint distribution, (c) we need to analyze each month separately, and (d) the highest estimat</w:t>
      </w:r>
    </w:p>
    <w:p>
      <w:pPr/>
      <w:r>
        <w:rPr>
          <w:b/>
        </w:rPr>
        <w:t>POSSIBLE 2023:</w:t>
      </w:r>
      <w:r>
        <w:t xml:space="preserve"> A ML approach for Post-processing of NWP model on the European Weather Cloud — https://doi.org/10.5194/ems2023-489</w:t>
      </w:r>
    </w:p>
    <w:p>
      <w:pPr/>
      <w:r>
        <w:rPr>
          <w:b/>
        </w:rPr>
        <w:t>Shared claim-specific concepts:</w:t>
      </w:r>
      <w:r>
        <w:t xml:space="preserve"> weather, different; EU scope visible. This is a provisional connection, not an outcome finding.</w:t>
      </w:r>
    </w:p>
    <w:p>
      <w:pPr>
        <w:pStyle w:val="SourceNote"/>
      </w:pPr>
      <w:r>
        <w:rPr>
          <w:b/>
        </w:rPr>
        <w:t>Available abstract (not full text):</w:t>
      </w:r>
      <w:r>
        <w:t xml:space="preserve"> In the present study, the research activities aiming at investigating the use of modern Machine Learning algorithms for the early detection of convective systems are shown.The study conceived and carried out at the Italian Air-Force Meteorological Centre, co-funded in the framework of the EUMETNET-SRNWP-EPS Project, focuses on the post-processing of NWP model output to provide to the forecasters an improved Decision Support System specifically designed for aviation hazards and severe weather phenomena, such as thunderstorms. In detail, the NWP fields generated from operational Limited Area Models (COSMO-IT, 2.2 km horizontal resolution) running at CNMCA (Centro Nazionale Meteorologia e Climatologia Aerospaziale, Italian AirForce Met Service) and ECMWF, were processed and fed, as input features, to a properly designed decision tree. Different targets were defined to train the ML model, starting from independent observation datasets, which include radar, lightning and satellite-derived observations. The products mentioned above and the input features were co-located in space and time to assess the correlation between the signal (the information content of NWP products) and the weather phenomenon (e.g., convective instability). The ML tool operates in near real-time mode for the prediction/test phase and offline mode for the training/validation phase. It runs on the European Weath</w:t>
      </w:r>
    </w:p>
    <w:p>
      <w:pPr/>
      <w:r>
        <w:rPr>
          <w:b/>
        </w:rPr>
        <w:t>POSSIBLE 2023:</w:t>
      </w:r>
      <w:r>
        <w:t xml:space="preserve"> Intersecting near-optimal spaces: European power systems with more resilience to weather variability — https://doi.org/10.1016/j.eneco.2022.106496</w:t>
      </w:r>
    </w:p>
    <w:p>
      <w:pPr/>
      <w:r>
        <w:rPr>
          <w:b/>
        </w:rPr>
        <w:t>Shared claim-specific concepts:</w:t>
      </w:r>
      <w:r>
        <w:t xml:space="preserve"> weather, investigate; EU scope visible. This is a provisional connection, not an outcome finding.</w:t>
      </w:r>
    </w:p>
    <w:p>
      <w:pPr>
        <w:pStyle w:val="SourceNote"/>
      </w:pPr>
      <w:r>
        <w:rPr>
          <w:b/>
        </w:rPr>
        <w:t>Available abstract (not full text):</w:t>
      </w:r>
      <w:r>
        <w:t xml:space="preserve"> We suggest a new methodology for designing robust energy systems. For this, we investigate so-called near-optimal solutions to energy system optimisation models; solutions whose objective values deviate only marginally from the optimum. Using a refined method for obtaining explicit geometric descriptions of these near-optimal feasible spaces, we find designs that are as robust as possible to perturbations. This contributes to the ongoing debate on how to define and work with robustness in energy systems modelling. We apply our methods in an investigation using multiple decades of weather data. For the first time, we run a capacity expansion model of the European power system (one node per country) with a three-hourly temporal resolution and 41 years of weather data. While an optimisation with 41 weather years is at the limits of computational feasibility, we use the near-optimal feasible spaces of single years to gain an understanding of the design space over the full time period. Specifically, we intersect all near-optimal feasible spaces for the individual years in order to get designs that are likely to be feasible over the entire time period. We find significant potential for investment flexibility, and verify the feasibility of these designs by simulating the resulting dispatch problem with four decades of weather data. They are characterised by a shift towards more onshor</w:t>
      </w:r>
    </w:p>
    <w:p>
      <w:pPr/>
      <w:r>
        <w:rPr>
          <w:b/>
        </w:rPr>
        <w:t>POSSIBLE 2023:</w:t>
      </w:r>
      <w:r>
        <w:t xml:space="preserve"> ClimaX: A foundation model for weather and climate — https://doi.org/10.48550/arxiv.2301.10343</w:t>
      </w:r>
    </w:p>
    <w:p>
      <w:pPr/>
      <w:r>
        <w:rPr>
          <w:b/>
        </w:rPr>
        <w:t>Shared claim-specific concepts:</w:t>
      </w:r>
      <w:r>
        <w:t xml:space="preserve"> weather, different, climate; EU scope not established. This is a provisional connection, not an outcome finding.</w:t>
      </w:r>
    </w:p>
    <w:p>
      <w:pPr>
        <w:pStyle w:val="SourceNote"/>
      </w:pPr>
      <w:r>
        <w:rPr>
          <w:b/>
        </w:rPr>
        <w:t>Available abstract (not full text):</w:t>
      </w:r>
      <w:r>
        <w:t xml:space="preserve"> Most state-of-the-art approaches for weather and climate modeling are based on physics-informed numerical models of the atmosphere. These approaches aim to model the non-linear dynamics and complex interactions between multiple variables, which are challenging to approximate. Additionally, many such numerical models are computationally intensive, especially when modeling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We develop and demonstrate ClimaX, a flexible and generalizable deep learning model for weather and climate science that can be trained using heterogeneous datasets spanning different variables, spatio-temporal coverage, and physical groundings. ClimaX extends the Transformer architecture with novel encoding and aggregation blocks that allow effective use of available compute while maintaining general utility. ClimaX is pre-trained with a self-supervised learning objective on climate datasets derived from CMIP6. The pre-trained ClimaX can then be fine-tuned to address a </w:t>
      </w:r>
    </w:p>
    <w:p>
      <w:pPr>
        <w:pStyle w:val="Heading2"/>
      </w:pPr>
      <w:r>
        <w:t>603.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r>
        <w:rPr>
          <w:b/>
        </w:rPr>
        <w:t>POSSIBLE 2023:</w:t>
      </w:r>
      <w:r>
        <w:t xml:space="preserve"> Stochastic weather generator and deep learning approach for predicting and sampling extreme European heatwaves — https://doi.org/10.5194/egusphere-egu23-6131</w:t>
      </w:r>
    </w:p>
    <w:p>
      <w:pPr/>
      <w:r>
        <w:rPr>
          <w:b/>
        </w:rPr>
        <w:t>Shared claim-specific concepts:</w:t>
      </w:r>
      <w:r>
        <w:t xml:space="preserve"> order, able, predict, forecasts, also; EU scope visible. This is a provisional connection, not an outcome finding.</w:t>
      </w:r>
    </w:p>
    <w:p>
      <w:pPr>
        <w:pStyle w:val="SourceNote"/>
      </w:pPr>
      <w:r>
        <w:rPr>
          <w:b/>
        </w:rPr>
        <w:t>Available abstract (not full text):</w:t>
      </w:r>
      <w:r>
        <w:t xml:space="preserve"> Sampling rare events such as extreme heatwaves whose return period is larger than the length of available observations requires developing and benchmarking new simulation methods. There is growing interest in applying deep learning alongside already existing statistical approaches to better generate and predict rare events. Our goal is to benchmark Stochastic Weather Generator (SWG) [1] based on analogs of circulation, soil moisture and temperature as a tool for sampling tails of distribution as well as forecasting heatwaves in France and Scandinavia using data from General Circulation Model (GCM). Analog method has been successfully implemented in rare event algorithms for low dimensional climate models [2]. SWG is implemented using a Markov chain with hidden states (.e.g. geopotential height at 500 hPa) with Euclidean metric. When applying such methods to climate data two challenges emerge: a large number of degrees of freedom and the difficulty of including slow drivers such as soil moisture alongside circulation patterns. Consequently, we are going to discuss ways of adjusting the distance metric of the analog Markov chain and dimensionality reduction techniques such as EOFs and variational auto encoder. By choosing the correct combination of weighted variables in the Euclidean metric and using analogs of only 100 years and generating long synthetic sequences we are able to</w:t>
      </w:r>
    </w:p>
    <w:p>
      <w:pPr/>
      <w:r>
        <w:rPr>
          <w:b/>
        </w:rPr>
        <w:t>POSSIBLE 2023:</w:t>
      </w:r>
      <w:r>
        <w:t xml:space="preserve"> ALGEBRA OF SOCIAL PHENOMENA — https://doi.org/10.30525/2500-946x/2023-4-15</w:t>
      </w:r>
    </w:p>
    <w:p>
      <w:pPr/>
      <w:r>
        <w:rPr>
          <w:b/>
        </w:rPr>
        <w:t>Shared claim-specific concepts:</w:t>
      </w:r>
      <w:r>
        <w:t xml:space="preserve"> able, phenomena, develop, authors, also; EU scope not established. This is a provisional connection, not an outcome finding.</w:t>
      </w:r>
    </w:p>
    <w:p>
      <w:pPr>
        <w:pStyle w:val="SourceNote"/>
      </w:pPr>
      <w:r>
        <w:rPr>
          <w:b/>
        </w:rPr>
        <w:t>Available abstract (not full text):</w:t>
      </w:r>
      <w:r>
        <w:t xml:space="preserve"> The characteristics of modern societies are central to discussions of various types of policy (social, economic, etc.) and are often seen as predictors of socio-economic processes. Any society can be studied through the lens of social phenomena. Hence, it seems fair to assume that the better one understands the nature of social matter and its impact on various processes, the better one's decisions will be able to meet today's challenges. The purpose of this paper is to explain and present the new framework for measuring social phenomena in the form of an algebra based on the definition of social phenomenon, its components, rationality and mathematical logic. Methodology. Using the example of social cohesion, the paper examines the current fundamental methodological approaches to interpreting the definition and, consequently, measuring social phenomena. In this paper, the authors use an analogy with probability space and event algebra to develop their mathematical method. As a result, the article presents and explains the basic terms of the algebra of social phenomena that make up the new concept. Practical implications. The authors' approach to formalisation provides a tool for deriving the measure of a complex phenomenon from the measures of its components (simple phenomena), as demonstrated in the example. Thus, this study enriches the range of methods suitable for deepening </w:t>
      </w:r>
    </w:p>
    <w:p>
      <w:pPr/>
      <w:r>
        <w:rPr>
          <w:b/>
        </w:rPr>
        <w:t>POSSIBLE 2022:</w:t>
      </w:r>
      <w:r>
        <w:t xml:space="preserve"> NeuroAI - A strategic opportunity for Norway and Europe — https://doi.org/10.5617/nmi.9950</w:t>
      </w:r>
    </w:p>
    <w:p>
      <w:pPr/>
      <w:r>
        <w:rPr>
          <w:b/>
        </w:rPr>
        <w:t>Shared claim-specific concepts:</w:t>
      </w:r>
      <w:r>
        <w:t xml:space="preserve"> order, able, predict; EU scope visible. This is a provisional connection, not an outcome finding.</w:t>
      </w:r>
    </w:p>
    <w:p>
      <w:pPr>
        <w:pStyle w:val="SourceNote"/>
      </w:pPr>
      <w:r>
        <w:rPr>
          <w:b/>
        </w:rPr>
        <w:t>Available abstract (not full text):</w:t>
      </w:r>
      <w:r>
        <w:t xml:space="preserve"> At an energy consumption of merely 20 watts, the brain is able to learn, perceive its surroundings, analyze solutions, predict the future and choose actions in a much more general way than any computer algorithm and infrastructure. NeuroAI, an emerging field at the intersection of brain sciences and artificial intelligence, is expected to become a large research field in the years to come. The main promise of NeuroAI is that by understanding how the brain and biological neural networks compute, it will be possible to identify the key components of human intelligence in order to drive the development of a more energy-efficient and flexible artificial intelligence (AI) that will match, perhaps even surpass, human intelligence. NeuroAI is a truly multidisciplinary effort, spanning across several disciplines such as computer science, neuroscience, psychology, philosophy, linguistics, law and ethics. Norway has unique world-class expertise in brain sciences, and a fast growing, well-organized AI community at the highest international level. In this opinion article, we argue that Norway has competitive advantages within NeuroAI, and that Norway has the ideal ecosystem to take a leading role in NeuroAI initiatives in Europe. Norwegian investments in NeuroAI may be a strategic initiative to position Norway in the forefront of AI research worldwide.</w:t>
      </w:r>
    </w:p>
    <w:p>
      <w:pPr/>
      <w:r>
        <w:rPr>
          <w:b/>
        </w:rPr>
        <w:t>POSSIBLE 2022:</w:t>
      </w:r>
      <w:r>
        <w:t xml:space="preserve"> Predicting potential wildfire severity across Southern Europe with global data sources — https://doi.org/10.1016/j.scitotenv.2022.154729</w:t>
      </w:r>
    </w:p>
    <w:p>
      <w:pPr/>
      <w:r>
        <w:rPr>
          <w:b/>
        </w:rPr>
        <w:t>Shared claim-specific concepts:</w:t>
      </w:r>
      <w:r>
        <w:t xml:space="preserve"> able, predict, develop, they, potential; EU scope visible. This is a provisional connection, not an outcome finding.</w:t>
      </w:r>
    </w:p>
    <w:p>
      <w:pPr>
        <w:pStyle w:val="SourceNote"/>
      </w:pPr>
      <w:r>
        <w:rPr>
          <w:b/>
        </w:rPr>
        <w:t>Available abstract (not full text):</w:t>
      </w:r>
      <w:r>
        <w:t xml:space="preserve"> The large environmental and socioeconomic impacts of wildfires in Southern Europe require the development of efficient generalizable tools for fire danger analysis and proactive environmental management. With this premise, we aimed to study the influence of different environmental variables on burn severity, as well as to develop accurate and generalizable models to predict burn severity. To address these objectives, we selected 23 wildfires (131,490 ha) across Southern Europe. Using satellite imagery and geospatial data available at the planetary scale, we spatialized burn severity as well as 20 pre-burn environmental variables, which were grouped into climatic, topographic, fuel load-type, fuel load-moisture and fuel continuity predictors. We sampled all variables and divided the data into three independent datasets: a training dataset, used to perform univariant regression models, random forest (RF) models by groups of variables, and RF models including all predictors (full and parsimonious models); a second dataset to analyze interpolation capacity within the training wildfires; and a third dataset to study extrapolation capacity to independent wildfires. Results showed that all environmental variables determined burn severity, which increased towards the mildest climatic conditions, sloping terrain, high fuel loads, and coniferous vegetation. In general, the highest predic</w:t>
      </w:r>
    </w:p>
    <w:p>
      <w:pPr/>
      <w:r>
        <w:rPr>
          <w:b/>
        </w:rPr>
        <w:t>POSSIBLE 2022:</w:t>
      </w:r>
      <w:r>
        <w:t xml:space="preserve"> Model order reduction for bifurcating phenomena in fluid‐structure interaction problems — https://doi.org/10.1002/fld.5118</w:t>
      </w:r>
    </w:p>
    <w:p>
      <w:pPr/>
      <w:r>
        <w:rPr>
          <w:b/>
        </w:rPr>
        <w:t>Shared claim-specific concepts:</w:t>
      </w:r>
      <w:r>
        <w:t xml:space="preserve"> order, phenomena; EU scope not established. This is a provisional connection, not an outcome finding.</w:t>
      </w:r>
    </w:p>
    <w:p>
      <w:pPr>
        <w:pStyle w:val="SourceNote"/>
      </w:pPr>
      <w:r>
        <w:rPr>
          <w:b/>
        </w:rPr>
        <w:t>Available abstract (not full text):</w:t>
      </w:r>
      <w:r>
        <w:t xml:space="preserve"> This work explores the development and the analysis of an efficient reduced order model for the study of a bifurcating phenomenon, known as the Coandă effect, in a multi-physics setting involving fluid and solid media. Taking into consideration a fluid-structure interaction problem, we aim at generalizing previous works towards a more reliable description of the physics involved. In particular, we provide several insights on how the introduction of an elastic structure influences the bifurcating behavior. We have addressed the computational burden by developing a reduced order branch-wise algorithm based on a monolithic proper orthogonal decomposition. We compared different constitutive relations for the solid, and we observed that a nonlinear hyper-elastic law delays the bifurcation w.r.t. the standard model, while the same effect is even magnified when considering linear elastic solid.</w:t>
      </w:r>
    </w:p>
    <w:p>
      <w:pPr/>
      <w:r>
        <w:rPr>
          <w:b/>
        </w:rPr>
        <w:t>POSSIBLE 2022:</w:t>
      </w:r>
      <w:r>
        <w:t xml:space="preserve"> Review of degradation and failure phenomena in photovoltaic modules — https://doi.org/10.1016/j.rser.2022.112160</w:t>
      </w:r>
    </w:p>
    <w:p>
      <w:pPr/>
      <w:r>
        <w:rPr>
          <w:b/>
        </w:rPr>
        <w:t>Shared claim-specific concepts:</w:t>
      </w:r>
      <w:r>
        <w:t xml:space="preserve"> order, phenomena, they; EU scope not established. This is a provisional connection, not an outcome finding.</w:t>
      </w:r>
    </w:p>
    <w:p>
      <w:pPr>
        <w:pStyle w:val="SourceNote"/>
      </w:pPr>
      <w:r>
        <w:rPr>
          <w:b/>
        </w:rPr>
        <w:t>Available abstract (not full text):</w:t>
      </w:r>
      <w:r>
        <w:t xml:space="preserve"> The degradation of photovoltaic (PV) systems is one of the key factors to address in order to reduce the cost of the electricity produced by increasing the operational lifetime of PV systems. To reduce the degradation, it is imperative to know the degradation and failure phenomena. This review article has been prepared to present an overview of the state-of-the-art knowledge on the reliability of PV modules. Whilst the most common technology today is mono- and multi-crystalline silicon, this article aims to give a generic summary which is relevant for a wider range of photovoltaic technologies including cadmium telluride, copper indium gallium selenide and emerging low-cost high-efficiency technologies. The review consists of three parts: firstly, a brief contextual summary about reliability metrics and how reliability is measured. Secondly, a summary of the main stress factors and how they influence module degradation. Finally, a detailed review of degradation and failure modes, which has been partitioned by the individual component within a PV module. This section connects the degradation phenomena and failure modes to the module component, and its effects on the PV system. Building on this knowledge, strategies to improve the operational lifetime of PV systems and thus, to reduce the electricity cost can be devised. Through extensive testing and failure analysis, researchers</w:t>
      </w:r>
    </w:p>
    <w:p>
      <w:pPr/>
      <w:r>
        <w:rPr>
          <w:b/>
        </w:rPr>
        <w:t>POSSIBLE 2022:</w:t>
      </w:r>
      <w:r>
        <w:t xml:space="preserve"> Conceptualizing Emotion Regulation and Coregulation as Family-Level Phenomena — https://doi.org/10.1007/s10567-022-00378-4</w:t>
      </w:r>
    </w:p>
    <w:p>
      <w:pPr/>
      <w:r>
        <w:rPr>
          <w:b/>
        </w:rPr>
        <w:t>Shared claim-specific concepts:</w:t>
      </w:r>
      <w:r>
        <w:t xml:space="preserve"> phenomena, they, also; EU scope not established. This is a provisional connection, not an outcome finding.</w:t>
      </w:r>
    </w:p>
    <w:p>
      <w:pPr>
        <w:pStyle w:val="SourceNote"/>
      </w:pPr>
      <w:r>
        <w:rPr>
          <w:b/>
        </w:rPr>
        <w:t>Available abstract (not full text):</w:t>
      </w:r>
      <w:r>
        <w:t xml:space="preserve"> The ability to regulate one's emotions is foundational for healthy development and functioning in a multitude of domains, whereas difficulties in emotional regulation are recognized as a risk factor for a range of adverse outcomes in childhood, adolescence, and adulthood. Caregivers play a key role in cultivating the development of emotion regulation through coregulation, or the processes by which they provide external support or scaffolding as children navigate their emotional experiences. The vast majority of research to date has examined coregulation in the context of caregiver-child dyads. In this paper, we consider emotion regulation and coregulation as family-level processes that unfold within and across multiple family subsystems and explore how triadic and whole family interactions may contribute to the development of children's emotion regulation skills. Furthermore, we will examine the implications of a family-centered perspective on emotion regulation for prevention of and intervention for childhood emotional and behavioral disorders. Because emotion regulation skills undergo such dramatic maturation during children's first several years of life, much of our focus will be on coregulation within and across the family system during early childhood; however, as many prevention and intervention approaches are geared toward school-aged children and adolescents, we will al</w:t>
      </w:r>
    </w:p>
    <w:p>
      <w:pPr/>
      <w:r>
        <w:rPr>
          <w:b/>
        </w:rPr>
        <w:t>POSSIBLE 2022:</w:t>
      </w:r>
      <w:r>
        <w:t xml:space="preserve"> A Reduced Order Model based on Artificial Neural Networks for nonlinear aeroelastic phenomena and application to composite material beams — https://doi.org/10.1016/j.compstruct.2022.115845</w:t>
      </w:r>
    </w:p>
    <w:p>
      <w:pPr/>
      <w:r>
        <w:rPr>
          <w:b/>
        </w:rPr>
        <w:t>Shared claim-specific concepts:</w:t>
      </w:r>
      <w:r>
        <w:t xml:space="preserve"> order, phenomena, potential; EU scope not established. This is a provisional connection, not an outcome finding.</w:t>
      </w:r>
    </w:p>
    <w:p>
      <w:pPr>
        <w:pStyle w:val="SourceNote"/>
      </w:pPr>
      <w:r>
        <w:rPr>
          <w:b/>
        </w:rPr>
        <w:t>Available abstract (not full text):</w:t>
      </w:r>
      <w:r>
        <w:t xml:space="preserve"> Applications of composite materials in industry have increased due to their high stiffness-to-weight ratio. In the particular case of unidirectional fibers or perpendicular fabrics, the materials behavior is orthotropic, so that an extra degree of freedom, related to the orientation of the fibers, must be included in the structural optimization. Composite material thin walled beam models have been developed for reducing the computational cost of the simulations. Traditionally, these models have been coupled with potential aerodynamics to calculate the aeroelastic response, and thus, the viscous nonlinear effects have been omitted. In order to capture these effects, this manuscript focus on the development of a Reduced Order Model enhanced by an Artificial Neural Network for the analysis of composite structures under aerodynamic loads. The presented methodology shows the training process of the neural network, the comparison with high fidelity simulations and the design optimization of a carbon fiber laminated foam beam. It is demonstrated that the model reduces the computational cost by orders of magnitude, while still capturing structural couplings and being capable of increasing the flutter velocity by more than 10% with respect to the longitudinal orientation.</w:t>
      </w:r>
    </w:p>
    <w:p>
      <w:pPr/>
      <w:r>
        <w:rPr>
          <w:b/>
        </w:rPr>
        <w:t>POSSIBLE 2022:</w:t>
      </w:r>
      <w:r>
        <w:t xml:space="preserve"> A Framework for European Thought on Psychology, Education, and Health Based on Foucault’s The Order of Things — https://doi.org/10.3390/histories2030018</w:t>
      </w:r>
    </w:p>
    <w:p>
      <w:pPr/>
      <w:r>
        <w:rPr>
          <w:b/>
        </w:rPr>
        <w:t>Shared claim-specific concepts:</w:t>
      </w:r>
      <w:r>
        <w:t xml:space="preserve"> order, phenomena, potential; EU scope visible. This is a provisional connection, not an outcome finding.</w:t>
      </w:r>
    </w:p>
    <w:p>
      <w:pPr>
        <w:pStyle w:val="SourceNote"/>
      </w:pPr>
      <w:r>
        <w:rPr>
          <w:b/>
        </w:rPr>
        <w:t>Available abstract (not full text):</w:t>
      </w:r>
      <w:r>
        <w:t xml:space="preserve"> In European thought, the relationship among the fields of psychology, education, and health is both complex and obscured. Foucault’s acclaimed work, The Order of Things, offers a framework to evaluate their interconnection by identifying three distinct periods of European thought since the 16th century with respect to the ordering of phenomena—Renaissance, Classical and Modern. Theoretically dense and often difficult to decipher, the book’s categorization of language, value and being has been understandably underused, yet it provides deep insights into what have come to be known as psychology, education and health and remains invaluable in understanding the origin, limits and consequences of these fields. How Foucault’s analysis can be interpreted concerning the development of these areas as to each of the three periods of European thought is investigated. An approach based on narrative research appraises the analysis offered in the book. The results, presented for the first time in table form, compare these three periods, demonstrating a continuing practical value to Foucault’s insights. With the aid of the framework revealed by these tables, the boundaries and relationship of psychology, education and health become clear and their limitations—plus potential solutions to them—can be identified to mitigate anticipated negative consequences.</w:t>
      </w:r>
    </w:p>
    <w:p>
      <w:pPr>
        <w:pStyle w:val="Heading2"/>
      </w:pPr>
      <w:r>
        <w:t>604.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bioenergy, provide, mitigation;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Bioenergy and Waste — https://doi.org/10.1007/978-3-031-69856-9_6</w:t>
      </w:r>
    </w:p>
    <w:p>
      <w:pPr/>
      <w:r>
        <w:rPr>
          <w:b/>
        </w:rPr>
        <w:t>Shared claim-specific concepts:</w:t>
      </w:r>
      <w:r>
        <w:t xml:space="preserve"> bioenergy; EU scope not established. This is a provisional connection, not an outcome finding.</w:t>
      </w:r>
    </w:p>
    <w:p>
      <w:pPr>
        <w:pStyle w:val="SourceNote"/>
      </w:pPr>
      <w:r>
        <w:rPr>
          <w:b/>
        </w:rPr>
        <w:t>Available abstract (not full text):</w:t>
      </w:r>
      <w:r>
        <w:t xml:space="preserve"> Abstract A significant proportion of the decarbonization occurring in energy production is based on solar and wind energy. However, biomass also retains its place in the energy palette. This chapter presents an analysis of the technologies and sustainable levels of using biomass and waste for energy, as well as bioenergy carbon capture and storage applications. Furthermore, the chapter addresses the production of materials and chemicals in a manner that is supportive of the achievement of both climate and nature conservation goals. The chapter ultimately concludes that the sustainable utilization of biomass is constrained by its substantial land area requirements and subsequent adverse impacts on the natural environment. The growing population (forecast to stabilize at approximately 10–11 billion by 2030, from 8 billion in 2024) presents a challenge to current systems of production for food, energy, and materials. Given that most of the terrestrial world has already been impacted by human activities, there is a limited opportunity for further expansion. This necessitates the identification of more cost-effective land uses to meet our needs and the implementation of circular economy solutions to reduce the demand for virgin materials. Biomass represents a natural chemical storage of solar energy, and biomass and derived biofuels can be employed, for instance, to balance the vari</w:t>
      </w:r>
    </w:p>
    <w:p>
      <w:pPr/>
      <w:r>
        <w:rPr>
          <w:b/>
        </w:rPr>
        <w:t>POSSIBLE 2024:</w:t>
      </w:r>
      <w:r>
        <w:t xml:space="preserve"> Water use in a sustainable net zero energy system: what are the implications of employing bioenergy with carbon capture and storage? — https://doi.org/10.54337/ijsepm.8159</w:t>
      </w:r>
    </w:p>
    <w:p>
      <w:pPr/>
      <w:r>
        <w:rPr>
          <w:b/>
        </w:rPr>
        <w:t>Shared claim-specific concepts:</w:t>
      </w:r>
      <w:r>
        <w:t xml:space="preserve"> bioenergy, mitigation, needed, use, integrated, assessment; EU scope not established. This is a provisional connection, not an outcome finding.</w:t>
      </w:r>
    </w:p>
    <w:p>
      <w:pPr>
        <w:pStyle w:val="SourceNote"/>
      </w:pPr>
      <w:r>
        <w:rPr>
          <w:b/>
        </w:rPr>
        <w:t>Available abstract (not full text):</w:t>
      </w:r>
      <w:r>
        <w:t xml:space="preserve"> Net zero emissions of the global energy and land systems are needed to keep the temperature increase to the 1.5 degrees limit by 2100 as per the Paris Agreement (PA). Furthermore, updated Nationally Determined Contributions (NDCs) now include a net zero target by 2050 or until 2070. These climate policies require rapid technological development towards renewable energy and low carbon emission technologies like nuclear and carbon capture and storage. However, this transition is water intensive as water is needed in power plants cooling, gasification, carbon capture, hydroelectricity, or emission control. In this study, the focus is done on the first three by using an integrated assessment model TIAM-FR. It is based on techno-economic linear optimization and includes a water allocation module. Under two climate scenarios, the energy mixes of the world energy system are scrutinized. The results show that achieving net zero requires renewable energy mainly but would use bioenergy with carbon capture and storage. For the 2018-2100 period, water consumption increases by 100.5% for a 1.5-degree pathway whereas an NDC pathway increases it by 135%. The comparative analysis asses the choice of mitigation solutions with respect to regional water scarcity. At the end, a discussion on the relevant sustainable development goals (2, 6, 7, 13, 15) is presented.</w:t>
      </w:r>
    </w:p>
    <w:p>
      <w:pPr/>
      <w:r>
        <w:rPr>
          <w:b/>
        </w:rPr>
        <w:t>POSSIBLE 2024:</w:t>
      </w:r>
      <w:r>
        <w:t xml:space="preserve"> Expert insights into future trajectories: assessing cost reductions and scalability of carbon dioxide removal technologies — https://doi.org/10.3389/fclim.2024.1331901</w:t>
      </w:r>
    </w:p>
    <w:p>
      <w:pPr/>
      <w:r>
        <w:rPr>
          <w:b/>
        </w:rPr>
        <w:t>Shared claim-specific concepts:</w:t>
      </w:r>
      <w:r>
        <w:t xml:space="preserve"> bioenergy, gtco2, deployment; EU scope visible. This is a provisional connection, not an outcome finding.</w:t>
      </w:r>
    </w:p>
    <w:p>
      <w:pPr>
        <w:pStyle w:val="SourceNote"/>
      </w:pPr>
      <w:r>
        <w:rPr>
          <w:b/>
        </w:rPr>
        <w:t>Available abstract (not full text):</w:t>
      </w:r>
      <w:r>
        <w:t xml:space="preserve"> Introduction To achieve net-zero targets, it is essential to evaluate and model the costs and scalability of emerging carbon dioxide removal technologies like direct air capture with CO2 storage (DACCS) and bioenergy with carbon capture and storage (BECCS). Yet such efforts are often impeded by varying assessments of the climate impact and potential contributions of these technologies. This study explores the future costs and scalability of DACCS and BECCS to advance net-zero goals. Methods We analyze expert opinions on these technologies’ potential costs and deployment scales for 2030, 2040, and 2050. Data was collected from 34 experts, comprising 21 DACCS and 13 BECCS specialists. They provided 90% confidence interval estimates and ‘best estimates’ for future costs and deployment under two International Energy Agency (IEA) policy scenarios—Stated Policies (STEPS) and Net Zero Emissions by 2050 (NZE). Results We find that BECCS costs start at a lower level but decrease more slowly, whereas DACCS costs decline more steeply from a higher initial cost. However, DACCS estimates varied significantly among experts, showing no convergence over time. Regarding potential scalability, both technologies are associated with substantially higher deployment under the NZE scenario. Yet the combined estimated capacity of DACCS and BECCS by 2050 is only about a quarter of the CO2 removals proj</w:t>
      </w:r>
    </w:p>
    <w:p>
      <w:pPr/>
      <w:r>
        <w:rPr>
          <w:b/>
        </w:rPr>
        <w:t>POSSIBLE 2024:</w:t>
      </w:r>
      <w:r>
        <w:t xml:space="preserve"> Bioenergy in Europe is unlikely to make a timely contribution to climate change targets — https://doi.org/10.1088/1748-9326/ad2d11</w:t>
      </w:r>
    </w:p>
    <w:p>
      <w:pPr/>
      <w:r>
        <w:rPr>
          <w:b/>
        </w:rPr>
        <w:t>Shared claim-specific concepts:</w:t>
      </w:r>
      <w:r>
        <w:t xml:space="preserve"> bioenergy, overall, use, integrated; EU scope visible. This is a provisional connection, not an outcome finding.</w:t>
      </w:r>
    </w:p>
    <w:p>
      <w:pPr>
        <w:pStyle w:val="SourceNote"/>
      </w:pPr>
      <w:r>
        <w:rPr>
          <w:b/>
        </w:rPr>
        <w:t>Available abstract (not full text):</w:t>
      </w:r>
      <w:r>
        <w:t xml:space="preserve"> Abstract Increasing bioenergy production is a significant component of European efforts to mitigate climate change, but has contested potential for reducing emissions. We use an integrated land system model to explore the effects of large-scale bioenergy production within the European Union on carbon balances. We find that increased bioenergy crop production is likely to cause substantial deforestation and a commensurate loss of associated carbon stocks largely due to displacement of food production from other areas. Deforestation would occur either within the EU if European forests were not protected, or in other parts of the world arising from indirect land use change if European forests were protected. The net carbon benefit of bioenergy production is largely negative, or uncertain, even under the most optimistic levels of fossil fuel replacement, and will not offset initial carbon losses over the coming 50 yr. The growth of intensive agriculture required to satisfy the demand for bioenergy and food will have negative impacts on crucial ecosystem services. Overall, we identify substantial disadvantages to increasing bioenergy production relative to freeing land for natural succession. At best, large-scale bioenergy production is likely to be irrelevant to time-sensitive climate targets.</w:t>
      </w:r>
    </w:p>
    <w:p>
      <w:pPr/>
      <w:r>
        <w:rPr>
          <w:b/>
        </w:rPr>
        <w:t>POSSIBLE 2024:</w:t>
      </w:r>
      <w:r>
        <w:t xml:space="preserve"> Sustainable bioenergy contributes to cost-effective climate change mitigation in China — https://doi.org/10.1016/j.isci.2024.110232</w:t>
      </w:r>
    </w:p>
    <w:p>
      <w:pPr/>
      <w:r>
        <w:rPr>
          <w:b/>
        </w:rPr>
        <w:t>Shared claim-specific concepts:</w:t>
      </w:r>
      <w:r>
        <w:t xml:space="preserve"> bioenergy, provide, mitigation, integrated, regional; EU scope not established. This is a provisional connection, not an outcome finding.</w:t>
      </w:r>
    </w:p>
    <w:p>
      <w:pPr>
        <w:pStyle w:val="SourceNote"/>
      </w:pPr>
      <w:r>
        <w:rPr>
          <w:b/>
        </w:rPr>
        <w:t>Available abstract (not full text):</w:t>
      </w:r>
      <w:r>
        <w:t xml:space="preserve"> Bioenergy development is critical for achieving carbon neutrality. Biomass residues from agriculture, forest, and livestock manure provide substantial bioenergy resources in China, but their availability, climate, and economic impacts have not been evaluated systematically. Here we assess biomass sustainability, bioenergy potential, greenhouse gas emissions (GHG) reduction, and cost-effectiveness using an integrated data-modeling approach. Nationally, only 27% of biomass can be used for sustainable bioenergy production, but can contribute to significant climate change mitigation with optimized regional utilization. The annual GHG reduction can reach 1.0 Gt CO 2 e for bioenergy, or 1.4 Gt CO 2 e for bioenergy with carbon capture and storage (BECCS), which is comparable to total terrestrial ecosystem carbon sinks in China. The abatement cost varies regionally but is lower than many other carbon removal technologies. Our findings reveal region-specific bioenergy pathways that contribute to carbon neutrality, and encourage future assessments to explore factors including technological advances and carbon markets.</w:t>
      </w:r>
    </w:p>
    <w:p>
      <w:pPr/>
      <w:r>
        <w:rPr>
          <w:b/>
        </w:rPr>
        <w:t>POSSIBLE 2024:</w:t>
      </w:r>
      <w:r>
        <w:t xml:space="preserve"> Life cycle assessment and techno-economic analysis of sustainable bioenergy production: a review — https://doi.org/10.1007/s10311-023-01694-z</w:t>
      </w:r>
    </w:p>
    <w:p>
      <w:pPr/>
      <w:r>
        <w:rPr>
          <w:b/>
        </w:rPr>
        <w:t>Shared claim-specific concepts:</w:t>
      </w:r>
      <w:r>
        <w:t xml:space="preserve"> bioenergy, use, assessment; EU scope not established. This is a provisional connection, not an outcome finding.</w:t>
      </w:r>
    </w:p>
    <w:p>
      <w:pPr>
        <w:pStyle w:val="SourceNote"/>
      </w:pPr>
      <w:r>
        <w:rPr>
          <w:b/>
        </w:rPr>
        <w:t>Available abstract (not full text):</w:t>
      </w:r>
      <w:r>
        <w:t xml:space="preserve"> Abstract The global expansion of the bioenergy industry raises concerns, emphasizing the need for careful evaluation and sustainable management. To facilitate this, life cycle assessments beyond greenhouse gas emissions and energy balance are essential, along with the standardization of assessment methodologies to enable meaningful comparisons. Here, we review life cycle assessment, chemical aspects, and policy implication of bioenergy production. We discuss life cycle assessment in terms of concepts, methods, impacts, greenhouse gases, land use, water consumption, bioethanol, biodiesel, biogas, and techno-economic analysis. Chemical aspects comprise reaction processes and means to improve efficiency. Concerning policies, tools, and frameworks that encourage sustainable energy production are presented. We found that carbon dioxide removal ranges from 45 to 99% in various bioenergy processes. The review also emphasizes the importance of chemistry in advancing sustainable bioenergy production for a more sustainable and secure energy future.</w:t>
      </w:r>
    </w:p>
    <w:p>
      <w:pPr/>
      <w:r>
        <w:rPr>
          <w:b/>
        </w:rPr>
        <w:t>POSSIBLE 2023:</w:t>
      </w:r>
      <w:r>
        <w:t xml:space="preserve"> Potential of land-based climate change mitigation strategies on abandoned cropland — https://doi.org/10.1038/s43247-023-00696-7</w:t>
      </w:r>
    </w:p>
    <w:p>
      <w:pPr/>
      <w:r>
        <w:rPr>
          <w:b/>
        </w:rPr>
        <w:t>Shared claim-specific concepts:</w:t>
      </w:r>
      <w:r>
        <w:t xml:space="preserve"> bioenergy, overall, mitigation, deployment; EU scope not established. This is a provisional connection, not an outcome finding.</w:t>
      </w:r>
    </w:p>
    <w:p>
      <w:pPr>
        <w:pStyle w:val="SourceNote"/>
      </w:pPr>
      <w:r>
        <w:rPr>
          <w:b/>
        </w:rPr>
        <w:t>Available abstract (not full text):</w:t>
      </w:r>
      <w:r>
        <w:t xml:space="preserve"> Abstract Natural revegetation, afforestation, and lignocellulosic crops for bioenergy, possibly coupled with a developing technology like carbon capture and storage, are the most common land-based climate change mitigation options. However, they can compete for land and threaten food security or nature conservation. Using abandoned cropland for their deployment can minimize these risks, but associated potentials are unclear. Here, we compare alternative land-based mitigation options by integrating historical and future (up to 2050) abandoned cropland with site-specific biomass yields and life-cycle emissions. Considering natural revegetation in biodiversity priority areas and different measures in the remaining land can achieve a mitigation potential of 0.8–4.0 GtCO2-equivalents yr−1 (2–11% of 2021 global CO2 emissions). Afforestation generally provides larger climate benefits than bioenergy, but bioenergy with carbon capture and storage delivers the highest mitigation in most locations. Overall, these results offer refined estimates of mitigation potentials from abandoned cropland and highlight opportunities for context-specific mitigation measures.</w:t>
      </w:r>
    </w:p>
    <w:p>
      <w:pPr/>
      <w:r>
        <w:rPr>
          <w:b/>
        </w:rPr>
        <w:t>POSSIBLE 2023:</w:t>
      </w:r>
      <w:r>
        <w:t xml:space="preserve"> Capacity gaps in land-based mitigation technologies and practices: A first stock take — https://doi.org/10.1016/j.landusepol.2023.106888</w:t>
      </w:r>
    </w:p>
    <w:p>
      <w:pPr/>
      <w:r>
        <w:rPr>
          <w:b/>
        </w:rPr>
        <w:t>Shared claim-specific concepts:</w:t>
      </w:r>
      <w:r>
        <w:t xml:space="preserve"> bioenergy, mitigation, use, regional; EU scope visible. This is a provisional connection, not an outcome finding.</w:t>
      </w:r>
    </w:p>
    <w:p>
      <w:pPr>
        <w:pStyle w:val="SourceNote"/>
      </w:pPr>
      <w:r>
        <w:rPr>
          <w:b/>
        </w:rPr>
        <w:t>Available abstract (not full text):</w:t>
      </w:r>
      <w:r>
        <w:t xml:space="preserve"> Land-based mitigation technologies and practices (LMTs) reduce GHG emissions associated with land use and/or enhance terrestrial GHG sinks. This article investigates capacity gaps to successfully facilitate LMT adoption and/or scaling in the regions of Latin America, Europe, North America, sub-Saharan Africa and Southeast Asia. We look at LMTs such as agricultural land management, agroforestry, bioenergy with carbon capture and storage (BECCS), biochar, forest management, and peat/wetland management. We used a triangulation method based on literature review, an online survey, and semi-structured interviews with experts from Academia, Industry, NGOs, Local Communities and Government, to capture and analyze the most prominent capacity gaps by LMT and according to regional contexts. This approach identified ‘understanding’, ‘awareness’ and ‘economic/finance’ as the most important capacity gaps when it comes to LMT adoption and scaling across the aforementioned regions. A recommended first step for increased LMT adoption would be to address the knowledge and understanding capacity gaps, which, in turn, could help make LMTs more attractive to stakeholders. Policymakers in cooperation with other stakeholders might reflect on dedicated support policies and regulatory frameworks that level the playing field for LMTs (as compared to mitigation technologies and practices in energy and ot</w:t>
      </w:r>
    </w:p>
    <w:p>
      <w:pPr>
        <w:pStyle w:val="Heading2"/>
      </w:pPr>
      <w:r>
        <w:t>605.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r>
        <w:rPr>
          <w:b/>
        </w:rPr>
        <w:t>POSSIBLE 2025:</w:t>
      </w:r>
      <w:r>
        <w:t xml:space="preserve"> European Green Deal Index: A new composite tool for monitoring European Union's Green Deal strategy — https://doi.org/10.1016/j.jclepro.2025.145077</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The European Green Deal and the democratic imagination — https://doi.org/10.1080/07036337.2025.2455686</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2024:</w:t>
      </w:r>
      <w:r>
        <w:t xml:space="preserve"> Objectives of the European Green Deal — https://doi.org/10.4324/9781003486732-8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The European Green Deal is a package of policy initiatives aimed at setting the European Union (EU) on a path towards a green transition, with the ultimate goal of achieving climate neutrality by 2050. The European Green Deal was adopted on December 11, 2019. It aims to make Europe the first climate-neutral continent by 2050. In addition, it provides for accelerating economic growth, improving human health and well-being, and caring for the natural environment. The Green Deal is a new all-encompassing growth strategy that aims to rebalance the EU economy and create sustainable industry and transport. The European Climate Law will aim to turn this political commitment into a legal one. The Green Deal is a step towards a more holistic and integrated approach to climate and environmental challenges. It also tries to mainstream environmental policy by combining and enhancing several existing policies, initiatives, and funding programs dedicated to tackling sustainability and climate change issues. The key elements of the European Green Deal were remodeled into a package of new strategies adopted by the European Commission.</w:t>
      </w:r>
    </w:p>
    <w:p>
      <w:pPr/>
      <w:r>
        <w:rPr>
          <w:b/>
        </w:rPr>
        <w:t>POSSIBLE 2023:</w:t>
      </w:r>
      <w:r>
        <w:t xml:space="preserve"> The European Green Deal: Challenges and opportunities for the Southern Mediterranean — https://doi.org/10.1080/13629395.2023.2237295</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The European Green Deal (EGD) marked the commitment of the European Union (EU) to a carbon-free, socially inclusive economic system. Even if conceived as an essentially domestic growth strategy, the EGD is inspiring EU diplomacy, as economic cooperation will be needed to realize the EGD’s ambitious vision. This profile aims to investigate and reflect on the potential implications of the EGD for the countries in the EU’s Southern Neighbourhood, especially in the energy sector, agriculture and food system, trade in raw materials, climate action, and circular economy. We expect the EGD to result in an increased investment in renewable energy, a reduction in emissions, green diplomacy, and funding opportunities for green projects and green infrastructures. The EGD brings with it attractive opportunities for a better cooperation on climate action and opportunities for job creation, green growth, and sustainable development. We believe that the EGD has the potential to be a win–win deal for the EU and its Southern Neighbours, with the EU goal to supply green inputs and of creating a market for green products.</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r>
        <w:rPr>
          <w:b/>
        </w:rPr>
        <w:t>POSSIBLE 2023:</w:t>
      </w:r>
      <w:r>
        <w:t xml:space="preserve"> The European (Green?) Deal: a systematic analysis of environmental sustainability — https://doi.org/10.1002/sd.2671</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Abstract Transitioning towards a sustainable society is at the core of public planning in the EU through the European Green Deal (EGD). However, is the EGD a master plan for actual sustainable development in the EU? This work aims to answer this question through an analysis of the environmental sustainability within the EGD's plans through the method of critical discourse analysis, and discussing the results with previous efforts for sustainable development in the EU and in the UN. The results of the analysis identify fundamental flaws in the environmental sustainability of the EGD, which seems to repeat mistakes of previous efforts for sustainability planning in the EU. This work concludes that economic growth is the predominant focus in public planning and that the EGD needs a review of various environmental aspects to be considered the master plan for a transition towards a sustainable EU.</w:t>
      </w:r>
    </w:p>
    <w:p>
      <w:pPr/>
      <w:r>
        <w:rPr>
          <w:b/>
        </w:rPr>
        <w:t>POSSIBLE 2023:</w:t>
      </w:r>
      <w:r>
        <w:t xml:space="preserve"> Mapping the social dimension of the European Green Deal — https://doi.org/10.1177/13882627231208698</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The European Green Deal calls for various economic reforms that will deeply disrupt the social order of European societies. As the European Commission makes very clear in its communications on the EGD, societal support for the profound changes that will inevitably accompany a ‘green transition’ hinges on social inclusion of stakeholders and social groups. This article aims to identify the social policy instruments proposed by the EGD to address the social implications of its ‘green transition’, and to explore how they relate to societal expectations. Analytically, it distinguishes between protective (redistributive) and productive (economy-oriented) social policy and argues that democratic social inclusion – which the European Commission strives to achieve – requires protective social policy. Empirically, the paper analyzes a) the socio-political instruments set out in the EGD and b) public statements made by a range of European-level actors who participated in the debates on the EGD. Our findings show that productive social policy prevails in the EGD's proposed instruments and in stakeholders’ demands, but that there are also vague indications of a more nuanced concept of social inclusion that acknowledges social conflict.</w:t>
      </w:r>
    </w:p>
    <w:p>
      <w:pPr/>
      <w:r>
        <w:rPr>
          <w:b/>
        </w:rPr>
        <w:t>POSSIBLE 2023:</w:t>
      </w:r>
      <w:r>
        <w:t xml:space="preserve"> Making the European Green Deal Work — https://doi.org/10.4324/9781003246985</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This book critically analyses different dimensions in the sustainable transitions outlined by the European Green Deal, focusing on both internal actions and external relations and highlighting the EU’s diverging powers and capabilities in achieving the core objectives. As with the Green Deal itself, the chapters cover different policies including financial instruments, energy policies, climate policies and external policies and apply the ideal-type logics of appropriateness and consequences to analyse sustainable transformations. The variety of the cases contribute to a broad understanding of how different actors interpret and implement the aims of the European Green Deal, including especially those lagging behind, who, for various reasons, are struggling with the sustainable transition. From examining their policies, the book illuminates the challenges and opportunities they are facing. Overall, the contributions address key questions surrounding the EU’s powers and limits in inducing transformative change and implementing the European Green Deal. This book will be of key interest to scholars, students and practitioners of EU sustainability policies, sustainability transitions and green economy, environmental studies, energy policy, energy governance and climate change, public policy, comparative politics and international relations.</w:t>
      </w:r>
    </w:p>
    <w:p>
      <w:pPr/>
      <w:r>
        <w:rPr>
          <w:b/>
        </w:rPr>
        <w:t>POSSIBLE 2023:</w:t>
      </w:r>
      <w:r>
        <w:t xml:space="preserve"> Developing a green industrial policy for the European Green Deal — https://doi.org/10.4337/9781802200065.00010</w:t>
      </w:r>
    </w:p>
    <w:p>
      <w:pPr/>
      <w:r>
        <w:rPr>
          <w:b/>
        </w:rPr>
        <w:t>Shared claim-specific concepts:</w:t>
      </w:r>
      <w:r>
        <w:t xml:space="preserve"> green, deal, aims, economies; EU scope visible. This is a provisional connection, not an outcome finding.</w:t>
      </w:r>
    </w:p>
    <w:p>
      <w:pPr>
        <w:pStyle w:val="SourceNote"/>
      </w:pPr>
      <w:r>
        <w:rPr>
          <w:b/>
        </w:rPr>
        <w:t>Available abstract (not full text):</w:t>
      </w:r>
      <w:r>
        <w:t xml:space="preserve"> The European Green Deal, the flagship initiative of the von der Leyen Commission, aims at making Europe the first climate-neutral continent by 2050. This is not going to be an easy ride. To be successful, the European Green Deal will have to foster broad, paradigmatic shifts in the European industrial structure, such as the ones from fossil fuels to renewables, or from internal combustion engine cars to electric cars. As shifting economies from brown to green represents one of the largest socio-economic transformations ever seen in history, it is often referred to as an industrial revolution against a deadline. In this context, green industrial policy emerges as a cornerstone of the European Green Deal. This article provides a policy framework for what a green industrial policy should look like, and proposes a set of key recommendations to develop a green industrial policy for the European Green Deal.</w:t>
      </w:r>
    </w:p>
    <w:p>
      <w:pPr/>
      <w:r>
        <w:rPr>
          <w:b/>
        </w:rPr>
        <w:t>POSSIBLE 2023:</w:t>
      </w:r>
      <w:r>
        <w:t xml:space="preserve"> Greenhouse gas emissions and Green Deal in the European Union — https://doi.org/10.3389/fenvs.2023.1141473</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Greenhouse gas emissions (GE) represent an element that influences the lives of all people on the planet. This action must be controlled and prevented because the negative effects are starting to appear more and more in everyday life, sometimes with devastating consequences from a climate point of view and not only for the inhabitants of certain regions. At the European level, one of the main measures taken was the implementation of the Green Deal as a response to the fight against GE. The purpose of this article is to offer a description of the main elements that are influencing the GE, as well as the role of the Green Deal. It also aims to identify the characteristics of the EU countries from the GE point of view before and after the Green Deal was proposed. In this regard two more cluster analyses are also carried out regarding GE at the European level. One analysis concerns the identification and evolution of the main groups of countries from this point of view for years 2018 and 2020. The second analysis concerns the main fields in the industry for year 2020. The used methodology was DM-CRISP. In the final part of the article the obtained results are analyzed, a discussion is added based on them and also a conclusion section.</w:t>
      </w:r>
    </w:p>
    <w:p>
      <w:pPr>
        <w:pStyle w:val="Heading2"/>
      </w:pPr>
      <w:r>
        <w:t>606.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2024:</w:t>
      </w:r>
      <w:r>
        <w:t xml:space="preserve"> An Exploration of Food Sustainability Practices in the Food Industry across Europe — https://doi.org/10.3390/su16167119</w:t>
      </w:r>
    </w:p>
    <w:p>
      <w:pPr/>
      <w:r>
        <w:rPr>
          <w:b/>
        </w:rPr>
        <w:t>Shared claim-specific concepts:</w:t>
      </w:r>
      <w:r>
        <w:t xml:space="preserve"> food, greater, environmental, emissions; EU scope visible. This is a provisional connection, not an outcome finding.</w:t>
      </w:r>
    </w:p>
    <w:p>
      <w:pPr>
        <w:pStyle w:val="SourceNote"/>
      </w:pPr>
      <w:r>
        <w:rPr>
          <w:b/>
        </w:rPr>
        <w:t>Available abstract (not full text):</w:t>
      </w:r>
      <w:r>
        <w:t xml:space="preserve"> Sustainability is becoming essential and actively debated in the food sector, influencing companies and stakeholders globally. Sustainability practices have been developed and integrated into food industry actions and policies to meet present needs without compromising future needs. The aim of this study was to explore the current sustainability practices across the food industry in Europe and how initiatives are developed, implemented and evaluated to achieve food sustainability targets. This study formed part of a larger European project (2022-1-IE01-KA220-VET-000087508 Digitalisation of Sustainable Health Education). In-depth semi-structured interviews were conducted with 21 food industry employees with expertise in sustainability across Ireland, Poland, Lithuania, and Cyprus. Interviews were transcribed and thematically analysed. Three themes were identified: sustainable practices challenges, facilitators of green practice, and thinking to the future, Complying with the Science-Based Targets initiative, and setting emissions targets such net zero by 2050 and reducing waste output, drove sustainable activities. Participants identified barriers to initiative development and implementation including cost, monitoring time, product quality, and employee engagement. Employee and stakeholder understanding were crucial to sustainability initiative success. Gaps in research were ide</w:t>
      </w:r>
    </w:p>
    <w:p>
      <w:pPr/>
      <w:r>
        <w:rPr>
          <w:b/>
        </w:rPr>
        <w:t>POSSIBLE 2024:</w:t>
      </w:r>
      <w:r>
        <w:t xml:space="preserve"> Robustness of business models for insect production for feed and food in Europe — https://doi.org/10.1163/23524588-00001141</w:t>
      </w:r>
    </w:p>
    <w:p>
      <w:pPr/>
      <w:r>
        <w:rPr>
          <w:b/>
        </w:rPr>
        <w:t>Shared claim-specific concepts:</w:t>
      </w:r>
      <w:r>
        <w:t xml:space="preserve"> six, food, use, production, processing, but; EU scope visible. This is a provisional connection, not an outcome finding.</w:t>
      </w:r>
    </w:p>
    <w:p>
      <w:pPr>
        <w:pStyle w:val="SourceNote"/>
      </w:pPr>
      <w:r>
        <w:rPr>
          <w:b/>
        </w:rPr>
        <w:t>Available abstract (not full text):</w:t>
      </w:r>
      <w:r>
        <w:t xml:space="preserve"> Abstract Insects and their derivatives are increasingly recognised as a (more) sustainable and circular protein source for feed and food. The European insect industry is growing, but upscaling remains a challenge due to multiple uncertainties. This study analysed the robustness of three different business models for insect production for feed and food in six future scenarios. Business models and scenarios were identified through literature review and refined through expert elicitation (n = 5). The three business models comprised: (1) full-liner black soldier fly production for pet food , (2) decentralised black soldier fly production for aquafeed , and (3) mealworm processing cooperative for food . The six scenarios addressed uncertainties around the use of side streams, insect welfare, energy, and sustainability. We used the Business Model Stress Test in four focus groups with experts (n = 23) from six European countries. Heat maps for three distinct business models were presented, detailing the impacts of scenarios on business model components. Experts regarded full-liner black soldier fly production for pet food and mealworm processing cooperative for food as more robust than decentralised black soldier fly production for aquafeed . These differences were mainly related to the customer segments , value proposition , revenue structure , and cost structure . In full-liner blac</w:t>
      </w:r>
    </w:p>
    <w:p>
      <w:pPr/>
      <w:r>
        <w:rPr>
          <w:b/>
        </w:rPr>
        <w:t>POSSIBLE 2024:</w:t>
      </w:r>
      <w:r>
        <w:t xml:space="preserve"> Food allergy outside the eight big foods in Europe: A systematic review and meta‐analysis — https://doi.org/10.1002/clt2.12338</w:t>
      </w:r>
    </w:p>
    <w:p>
      <w:pPr/>
      <w:r>
        <w:rPr>
          <w:b/>
        </w:rPr>
        <w:t>Shared claim-specific concepts:</w:t>
      </w:r>
      <w:r>
        <w:t xml:space="preserve"> six, food, each, but; EU scope visible. This is a provisional connection, not an outcome finding.</w:t>
      </w:r>
    </w:p>
    <w:p>
      <w:pPr>
        <w:pStyle w:val="SourceNote"/>
      </w:pPr>
      <w:r>
        <w:rPr>
          <w:b/>
        </w:rPr>
        <w:t>Available abstract (not full text):</w:t>
      </w:r>
      <w:r>
        <w:t xml:space="preserve"> BACKGROUND: The 2014 estimates of prevalence of food allergy (FA) in Europe published by the European Academy of Allergy and Clinical Immunology included only the eight so-called big foods (cow's milk/egg/wheat/soy/peanut/tree nuts/fish/shellfish). Those estimates have recently been updated. Complementing this, we sought to identify and estimate the prevalence of allergy to other foods that have been reported during the last decade. METHODS: Six databases were searched for studies published 2012-2021. Random-effects meta-analysis was performed to derive pooled prevalence of allergy to each food. RESULTS: Twenty-seven studies were included, containing a total of 66 FAs. Among the most frequently reported FAs, the lifetime and point prevalence range of self-reported kiwi allergy was 0.1%-1.0% and 0.2%-8.1%, respectively, while the food challenge (FC)-verified kiwi allergy point prevalence range was 0.01%-0.10%. The point prevalence range for self-reported peach allergy was 0.2%-3.2%, while the range for FC-verified peach allergy was 0.02%-0.05%. The lifetime and point prevalence range for self-reported tomato allergy was 0.01%-1.8% and 0.2%-2.1%, respectively. CONCLUSION: Allergy to some foods traditionally not considered important are now emerging as relevant FAs. The focus on FA in Europe should not be limited to the so-called eight big FA, but extended to other types of foods </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food, each, production, consumption, agriculture,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six, food, various, consequences, biodiversity;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food, each, use, but, biodiversity, loss;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Multifaceted Conscription: A Comparative Study of Six European Countries — https://doi.org/10.31374/sjms.166</w:t>
      </w:r>
    </w:p>
    <w:p>
      <w:pPr/>
      <w:r>
        <w:rPr>
          <w:b/>
        </w:rPr>
        <w:t>Shared claim-specific concepts:</w:t>
      </w:r>
      <w:r>
        <w:t xml:space="preserve"> identifies, six, various;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2023:</w:t>
      </w:r>
      <w:r>
        <w:t xml:space="preserve"> Perspective: Food and Nutrition Insecurity in Europe: Challenges and Opportunities for Dietitians — https://doi.org/10.1016/j.advnut.2023.07.008</w:t>
      </w:r>
    </w:p>
    <w:p>
      <w:pPr/>
      <w:r>
        <w:rPr>
          <w:b/>
        </w:rPr>
        <w:t>Shared claim-specific concepts:</w:t>
      </w:r>
      <w:r>
        <w:t xml:space="preserve"> identifies, food, consequences; EU scope visible. This is a provisional connection, not an outcome finding.</w:t>
      </w:r>
    </w:p>
    <w:p>
      <w:pPr>
        <w:pStyle w:val="SourceNote"/>
      </w:pPr>
      <w:r>
        <w:rPr>
          <w:b/>
        </w:rPr>
        <w:t>Available abstract (not full text):</w:t>
      </w:r>
      <w:r>
        <w:t xml:space="preserve"> In recent years, the interest in food and nutrition insecurity in high-income countries has skyrocketed. However, its recognition in Europe is still developing. This perspective summarizes the evidence on food and nutrition insecurity across Europe in terms of prevalence, consequences, and current mitigation strategies, with the aim of outlining the challenges and opportunities for dietitians. Prevalence in the general population ranges between 5% and 20%, with higher rates identified in women, children, older adults, single-parent households, those with low educational attainment, and on low or unstable income and/or employment. In users of food aid, the prevalence of food insecurity is above 70%. Responses to food and nutrition insecurity include welfare policies and food assistance programs at regional and national levels. However, most current strategies are not successful in tackling the structural drivers of food and nutrition insecurity, nor do they guarantee diet quality. Despite limited involvement to-date, dietitians can play an important role in addressing food and nutrition insecurity across Europe. This narrative identifies 4 areas: 1) create awareness of the existence and severity of food and nutrition insecurity, 2) advocate for comprehensive, robust data on the determinants and prevalence, 3) partner with diverse stakeholders, social assistance providers, local </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identifies, various, but;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Excess resource use and cost of drug-resistant infections for six key pathogens in Europe: a systematic review and Bayesian meta-analysis — https://doi.org/10.1016/j.cmi.2023.12.013</w:t>
      </w:r>
    </w:p>
    <w:p>
      <w:pPr/>
      <w:r>
        <w:rPr>
          <w:b/>
        </w:rPr>
        <w:t>Shared claim-specific concepts:</w:t>
      </w:r>
      <w:r>
        <w:t xml:space="preserve"> six, each, use; EU scope visible. This is a provisional connection, not an outcome finding.</w:t>
      </w:r>
    </w:p>
    <w:p>
      <w:pPr>
        <w:pStyle w:val="SourceNote"/>
      </w:pPr>
      <w:r>
        <w:rPr>
          <w:b/>
        </w:rPr>
        <w:t>Available abstract (not full text):</w:t>
      </w:r>
      <w:r>
        <w:t xml:space="preserve"> BACKGROUND: Quantifying the resource use and cost of antimicrobial resistance establishes the magnitude of the problem and drives action. OBJECTIVES: Assessment of resource use and cost associated with infections with six key drug-resistant pathogens in Europe. METHODS: A systematic review and Bayesian meta-analysis. DATA SOURCES: MEDLINE (Ovid), Embase (Ovid), Econlit databases, and grey literature for the period 1 January 1990, to 21 June 2022. STUDY ELIGIBILITY CRITERIA: Resource use and cost outcomes (including excess length of stay, overall costs, and other excess in or outpatient costs) were compared between patients with defined antibiotic-resistant infections caused by carbapenem-resistant (CR) Pseudomonas aeruginosa and Acinetobacter baumannii, CR or third-generation cephalosporin Escherichia coli (3GCREC) and Klebsiella pneumoniae, methicillin-resistant Staphylococcus aureus, and vancomycin-resistant Enterococcus faecium, and patients with drug-susceptible or no infection. PARTICIPANTS: All patients diagnosed with drug-resistant bloodstream infections (BSIs). INTERVENTIONS: NA. ASSESSMENT OF RISK OF BIAS: An adapted version of the Joanna Briggs Institute assessment tool, incorporating case-control, cohort, and economic assessment frameworks. METHODS OF DATA SYNTHESIS: Hierarchical Bayesian meta-analyses were used to assess pathogen-specific resource use estimates. RES</w:t>
      </w:r>
    </w:p>
    <w:p>
      <w:pPr/>
      <w:r>
        <w:rPr>
          <w:b/>
        </w:rPr>
        <w:t>POSSIBLE 2023:</w:t>
      </w:r>
      <w:r>
        <w:t xml:space="preserve"> Spatial assessment of topsoil zinc concentrations in Europe — https://doi.org/10.1016/j.scitotenv.2023.164512</w:t>
      </w:r>
    </w:p>
    <w:p>
      <w:pPr/>
      <w:r>
        <w:rPr>
          <w:b/>
        </w:rPr>
        <w:t>Shared claim-specific concepts:</w:t>
      </w:r>
      <w:r>
        <w:t xml:space="preserve"> use, production, high; EU scope visible. This is a provisional connection, not an outcome finding.</w:t>
      </w:r>
    </w:p>
    <w:p>
      <w:pPr>
        <w:pStyle w:val="SourceNote"/>
      </w:pPr>
      <w:r>
        <w:rPr>
          <w:b/>
        </w:rPr>
        <w:t>Available abstract (not full text):</w:t>
      </w:r>
      <w:r>
        <w:t xml:space="preserve"> Zinc (Zn) is essential to sustain crop production and human health, while it can be toxic when present in excess. In this manuscript, we applied a machine learning model on 21,682 soil samples from the Land Use and Coverage Area frame Survey (LUCAS) topsoil database of 2009/2012 to assess the spatial distribution in Europe of topsoil Zn concentrations measured by aqua regia extraction, and to identify the influence of natural drivers and anthropogenic sources on topsoil Zn concentrations. As a result, a map was produced showing topsoil Zn concentrations in Europe at a resolution of 250 m. The mean predicted Zn concentration in Europe was 41 mg kg−1, with a root mean squared error of around 40 mg kg−1 calculated for independent soil samples. We identified clay content as the most important factor explaining the overall distribution of soil Zn in Europe, with lower Zn concentrations in coarser soils. Next to texture, low Zn concentrations were found in soils with low pH (e.g. Podzols), as well as in soils with pH above 8 (i.e., Calcisols). The presence of deposits and mining activities mainly explained the occurrence of relatively high Zn concentrations above 167 mg kg−1 (the one percentile highest concentrations) within 10 km from these sites. In addition, the relatively higher Zn levels found in grasslands in regions with high livestock density may point to manure as a signific</w:t>
      </w:r>
    </w:p>
    <w:p>
      <w:pPr>
        <w:pStyle w:val="Heading2"/>
      </w:pPr>
      <w:r>
        <w:t>607.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2025:</w:t>
      </w:r>
      <w:r>
        <w:t xml:space="preserve"> Robust Assessments of Lithium Mining Impacts Embodied in Global Supply Chain Require Spatially Explicit Analyses — https://doi.org/10.1021/acs.est.4c12749</w:t>
      </w:r>
    </w:p>
    <w:p>
      <w:pPr/>
      <w:r>
        <w:rPr>
          <w:b/>
        </w:rPr>
        <w:t>Shared claim-specific concepts:</w:t>
      </w:r>
      <w:r>
        <w:t xml:space="preserve"> explicit, assessments, impacts, energy; EU scope visible. This is a provisional connection, not an outcome finding.</w:t>
      </w:r>
    </w:p>
    <w:p>
      <w:pPr>
        <w:pStyle w:val="SourceNote"/>
      </w:pPr>
      <w:r>
        <w:rPr>
          <w:b/>
        </w:rPr>
        <w:t>Available abstract (not full text):</w:t>
      </w:r>
      <w:r>
        <w:t xml:space="preserve"> Lithium is a critical material for the energy transition, but its mining causes significant environmental impacts that will intensify due to surging global demand. Here, we conduct a mining site-specific environmental impact assessment of lithium on a global scale, focusing on greenhouse gas (GHG) emissions, water use, and land use. We then track the production and international trade flows of all lithium-containing commodities to assess how lithium mining impacts are distributed across global supply chains. Results indicate that environmental impact intensities of battery-grade Li 2 CO 3 production from various mine sites differ between 4 times for GHG emissions to 2885 times for land use. 56–68% of environmental impacts generated in the mining countries were embodied in internationally traded lithium flows. On the production side, China, Australia, and Chile were the top 3 countries, accounting for 91–94% of environmental impacts. Regarding final demand, China was the major consuming region, inducing 46–47% of the environmental impacts of global lithium mining, followed by Korea (17–18%) and the EU-27 (9%). Our findings reveal the need for spatially explicit information to accurately assess the environmental impacts of lithium mining and highlight that mitigation requires cooperation between major producer and consumer countries.</w:t>
      </w:r>
    </w:p>
    <w:p>
      <w:pPr/>
      <w:r>
        <w:rPr>
          <w:b/>
        </w:rPr>
        <w:t>POSSIBLE 2025:</w:t>
      </w:r>
      <w:r>
        <w:t xml:space="preserve"> Addressing Pathogen Impact in Life Cycle Assessment: Nationwide spatially explicit characterization factor for organic fertilisation — https://openalex.org/W7205916718</w:t>
      </w:r>
    </w:p>
    <w:p>
      <w:pPr/>
      <w:r>
        <w:rPr>
          <w:b/>
        </w:rPr>
        <w:t>Shared claim-specific concepts:</w:t>
      </w:r>
      <w:r>
        <w:t xml:space="preserve"> explicit, impacts, sustainability; EU scope visible. This is a provisional connection, not an outcome finding.</w:t>
      </w:r>
    </w:p>
    <w:p>
      <w:pPr>
        <w:pStyle w:val="SourceNote"/>
      </w:pPr>
      <w:r>
        <w:rPr>
          <w:b/>
        </w:rPr>
        <w:t>Available abstract (not full text):</w:t>
      </w:r>
      <w:r>
        <w:t xml:space="preserve"> IntroductionLife Cycle Assessment (LCA) is a useful method to assess environmental impacts of manure management and biogas production (Hijazi et al., 2016). However, there are several shortcomings in LCA applied to waste and biomass valorisation (Ekvall et al., 2007). One of these difficulties lies in the lack of important impact categories. The impact category “microbial pathogenic potential” has been disregarded so far. Here we present a proof of concept for the development of a new characterization factor using the pathogen Listeria monocytogenes and its implementation for spatialized LCA applied to organic fertilisers.MethodologyThe characterisation factor (CF) was constructed based on UseTox approach and expressed in equation 1: CF=FF.XF.EF where FF is the fate factor, XF is the exposure factor and EF is the effect factor. We examined the causal chain linking the land application of organic fertilizers to cheese production through the forage-fed dairy farming scenario. Relevant information was retrieved from the literature to identify more than 20 environmental factors affecting the fate of L. monocytogenes in soils. Special attention has been paid to soil microbial diversity because it is a major provider of the service of regulation of pathogens. This required setting up a dedicated methodology. The available geospatial datasets describing these factors over Metropolitan</w:t>
      </w:r>
    </w:p>
    <w:p>
      <w:pPr/>
      <w:r>
        <w:rPr>
          <w:b/>
        </w:rPr>
        <w:t>POSSIBLE 2025:</w:t>
      </w:r>
      <w:r>
        <w:t xml:space="preserve"> Spatially explicit environmental impact assessment of commercial brackish water aquaculture along the northwestern coast of the Bay of Bengal using a multiparameter index approach — https://doi.org/10.1093/inteam/vjaf064</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The present study attempted to apply a comprehensive aquaculture impact index to assess the environmental impacts caused by the proliferation of commercial shrimp farming along the northwestern coast of the Bay of Bengal. The locale of the study was restricted to three community development blocks, viz. Contai-I, Deshapran, and Ramnagar-II in the Medinipur coastal plain of eastern India. Surface water and soil samples were collected from 195 sites during the postmonsoon season deploying a stratified random sampling method. Surface water samples were tested for pH, electrical conductivity, biochemical oxygen demand, dissolved oxygen, chemical oxygen demand, total nitrogen, total phosphorus, chloride, total dissolved solids, and free ammonia. Soil samples were analyzed for pH, electrical conductivity, total organic carbon, total nitrogen, total phosphorus, and total potassium. Spline interpolation was conducted to portray parameter-wise spatial concentration of these samples. To develop the index, principal component analysis was employed as a weightage assignment technique towards characterizing the pollutants that dominate the regional water and soil chemistry. Results indicated that water quality factors have wide spatial reach and influence the aquatic environ of the entire region, mainly in terms of pH, electrical conductivity, and biochemical oxygen demand. High values of a</w:t>
      </w:r>
    </w:p>
    <w:p>
      <w:pPr/>
      <w:r>
        <w:rPr>
          <w:b/>
        </w:rPr>
        <w:t>POSSIBLE 2024:</w:t>
      </w:r>
      <w:r>
        <w:t xml:space="preserve"> Incorporating stressor interactions into spatially explicit cumulative impact assessments — https://doi.org/10.1002/eap.3056</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Human-induced stressors are impacting the oceans and reducing the biodiversity of marine ecosystems. The many stressors affecting marine environments do not act in isolation. However, their cumulative impact is difficult to predict. Most of the available methods for quantifying cumulative impacts on marine ecosystems sum the impact of individual stressors to estimate cumulative impact. We demonstrate how experimental evidence from interacting stressors can be accounted for in cumulative impact assessments. We adapted a widely used additive model to incorporate nonadditive stressor interactions into a marine spatially explicit cumulative impact assessment for seagrasses. We combined experimental data on the impact of multiple stressors with spatial data on stressor intensity to test whether stressor interactions impact seagrasses in a case study region in South Australia. We also assessed how uncertainty about cumulative impacts changes when uncertainty in stressor interactions is included in the impact mapping. The results from an additive spatial cumulative impact assessment model were compared with results from the model incorporating interactions. Cumulative effects from the interaction model were more variable than those produced by the additive model. Five of the 15 stressor interactions that we tested produced impacts that significantly deviated from those predicted by an</w:t>
      </w:r>
    </w:p>
    <w:p>
      <w:pPr/>
      <w:r>
        <w:rPr>
          <w:b/>
        </w:rPr>
        <w:t>POSSIBLE 2024:</w:t>
      </w:r>
      <w:r>
        <w:t xml:space="preserve"> Disentangling marine plastic impacts in Life Cycle Assessment: Spatially explicit Characterization Factors for ecosystem quality — https://doi.org/10.1016/j.scitotenv.2024.175019</w:t>
      </w:r>
    </w:p>
    <w:p>
      <w:pPr/>
      <w:r>
        <w:rPr>
          <w:b/>
        </w:rPr>
        <w:t>Shared claim-specific concepts:</w:t>
      </w:r>
      <w:r>
        <w:t xml:space="preserve"> explicit, assessments, impacts, sustainability; EU scope visible. This is a provisional connection, not an outcome finding.</w:t>
      </w:r>
    </w:p>
    <w:p>
      <w:pPr>
        <w:pStyle w:val="SourceNote"/>
      </w:pPr>
      <w:r>
        <w:rPr>
          <w:b/>
        </w:rPr>
        <w:t>Available abstract (not full text):</w:t>
      </w:r>
      <w:r>
        <w:t xml:space="preserve"> Inputs of persistent plastic items to marine environments continue to pose a serious and long-term threat to marine fauna and ecosystem health, justifying further interventions on local and global scales. While Life Cycle Assessment (LCA) is frequently used for sustainability evaluations by industries and policymakers, plastic leakage to the environment and its subsequent impacts remains absent from the framework. Incorporating plastic pollution in the assessments requires development of both inventories and impact assessment methods. Here, we propose spatially explicit Characterization Factors (CF) for quantifying the impacts of plastic entanglement on marine megafauna (mammals, birds and reptiles) on a global scale. We utilize Lagrangian particle tracking and a Species Sensitivity Distribution (SSD) model along with species susceptibility records to estimate potential entanglement impacts stemming from lost plastic-based fishing gear. By simulating plastic losses from fishing hotspots within all Exclusive Economic Zones (EEZs) we provide country-specific impact estimates for use in LCA. The impacts were found to be similar across regions, although the median CF associated with Oceania was higher compared to Europe, Africa and Asia. Our findings underscore the presence of susceptible species across the world and the transboundary issue of plastic pollution. We discuss the appl</w:t>
      </w:r>
    </w:p>
    <w:p>
      <w:pPr/>
      <w:r>
        <w:rPr>
          <w:b/>
        </w:rPr>
        <w:t>POSSIBLE 2024:</w:t>
      </w:r>
      <w:r>
        <w:t xml:space="preserve"> Biodiversity impact assessment for finance — https://doi.org/10.1111/jiec.13515</w:t>
      </w:r>
    </w:p>
    <w:p>
      <w:pPr/>
      <w:r>
        <w:rPr>
          <w:b/>
        </w:rPr>
        <w:t>Shared claim-specific concepts:</w:t>
      </w:r>
      <w:r>
        <w:t xml:space="preserve"> explicit, impacts, emerging, making; EU scope visible. This is a provisional connection, not an outcome finding.</w:t>
      </w:r>
    </w:p>
    <w:p>
      <w:pPr>
        <w:pStyle w:val="SourceNote"/>
      </w:pPr>
      <w:r>
        <w:rPr>
          <w:b/>
        </w:rPr>
        <w:t>Available abstract (not full text):</w:t>
      </w:r>
      <w:r>
        <w:t xml:space="preserve"> Abstract Biodiversity loss, driven by human activities, significantly affects the environment, human societies, and economies. Using the extended multi‐regional input–output (EEMRIO) and life cycle assessment (LCA) techniques, we offer insights into how these methodologies can be used to inform financial decisions related to biodiversity focusing on two key aspects: biodiversity impacts and ecosystem service dependencies. Our method combines spatially explicit characterization factors from LC‐IMPACT with the Global Resource Input‐Output Assesment (GLORIA) database to estimate biodiversity impacts. As a case study we assess the biodiversity impact of the MSCI All Country World Index (MSCI ACWI) which consist of about 3000 large‐ and mid‐sized companies, from 23 developed and 24 emerging countries. The results demonstrate that most of the biodiversity impact is caused in the Americas, followed by Asia, despite its low representation in the index's country weight (6%). Europe shows the least impact. These results emphasize the need to account for global supply chain linkages as products sold in one country might have significant biodiversity impacts elsewhere due to sourcing of production inputs. Second, our results identify the main determinants of the index's impact: land use, followed by water stress and climate change. Although most of the impact is localized in few sectors, t</w:t>
      </w:r>
    </w:p>
    <w:p>
      <w:pPr/>
      <w:r>
        <w:rPr>
          <w:b/>
        </w:rPr>
        <w:t>POSSIBLE 2022:</w:t>
      </w:r>
      <w:r>
        <w:t xml:space="preserve"> Spatially explicit life cycle assessments reveal hotspots of environmental impacts from renewable electricity generation — https://doi.org/10.1038/s43247-022-00521-7</w:t>
      </w:r>
    </w:p>
    <w:p>
      <w:pPr/>
      <w:r>
        <w:rPr>
          <w:b/>
        </w:rPr>
        <w:t>Shared claim-specific concepts:</w:t>
      </w:r>
      <w:r>
        <w:t xml:space="preserve"> explicit, assessments, impacts, technologies, energy, power; EU scope not established. This is a provisional connection, not an outcome finding.</w:t>
      </w:r>
    </w:p>
    <w:p>
      <w:pPr>
        <w:pStyle w:val="SourceNote"/>
      </w:pPr>
      <w:r>
        <w:rPr>
          <w:b/>
        </w:rPr>
        <w:t>Available abstract (not full text):</w:t>
      </w:r>
      <w:r>
        <w:t xml:space="preserve"> Abstract Renewable energy generation has great potential to reduce greenhouse gas emissions, however, it may exacerbate other environmental impacts, such as water scarcity, elsewhere in the supply chain. Here, we reveal a wide range of global environmental impacts of concentrated solar power, run-of-river hydropower, and biomass burning compared to classical coal-fired power: Spatially explicit life cycle impact assessment is used to evaluate their supply chains with respect to demand for energy, land, material, and water, greenhouse gas emissions, and impacts on human health and ecosystem quality with a focus on mining. Hotspot analyses in terms of location and type of impact show that there is no clear preference for any of the technologies, mainly because water consumption is often critical on-site. The examined concentrated solar power plant is the least suitable for a sustainable energy transition: Its spatial hotspots are spreading the furthest globally and may exceed those of coal combustion in number and severity. The presented methodology is the basis to mitigate such environmental hotspots.</w:t>
      </w:r>
    </w:p>
    <w:p>
      <w:pPr>
        <w:pStyle w:val="Heading2"/>
      </w:pPr>
      <w:r>
        <w:t>608.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2025:</w:t>
      </w:r>
      <w:r>
        <w:t xml:space="preserve"> What has driven the adoption of BEV and PHEV in the EU? — https://doi.org/10.1016/j.rtbm.2025.101331</w:t>
      </w:r>
    </w:p>
    <w:p>
      <w:pPr/>
      <w:r>
        <w:rPr>
          <w:b/>
        </w:rPr>
        <w:t>Shared claim-specific concepts:</w:t>
      </w:r>
      <w:r>
        <w:t xml:space="preserve"> adoption, bev, countries, charging, stations; EU scope visible. This is a provisional connection, not an outcome finding.</w:t>
      </w:r>
    </w:p>
    <w:p>
      <w:pPr>
        <w:pStyle w:val="SourceNote"/>
      </w:pPr>
      <w:r>
        <w:rPr>
          <w:b/>
        </w:rPr>
        <w:t>Available abstract (not full text):</w:t>
      </w:r>
      <w:r>
        <w:t xml:space="preserve"> Moving towards greater electric mobility in Europe is fundamental for energy transition and reducing fossil fuel dependence. This paper analyses the role of socioeconomic, environmental, and technical factors on the diffusion of battery electric vehicles (BEV) and plug-in electric vehicles (PHEV) into the market. Annual panel data from 2010 to 2020 for 25 European countries were used by recurring to the Driscoll-Kraay estimator. BEV and PHEV sales market share was employed to measure both vehicles' diffusion. The main findings indicate that the fast public charging stations drive the adoption of both BEV and PHEV. The normal charging stations block the adoption of BEV and have no significant impact on PHEV sales. This paper provides empirical evidence suggesting that higher income levels do not lead to substituting traditional vehicles for EV. Particular attention should be paid to the negative role of environmental tax revenues in adopting both BEV and PHEV. Our findings indicate that those paying additional taxes for polluting activities do not have the financial capacity to buy an EV. To address this situation, policymakers could incentivise the use of EV instead of encouraging purchases, providing, for instance, special prices at tolls.</w:t>
      </w:r>
    </w:p>
    <w:p>
      <w:pPr/>
      <w:r>
        <w:rPr>
          <w:b/>
        </w:rPr>
        <w:t>POSSIBLE 2025:</w:t>
      </w:r>
      <w:r>
        <w:t xml:space="preserve"> Global trends in electric vehicle adoption and the impact of environmental awareness, user attributes, and barriers — https://doi.org/10.1016/j.egyr.2024.12.054</w:t>
      </w:r>
    </w:p>
    <w:p>
      <w:pPr/>
      <w:r>
        <w:rPr>
          <w:b/>
        </w:rPr>
        <w:t>Shared claim-specific concepts:</w:t>
      </w:r>
      <w:r>
        <w:t xml:space="preserve"> adoption, bevs, countries; EU scope visible. This is a provisional connection, not an outcome finding.</w:t>
      </w:r>
    </w:p>
    <w:p>
      <w:pPr>
        <w:pStyle w:val="SourceNote"/>
      </w:pPr>
      <w:r>
        <w:rPr>
          <w:b/>
        </w:rPr>
        <w:t>Available abstract (not full text):</w:t>
      </w:r>
      <w:r>
        <w:t xml:space="preserve"> Electric vehicles, powered by one or more electric motors, offer numerous advantages, such as reduced noise pollution, a cleaner environment, and lower operating costs. The selection of electric cars could be influenced by various drivers including environmental awareness, user attributes, barriers, incentives, and user awareness. Accordingly, this paper aimed to explore the impacts of those influential drivers on adopting kinds of electric vehicles by considering spatiotemporal patterns. In this paper, the meta-regression approach was run to combine the findings of 38 primary articles from 1990 to 2023. In this context, the effects of main drivers on adopting electric vehicles were assessed in Battery Electric Vehicles (BEVs), Plug-in Hybrid Electric Vehicles (PHEVs), and Hybrid Electric Vehicles (HEVs). The findings indicate that the main drivers influence the selection of electric cars. The meta-regression results showed that achieving electric vehicle adoption can be globally influenced by environmental awareness ( β = 0.23), user attributes ( β = 0.17), barriers ( β = −0.07), and user awareness ( β = 0.12). The highest spatial effect is related to the adoption of BEVs ( β = 0.17) by European countries. Accordingly, the use of electric cars is recommended, especially in large countries that emit greenhouse gases such as China and India . The expansion of electric vehicles, </w:t>
      </w:r>
    </w:p>
    <w:p>
      <w:pPr/>
      <w:r>
        <w:rPr>
          <w:b/>
        </w:rPr>
        <w:t>POSSIBLE 2025:</w:t>
      </w:r>
      <w:r>
        <w:t xml:space="preserve"> Analysis of Antecedent Factors Influencing the Adoption and Conversion of Two-Wheeled Battery Electric Vehicles (BEVs) in East Kalimantan Province — https://doi.org/10.12928/si.v23i2.467</w:t>
      </w:r>
    </w:p>
    <w:p>
      <w:pPr/>
      <w:r>
        <w:rPr>
          <w:b/>
        </w:rPr>
        <w:t>Shared claim-specific concepts:</w:t>
      </w:r>
      <w:r>
        <w:t xml:space="preserve"> adoption, bevs, bev, increased; EU scope not established. This is a provisional connection, not an outcome finding.</w:t>
      </w:r>
    </w:p>
    <w:p>
      <w:pPr>
        <w:pStyle w:val="SourceNote"/>
      </w:pPr>
      <w:r>
        <w:rPr>
          <w:b/>
        </w:rPr>
        <w:t>Available abstract (not full text):</w:t>
      </w:r>
      <w:r>
        <w:t xml:space="preserve"> The rise in motorcycle ownership in Indonesia has increased energy consumption and greenhouse gas emissions, challenging the country's net-zero target by 2060. To mitigate this, the government is promoting the adoption and conversion of two-wheeled Battery Electric Vehicles (BEVs), but implementation remains below target, implying behavioral factors as a major barrier. This study analyzes the determinants influencing consumer and potential consumer behavior in adopting two-wheeled BEVs in East Kalimantan, a strategic region supporting the Indonesian Capital City. Using the Field Theory framework, the model integrates the Theory of Planned Behavior (TPB), which represents personal factors (Attitude, Subjective Norm, Perceived Behavioral Control, and Intention), and the Electric Vehicle Ecosystem (EVE), which represents environmental factors (Performance, Infrastructure, Price, and Features). Data from 400 respondents were analyzed using SEM-PLS, which explained 65.8% of the variance in adoption intention. The results show that Subjective Norms, Perceived Behavioral Control, Performance, Price, and Features significantly influence intention, while Attitude and Infrastructure do not. These findings reveal that consumers view two-wheeled BEVs primarily as functional alternatives to conventional motorcycles, rather than as environmentally friendly innovations. The contributes of thi</w:t>
      </w:r>
    </w:p>
    <w:p>
      <w:pPr/>
      <w:r>
        <w:rPr>
          <w:b/>
        </w:rPr>
        <w:t>POSSIBLE 2025:</w:t>
      </w:r>
      <w:r>
        <w:t xml:space="preserve"> Factors Influencing the Purchase of Battery Electric Vehicles (BEVs) — https://doi.org/10.31803/tg-2024052312222</w:t>
      </w:r>
    </w:p>
    <w:p>
      <w:pPr/>
      <w:r>
        <w:rPr>
          <w:b/>
        </w:rPr>
        <w:t>Shared claim-specific concepts:</w:t>
      </w:r>
      <w:r>
        <w:t xml:space="preserve"> bevs, better, bev, charging; EU scope visible. This is a provisional connection, not an outcome finding.</w:t>
      </w:r>
    </w:p>
    <w:p>
      <w:pPr>
        <w:pStyle w:val="SourceNote"/>
      </w:pPr>
      <w:r>
        <w:rPr>
          <w:b/>
        </w:rPr>
        <w:t>Available abstract (not full text):</w:t>
      </w:r>
      <w:r>
        <w:t xml:space="preserve"> This research aims to identify the key factors influencing the new registrations of battery electric vehicles (BEVs) in Germany. Focusing the topics economy, mobility change and climate sustainability a mixed-methods approach was used combining a regression analysis based on public databases and qualitative interviews with experts, represented by vehicle testing organizations, BEV leasing companies, car dealerships and automotive magazines. The study revealed similarities as well as discrepancies between expert opinions and the regression analysis results in the fields of real GDP, education rate, the average range of BEVs, the real estate price index, charging infrastructure and political conviction. Regarding practical implications, the results of this study help BEV manufacturers to enhance their marketing and product strategies. The findings of this study could help decision-makers to better understand the mind set of BEV customers.</w:t>
      </w:r>
    </w:p>
    <w:p>
      <w:pPr/>
      <w:r>
        <w:rPr>
          <w:b/>
        </w:rPr>
        <w:t>POSSIBLE 2025:</w:t>
      </w:r>
      <w:r>
        <w:t xml:space="preserve"> E-Private Mobility Index: A Novel Tool for Assessing BEV Transition Feasibility — https://doi.org/10.3390/su17093983</w:t>
      </w:r>
    </w:p>
    <w:p>
      <w:pPr/>
      <w:r>
        <w:rPr>
          <w:b/>
        </w:rPr>
        <w:t>Shared claim-specific concepts:</w:t>
      </w:r>
      <w:r>
        <w:t xml:space="preserve"> bevs, bev, charging; EU scope visible. This is a provisional connection, not an outcome finding.</w:t>
      </w:r>
    </w:p>
    <w:p>
      <w:pPr>
        <w:pStyle w:val="SourceNote"/>
      </w:pPr>
      <w:r>
        <w:rPr>
          <w:b/>
        </w:rPr>
        <w:t>Available abstract (not full text):</w:t>
      </w:r>
      <w:r>
        <w:t xml:space="preserve"> While the speed of the transition to battery electric vehicles (BEVs) depends on real-world driving behaviors and socioeconomic conditions, relevant predictions are often not based on real trip data. This study analyzes over 200,000 private car trips, tracked via onboard telematics across Italy, in order to assess the feasibility of replacing internal combustion engine vehicles (ICEVs) with BEVs. Given that drivers are resistant to changing their habits, we introduce the E-Private Mobility Index, which quantifies the percentage of traditional cars at present that are functionally compatible with a medium BEV, assuming home charging. Nationwide, this index reaches 30%, but only 15% of car owners would also see financial benefits. By quantifying both the potential to replace traditional cars with electric ones and the associated economic impacts, our analysis supports sustainable mobility by offering insights into the rate of penetration of sustainable and green mobility, in line with the objectives of the European Green Deal. With its unprecedented statistical significance, the study not only provides a data-driven upper threshold of BEV penetration but also offers a flexible framework for shaping future policies, allowing the adaptation of parameters and assumptions to guide a scalable transition to electric private mobility.</w:t>
      </w:r>
    </w:p>
    <w:p>
      <w:pPr/>
      <w:r>
        <w:rPr>
          <w:b/>
        </w:rPr>
        <w:t>POSSIBLE 2024:</w:t>
      </w:r>
      <w:r>
        <w:t xml:space="preserve"> Investigating the Moderating Role of Government Incentive Policy on Consumer Adoption of Battery Electric Vehicles (BEV) in Malaysia — https://doi.org/10.6007/ijarbss/v14-i3/20992</w:t>
      </w:r>
    </w:p>
    <w:p>
      <w:pPr/>
      <w:r>
        <w:rPr>
          <w:b/>
        </w:rPr>
        <w:t>Shared claim-specific concepts:</w:t>
      </w:r>
      <w:r>
        <w:t xml:space="preserve"> adoption, bevs, better, bev; EU scope not established. This is a provisional connection, not an outcome finding.</w:t>
      </w:r>
    </w:p>
    <w:p>
      <w:pPr>
        <w:pStyle w:val="SourceNote"/>
      </w:pPr>
      <w:r>
        <w:rPr>
          <w:b/>
        </w:rPr>
        <w:t>Available abstract (not full text):</w:t>
      </w:r>
      <w:r>
        <w:t xml:space="preserve"> As concerns about climate change, global warming, and environmental degradation continue to escalate, the adoption of electric vehicles, particularly Battery Electric Vehicles (BEVs), has emerged as a promising solution for a more sustainable future. This study delves into the willingness of Malaysian consumers to embrace BEVs, with a specific focus on the moderating role of government incentives and policies. Drawing upon the Theory of Planned Behaviour (TPB) as the theoretical framework, this study extends the TPB model by incorporating four additional external variables to better understand the factors influencing adoption intention. Employing a quantitative research approach, this investigation utilizes a cross-sectional survey method to collect empirical data from car consumers across Malaysia. The survey instrument, adapted from previous studies, comprehensively assesses nine constructs relevant to this research. Data analysis will be conducted using Structural Equation Modelling (SEM), specifically employing the Partial Least Squares SEM (PLS-SEM) approach, to examine the formulated hypotheses. The findings of this study aim to shed light on the determinants of BEV adoption intention among Malaysian consumers, with implications for policymakers, automotive industry players, and researchers. Further research avenues are also proposed to deepen our understanding of the com</w:t>
      </w:r>
    </w:p>
    <w:p>
      <w:pPr/>
      <w:r>
        <w:rPr>
          <w:b/>
        </w:rPr>
        <w:t>POSSIBLE 2024:</w:t>
      </w:r>
      <w:r>
        <w:t xml:space="preserve"> Automated Parking Planning with Vision-Based BEV Approach — https://doi.org/10.48550/arxiv.2406.15430</w:t>
      </w:r>
    </w:p>
    <w:p>
      <w:pPr/>
      <w:r>
        <w:rPr>
          <w:b/>
        </w:rPr>
        <w:t>Shared claim-specific concepts:</w:t>
      </w:r>
      <w:r>
        <w:t xml:space="preserve"> demonstrates, bev; EU scope not established. This is a provisional connection, not an outcome finding.</w:t>
      </w:r>
    </w:p>
    <w:p>
      <w:pPr>
        <w:pStyle w:val="SourceNote"/>
      </w:pPr>
      <w:r>
        <w:rPr>
          <w:b/>
        </w:rPr>
        <w:t>Available abstract (not full text):</w:t>
      </w:r>
      <w:r>
        <w:t xml:space="preserve"> Automated Valet Parking (AVP) is a crucial component of advanced autonomous driving systems, focusing on the endpoint task within the "human-vehicle interaction" process to tackle the challenges of the "last mile".The perception module of the automated parking algorithm has evolved from local perception using ultrasonic radar and global scenario precise map matching for localization to a high-level map-free Birds Eye View (BEV) perception solution.The BEV scene places higher demands on the real-time performance and safety of automated parking planning tasks. This paper proposes an improved automated parking algorithm based on the A* algorithm, integrating vehicle kinematic models, heuristic function optimization, bidirectional search, and Bezier curve optimization to enhance the computational speed and real-time capabilities of the planning algorithm.Numerical optimization methods are employed to generate the final parking trajectory, ensuring the safety of the parking path. The proposed approach is experimentally validated in the commonly used industrial CARLA-ROS joint simulation environment. Compared to traditional algorithms, this approach demonstrates reduced computation time with more challenging collision-risk test cases and improved performance in comfort metrics.</w:t>
      </w:r>
    </w:p>
    <w:p>
      <w:pPr/>
      <w:r>
        <w:rPr>
          <w:b/>
        </w:rPr>
        <w:t>POSSIBLE 2023:</w:t>
      </w:r>
      <w:r>
        <w:t xml:space="preserve"> Exponential adoption of battery electric cars — https://doi.org/10.1371/journal.pone.0295692</w:t>
      </w:r>
    </w:p>
    <w:p>
      <w:pPr/>
      <w:r>
        <w:rPr>
          <w:b/>
        </w:rPr>
        <w:t>Shared claim-specific concepts:</w:t>
      </w:r>
      <w:r>
        <w:t xml:space="preserve"> suggest, adoption, bevs, bev, near, countries; EU scope visible. This is a provisional connection, not an outcome finding.</w:t>
      </w:r>
    </w:p>
    <w:p>
      <w:pPr>
        <w:pStyle w:val="SourceNote"/>
      </w:pPr>
      <w:r>
        <w:rPr>
          <w:b/>
        </w:rPr>
        <w:t>Available abstract (not full text):</w:t>
      </w:r>
      <w:r>
        <w:t xml:space="preserve"> The adoption of battery electric vehicles (BEVs) may significantly reduce greenhouse gas emissions caused by road transport. However, there is wide disagreement as to how soon battery electric vehicles will play a major role in overall transportation. Focusing on battery electric passenger cars, we analyze BEV adoption across 17 individual countries, Europe, and the World, and consistently find exponential growth trends. Modeling-based estimates of future adoption given past trends suggest system-wide adoption substantially faster than typical economic analyses have proposed so far. For instance, we estimate the majority of passenger cars in Europe to be electric by about 2031. Within regions, the predicted times of mass adoption are largely insensitive to model details. Despite significant differences in current electric fleet sizes across regions, their growth rates consistently indicate fast doubling times of approximately 15 months, hinting at radical economic and infrastructural consequences in the near future.</w:t>
      </w:r>
    </w:p>
    <w:p>
      <w:pPr/>
      <w:r>
        <w:rPr>
          <w:b/>
        </w:rPr>
        <w:t>POSSIBLE 2023:</w:t>
      </w:r>
      <w:r>
        <w:t xml:space="preserve"> Impacts of charging behavior on BEV charging infrastructure needs and energy use — https://doi.org/10.1016/j.trd.2023.103645</w:t>
      </w:r>
    </w:p>
    <w:p>
      <w:pPr/>
      <w:r>
        <w:rPr>
          <w:b/>
        </w:rPr>
        <w:t>Shared claim-specific concepts:</w:t>
      </w:r>
      <w:r>
        <w:t xml:space="preserve"> adoption, bevs, bev, charging, increased; EU scope visible. This is a provisional connection, not an outcome finding.</w:t>
      </w:r>
    </w:p>
    <w:p>
      <w:pPr>
        <w:pStyle w:val="SourceNote"/>
      </w:pPr>
      <w:r>
        <w:rPr>
          <w:b/>
        </w:rPr>
        <w:t>Available abstract (not full text):</w:t>
      </w:r>
      <w:r>
        <w:t xml:space="preserve"> Battery electric vehicles (BEVs) are vital in the sustainable future of transport systems. Increased BEV adoption makes the realistic assessment of charging infrastructure demand critical. The current literature on charging infrastructure often uses outdated charging behavior assumptions such as universal access to home chargers and the “Liquid-fuel” mental model. We simulate charging infrastructure needs using a large-scale agent-based simulation of Sweden with detailed individual characteristics, including dwelling types and activity patterns. The two state-of-art archetypes of charging behaviors, “Plan-ahead” and “Event-triggered”, mirror the current infrastructure built-up, suggesting 2.3–4.5 times more public chargers per BEV than the “Liquid-fuel” mental model. We also estimate roughly 30–150 BEVs served by a slow charger may be needed for non-home residential overnight charging.</w:t>
      </w:r>
    </w:p>
    <w:p>
      <w:pPr>
        <w:pStyle w:val="Heading2"/>
      </w:pPr>
      <w:r>
        <w:t>609.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2025:</w:t>
      </w:r>
      <w:r>
        <w:t xml:space="preserve"> Democracy and the European Green Deal — https://doi.org/10.1080/07036337.2025.2459859</w:t>
      </w:r>
    </w:p>
    <w:p>
      <w:pPr/>
      <w:r>
        <w:rPr>
          <w:b/>
        </w:rPr>
        <w:t>Shared claim-specific concepts:</w:t>
      </w:r>
      <w:r>
        <w:t xml:space="preserve"> green, deal, egd, ambitious, different, union; EU scope visible. This is a provisional connection, not an outcome finding.</w:t>
      </w:r>
    </w:p>
    <w:p>
      <w:pPr>
        <w:pStyle w:val="SourceNote"/>
      </w:pPr>
      <w:r>
        <w:rPr>
          <w:b/>
        </w:rPr>
        <w:t>Available abstract (not full text):</w:t>
      </w:r>
      <w:r>
        <w:t xml:space="preserve"> The European Union’s European Green Deal (EGD) was announced as an ambitious endeavour to achieve a just transition, address climate change, biodiversity loss and more. Importantly, it expresses the desire to tackle these challenges in a democratic way. Indeed, the scale of the changes required to meet the EGD’s goals mean that without democratic consent it is likely to fail, with disastrous consequences. With this introduction to the Special Issue on the European Green Deal and democracy we sketch the contours of this wide-ranging debate through a focus on aspects of democracy that are central to the EU and the EGD: representation, participation and deliberation, justice and the just transition, and expertise. The different contributions to this Special Issue examine democratic elements in the EGD and surrounding governance structures by exploring alternative sources of democratic innovation, including deliberative mechanisms and social movements, as potential avenues for transformative change.</w:t>
      </w:r>
    </w:p>
    <w:p>
      <w:pPr/>
      <w:r>
        <w:rPr>
          <w:b/>
        </w:rPr>
        <w:t>POSSIBLE 2025:</w:t>
      </w:r>
      <w:r>
        <w:t xml:space="preserve"> The European Green Deal and the democratic imagination — https://doi.org/10.1080/07036337.2025.2455686</w:t>
      </w:r>
    </w:p>
    <w:p>
      <w:pPr/>
      <w:r>
        <w:rPr>
          <w:b/>
        </w:rPr>
        <w:t>Shared claim-specific concepts:</w:t>
      </w:r>
      <w:r>
        <w:t xml:space="preserve"> green, deal, egd, different, sustainability;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2024:</w:t>
      </w:r>
      <w:r>
        <w:t xml:space="preserve"> What was, is and will be: A bibliometric analysis of European Green Deal (EGD) — https://doi.org/10.1386/tmsd_00086_1</w:t>
      </w:r>
    </w:p>
    <w:p>
      <w:pPr/>
      <w:r>
        <w:rPr>
          <w:b/>
        </w:rPr>
        <w:t>Shared claim-specific concepts:</w:t>
      </w:r>
      <w:r>
        <w:t xml:space="preserve"> green, deal, egd, sustainability, union; EU scope visible. This is a provisional connection, not an outcome finding.</w:t>
      </w:r>
    </w:p>
    <w:p>
      <w:pPr>
        <w:pStyle w:val="SourceNote"/>
      </w:pPr>
      <w:r>
        <w:rPr>
          <w:b/>
        </w:rPr>
        <w:t>Available abstract (not full text):</w:t>
      </w:r>
      <w:r>
        <w:t xml:space="preserve"> European Green Deal (EGD) was introduced by the European Union in December 2019 with a pledge to transform the European Union into a carbon-neutral economy by the year 2050. This study intends to undertake a bibliometric evaluation of the existing literature on EGD. This research aims to precisely identify and evaluate the most influential sources, contributors and cited works in the EGD literature, as well as delineate primary research directions and geographical hotspots, thereby offering a comprehensive overview of the current state and trends within the field. An attempt has been made to identify the trends of the research on EGD, along with the top countries contributing to the literature on EGD. The emerging keywords in the EGD literature are traced to provide future research directions. A total of 846 research documents are obtained from the Scopus database, and the Visualization of Similarities (VOS) viewer software is used for data analysis. The results of the analysis reveal that sustainability, sustainable development, energy efficiency, energy policies, greenhouse emissions, climate change, biodiversity, circular economy and renewable energy emerge as prominent and interconnected areas of research within the academic discourse on the EGD.</w:t>
      </w:r>
    </w:p>
    <w:p>
      <w:pPr/>
      <w:r>
        <w:rPr>
          <w:b/>
        </w:rPr>
        <w:t>POSSIBLE 2024:</w:t>
      </w:r>
      <w:r>
        <w:t xml:space="preserve"> DIGITALIZATION OF THE EUROPEAN GREEN DEAL (EGD) AND SUSTAINABLE DEVELOPMENT GOALS (SDG) - A FACTOR IN EMPOWERING SUSTAINABLE LOCAL PROJECTS: A REVIEW OF LITERATURE AND POTENTIAL ACHIEVEMENTS — https://doi.org/10.61432/cpne0201129g</w:t>
      </w:r>
    </w:p>
    <w:p>
      <w:pPr/>
      <w:r>
        <w:rPr>
          <w:b/>
        </w:rPr>
        <w:t>Shared claim-specific concepts:</w:t>
      </w:r>
      <w:r>
        <w:t xml:space="preserve"> green, deal, egd, sustainability, union; EU scope visible. This is a provisional connection, not an outcome finding.</w:t>
      </w:r>
    </w:p>
    <w:p>
      <w:pPr>
        <w:pStyle w:val="SourceNote"/>
      </w:pPr>
      <w:r>
        <w:rPr>
          <w:b/>
        </w:rPr>
        <w:t>Available abstract (not full text):</w:t>
      </w:r>
      <w:r>
        <w:t xml:space="preserve"> The Sustainable Development Goals and the European Green Deal are calls to action for countries around the world, and especially for the member states of the European Union, to address and practically solve many common problems. When discussing the European Green Deal (EGD) in particular, these problems are predominantly ecological in nature. The goal of decarbonization is closely linked to the structure of the economy, and to properly implement the provisions of greening the economy, proper education is necessary. For mass education, the use of IoT is a step towards the digitalization of education, project and other networking, as well as harmonious innovations on the path to sustainability. To highlight the importance and interdependence of these areas, the paper presents a systematic review of the literature on these fields.</w:t>
      </w:r>
    </w:p>
    <w:p>
      <w:pPr/>
      <w:r>
        <w:rPr>
          <w:b/>
        </w:rPr>
        <w:t>POSSIBLE 2023:</w:t>
      </w:r>
      <w:r>
        <w:t xml:space="preserve"> Reforms in green transportation with the European green deal (EGD) and evaluation of Turkey's compliance policies with the EGD in freight transportation in the light of legal regulations — https://openalex.org/W7132553149</w:t>
      </w:r>
    </w:p>
    <w:p>
      <w:pPr/>
      <w:r>
        <w:rPr>
          <w:b/>
        </w:rPr>
        <w:t>Shared claim-specific concepts:</w:t>
      </w:r>
      <w:r>
        <w:t xml:space="preserve"> green, deal, egd; EU scope visible. This is a provisional connection, not an outcome finding.</w:t>
      </w:r>
    </w:p>
    <w:p>
      <w:pPr>
        <w:pStyle w:val="SourceNote"/>
      </w:pPr>
      <w:r>
        <w:rPr>
          <w:b/>
        </w:rPr>
        <w:t>Available abstract (not full text):</w:t>
      </w:r>
      <w:r>
        <w:t xml:space="preserve"> Avrupa Yeşil Mutabakatı (AYM), Avrupa Birliği'nin (AB) 2019 yılında duyurduğu ve sürdürülebilirlik hedeflerine ulaşmayı amaçlayan kapsamlı bir politika ve eylem planıdır. Bu mutabakat, 2050 yılına kadar Avrupa'yı karbon nötr bir kıta yapmayı hedeflemektedir. Bu amaç doğrultusunda, farklı sektörlerde (enerji, ulaşım, sanayi, tarım vb.) çeşitli politika ve düzenlemeler hayata geçirilmektedir. AYM'nin temel taşlarından biri de “Sürdürülebilir Akıllı Ulaşım Eylem Planı”dır. Bu Eylem Planı, ulaşım sektöründe çevre dostu ve akıllı çözümleri teşvik ederek ulaşımın çevresel etkileri azaltmayı ve ulaşımı daha sürdürülebilir bir hale getirmeyi hedeflenmektedir. AB ile sıkı ticari ilişkiye sahip ve AB aday ülke statüsünde bulunan Türkiye için de AB’nin AYM ile girdiği yeşil dönüşüm sürecine uyum sağlaması, Türkiye’nin ticari ve ekonomik zorluklar yaşama, yatırımlarda azalma, uluslararası itibar kaybı, AB katılım sürecinde zorluklar ve çevresel sorunlarda artış gibi olumsuzluklarla karşılaşmaması adına önem arz etmektedir. Bu durumu göz önünde bulunduran Türkiye politikalarında çeşitli düzenlemeler yapmaktadır. Yüksek sera gazı emisyonundan sorumlu taşımacılık sektörü, AYM yer edinen bir alandır. Buna göre Türkiye, çevresel etkileri azaltmak, enerji verimliliğini artırmak ve sürdürülebilir ulaşım altyapısını geliştirmek için çeşitli politika ve yasal düzenlemeleri hayata geçirmiştir. Bu ça</w:t>
      </w:r>
    </w:p>
    <w:p>
      <w:pPr/>
      <w:r>
        <w:rPr>
          <w:b/>
        </w:rPr>
        <w:t>POSSIBLE 2023:</w:t>
      </w:r>
      <w:r>
        <w:t xml:space="preserve"> BRIDGING MARITIME SPATIAL PLANNING [MSP] AND THE EUROPEAN GREEN DEAL [EGD]: Recommendations on how to strengthen the integration of EGD maritime components into MSP — https://openalex.org/W7126351769</w:t>
      </w:r>
    </w:p>
    <w:p>
      <w:pPr/>
      <w:r>
        <w:rPr>
          <w:b/>
        </w:rPr>
        <w:t>Shared claim-specific concepts:</w:t>
      </w:r>
      <w:r>
        <w:t xml:space="preserve"> green, deal, egd;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The European Green Deal — https://doi.org/10.4324/9781003246985-3</w:t>
      </w:r>
    </w:p>
    <w:p>
      <w:pPr/>
      <w:r>
        <w:rPr>
          <w:b/>
        </w:rPr>
        <w:t>Shared claim-specific concepts:</w:t>
      </w:r>
      <w:r>
        <w:t xml:space="preserve"> green, deal, egd, main; EU scope visible. This is a provisional connection, not an outcome finding.</w:t>
      </w:r>
    </w:p>
    <w:p>
      <w:pPr>
        <w:pStyle w:val="SourceNote"/>
      </w:pPr>
      <w:r>
        <w:rPr>
          <w:b/>
        </w:rPr>
        <w:t>Available abstract (not full text):</w:t>
      </w:r>
      <w:r>
        <w:t xml:space="preserve"> This chapter investigates the transformative nature of the European Green Deal (EGD) by assessing the shortsightedness of the 2020 Package, the 2030 Framework, and the EGD. Specifically, the chapter examines the roles of the main EU institutions (European Commission, Council of the EU, and European Parliament) during policy formulation by focusing on the level of shortsightedness. The chapter applies a previously developed shortsightedness framework to the legislative packages and the institutions’ positions. The framework consists of four indicators: (1) The extent to which the targets are in line with science-based long-term objectives; (2) the stringency of the legislation; (3) the adaptability of the legislation; and (4) the presence of long-term thinking in the legislation. Overall, the chapter concludes that the EGD is not as transformative as portrayed by the Commission but rather a continuation of existing trends. The chapter confirms the image of the European Parliament as an ‘environmental champion’ as many of the farsighted aspects of EU climate policy correlate with the Parliament&amp;s;s position. While the shortsightedness of the Council&amp;s;s and the Commission&amp;s;s positions fluctuates over time, the Council has been the most shortsighted.</w:t>
      </w:r>
    </w:p>
    <w:p>
      <w:pPr/>
      <w:r>
        <w:rPr>
          <w:b/>
        </w:rPr>
        <w:t>POSSIBLE 2023:</w:t>
      </w:r>
      <w:r>
        <w:t xml:space="preserve"> The “Greening” of Empire: The European Green Deal as the EU first agenda — https://doi.org/10.1016/j.polgeo.2023.102925</w:t>
      </w:r>
    </w:p>
    <w:p>
      <w:pPr/>
      <w:r>
        <w:rPr>
          <w:b/>
        </w:rPr>
        <w:t>Shared claim-specific concepts:</w:t>
      </w:r>
      <w:r>
        <w:t xml:space="preserve"> green, deal, egd, strategy; EU scope visible. This is a provisional connection, not an outcome finding.</w:t>
      </w:r>
    </w:p>
    <w:p>
      <w:pPr>
        <w:pStyle w:val="SourceNote"/>
      </w:pPr>
      <w:r>
        <w:rPr>
          <w:b/>
        </w:rPr>
        <w:t>Available abstract (not full text):</w:t>
      </w:r>
      <w:r>
        <w:t xml:space="preserve"> The recent past has seen the proposal of multiple ‘Green New Deals’ across geographies as a means to fight against the climate crisis and ecological breakdown. Of these, the European Green Deal- EGD represents the world's first public commitment to reduce greenhouse gas emissions of at least 55% by 2030 compared to 1990 levels. Because the EGD plans to “transform the EU,” in this paper we examine how it fits within a historical continuum of colonial and neo-colonial relations. We argue that the EGD is the latest discursive strategy for the ‘greening' of empire through four registers: (1) turning ecological crises into profitable opportunities; (2) portraying the EU as a ‘moral’ intervener; (3) building on a ‘green' “will to improve”; and (4) securitizing and consolidating the empire. We find how the EU acts in key policy arenas of diplomacy, trade and investment leading to the ‘greening' of the empire that ensures its continued economic and political leadership while fundamentally maintaining a status quo. We conclude with some reflections on the role of the EU to cede place to other possibilities of building anti-colonial ecologies.</w:t>
      </w:r>
    </w:p>
    <w:p>
      <w:pPr/>
      <w:r>
        <w:rPr>
          <w:b/>
        </w:rPr>
        <w:t>POSSIBLE 2023:</w:t>
      </w:r>
      <w:r>
        <w:t xml:space="preserve"> The European Green Deal: Challenges and opportunities for the Southern Mediterranean — https://doi.org/10.1080/13629395.2023.2237295</w:t>
      </w:r>
    </w:p>
    <w:p>
      <w:pPr/>
      <w:r>
        <w:rPr>
          <w:b/>
        </w:rPr>
        <w:t>Shared claim-specific concepts:</w:t>
      </w:r>
      <w:r>
        <w:t xml:space="preserve"> green, deal, egd, ambitious, strategy, union; EU scope visible. This is a provisional connection, not an outcome finding.</w:t>
      </w:r>
    </w:p>
    <w:p>
      <w:pPr>
        <w:pStyle w:val="SourceNote"/>
      </w:pPr>
      <w:r>
        <w:rPr>
          <w:b/>
        </w:rPr>
        <w:t>Available abstract (not full text):</w:t>
      </w:r>
      <w:r>
        <w:t xml:space="preserve"> The European Green Deal (EGD) marked the commitment of the European Union (EU) to a carbon-free, socially inclusive economic system. Even if conceived as an essentially domestic growth strategy, the EGD is inspiring EU diplomacy, as economic cooperation will be needed to realize the EGD’s ambitious vision. This profile aims to investigate and reflect on the potential implications of the EGD for the countries in the EU’s Southern Neighbourhood, especially in the energy sector, agriculture and food system, trade in raw materials, climate action, and circular economy. We expect the EGD to result in an increased investment in renewable energy, a reduction in emissions, green diplomacy, and funding opportunities for green projects and green infrastructures. The EGD brings with it attractive opportunities for a better cooperation on climate action and opportunities for job creation, green growth, and sustainable development. We believe that the EGD has the potential to be a win–win deal for the EU and its Southern Neighbours, with the EU goal to supply green inputs and of creating a market for green products.</w:t>
      </w:r>
    </w:p>
    <w:p>
      <w:pPr/>
      <w:r>
        <w:rPr>
          <w:b/>
        </w:rPr>
        <w:t>POSSIBLE 2023:</w:t>
      </w:r>
      <w:r>
        <w:t xml:space="preserve"> The European (Green?) Deal: a systematic analysis of environmental sustainability — https://doi.org/10.1002/sd.2671</w:t>
      </w:r>
    </w:p>
    <w:p>
      <w:pPr/>
      <w:r>
        <w:rPr>
          <w:b/>
        </w:rPr>
        <w:t>Shared claim-specific concepts:</w:t>
      </w:r>
      <w:r>
        <w:t xml:space="preserve"> green, deal, egd, sustainability; EU scope visible. This is a provisional connection, not an outcome finding.</w:t>
      </w:r>
    </w:p>
    <w:p>
      <w:pPr>
        <w:pStyle w:val="SourceNote"/>
      </w:pPr>
      <w:r>
        <w:rPr>
          <w:b/>
        </w:rPr>
        <w:t>Available abstract (not full text):</w:t>
      </w:r>
      <w:r>
        <w:t xml:space="preserve"> Abstract Transitioning towards a sustainable society is at the core of public planning in the EU through the European Green Deal (EGD). However, is the EGD a master plan for actual sustainable development in the EU? This work aims to answer this question through an analysis of the environmental sustainability within the EGD's plans through the method of critical discourse analysis, and discussing the results with previous efforts for sustainable development in the EU and in the UN. The results of the analysis identify fundamental flaws in the environmental sustainability of the EGD, which seems to repeat mistakes of previous efforts for sustainability planning in the EU. This work concludes that economic growth is the predominant focus in public planning and that the EGD needs a review of various environmental aspects to be considered the master plan for a transition towards a sustainable EU.</w:t>
      </w:r>
    </w:p>
    <w:p>
      <w:pPr>
        <w:pStyle w:val="Heading2"/>
      </w:pPr>
      <w:r>
        <w:t>610.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pStyle w:val="Heading2"/>
      </w:pPr>
      <w:r>
        <w:t>611.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2024:</w:t>
      </w:r>
      <w:r>
        <w:t xml:space="preserve"> Between policy issues and values: the public discourse of constrained presidents in Western Europe — https://doi.org/10.1080/14782804.2024.2445299</w:t>
      </w:r>
    </w:p>
    <w:p>
      <w:pPr/>
      <w:r>
        <w:rPr>
          <w:b/>
        </w:rPr>
        <w:t>Shared claim-specific concepts:</w:t>
      </w:r>
      <w:r>
        <w:t xml:space="preserve"> addition, compared, values, findings; EU scope visible. This is a provisional connection, not an outcome finding.</w:t>
      </w:r>
    </w:p>
    <w:p>
      <w:pPr>
        <w:pStyle w:val="SourceNote"/>
      </w:pPr>
      <w:r>
        <w:rPr>
          <w:b/>
        </w:rPr>
        <w:t>Available abstract (not full text):</w:t>
      </w:r>
      <w:r>
        <w:t xml:space="preserve"> Constrained presidents considerably use going-public strategies among their possible patterns of behaviour. However, presidential going public is under-investigated in Europe. This paper specifically addresses this gap in literature by focusing on New Year (NY) and Christmas (CH) speeches of Western European presidents in office since the 1990s. The paper aims at investigating if and to what extent policy issues are relevant in their public discourse and what issues they specifically prime. This is a comparative research involving four semi-presidential (Austria, Finland, Ireland and Portugal) and two parliamentary regimes (Germany and Italy) for a total of 21 presidents and 144 speeches. By combining qualitative content analysis and descriptive statistics the most relevant coding references have been linked to the characteristics of presidents (i.e. their party family and their term of office) as well as to the characteristics of the political system where they operate (parliamentary vs. semi-presidential systems) to understand if certain specific patterns may be identified or not. The main findings are that although policy issues are not always the most developed compared to polity issues and values, presidents often succeed in transforming a ceremonial speech into a means of agenda setting. In addition, domestic issues are more developed than EU and foreign policy issues in </w:t>
      </w:r>
    </w:p>
    <w:p>
      <w:pPr/>
      <w:r>
        <w:rPr>
          <w:b/>
        </w:rPr>
        <w:t>POSSIBLE 2024:</w:t>
      </w:r>
      <w:r>
        <w:t xml:space="preserve"> Soil bulk density assessment in Europe — https://doi.org/10.1016/j.agee.2024.108907</w:t>
      </w:r>
    </w:p>
    <w:p>
      <w:pPr/>
      <w:r>
        <w:rPr>
          <w:b/>
        </w:rPr>
        <w:t>Shared claim-specific concepts:</w:t>
      </w:r>
      <w:r>
        <w:t xml:space="preserve"> compared, very, good;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European soybean to benefit people and the environment — https://doi.org/10.1038/s41598-024-57522-z</w:t>
      </w:r>
    </w:p>
    <w:p>
      <w:pPr/>
      <w:r>
        <w:rPr>
          <w:b/>
        </w:rPr>
        <w:t>Shared claim-specific concepts:</w:t>
      </w:r>
      <w:r>
        <w:t xml:space="preserve"> addition, compared, findings; EU scope visible. This is a provisional connection, not an outcome finding.</w:t>
      </w:r>
    </w:p>
    <w:p>
      <w:pPr>
        <w:pStyle w:val="SourceNote"/>
      </w:pPr>
      <w:r>
        <w:rPr>
          <w:b/>
        </w:rPr>
        <w:t>Available abstract (not full text):</w:t>
      </w:r>
      <w:r>
        <w:t xml:space="preserve"> Abstract Europe imports large amounts of soybean that are predominantly used for livestock feed, mainly sourced from Brazil, USA and Argentina. In addition, the demand for GM-free soybean for human consumption is project to increase. Soybean has higher protein quality and digestibility than other legumes, along with high concentrations of isoflavones, phytosterols and minerals that enhance the nutritional value as a human food ingredient. Here, we examine the potential to increase soybean production across Europe for livestock feed and direct human consumption, and review possible effects on the environment and human health. Simulations and field data indicate rainfed soybean yields of 3.1 ± 1.2 t ha−1 from southern UK through to southern Europe (compared to a 3.5 t ha−1 average from North America). Drought-prone southern regions and cooler northern regions require breeding to incorporate stress-tolerance traits. Literature synthesized in this work evidenced soybean properties important to human nutrition, health, and traits related to food processing compared to alternative protein sources. While acknowledging the uncertainties inherent in any modelling exercise, our findings suggest that further integrating soybean into European agriculture could reduce GHG emissions by 37–291 Mt CO2e year−1 and fertiliser N use by 0.6–1.2 Mt year−1, concurrently improving human health and nu</w:t>
      </w:r>
    </w:p>
    <w:p>
      <w:pPr/>
      <w:r>
        <w:rPr>
          <w:b/>
        </w:rPr>
        <w:t>POSSIBLE 2024:</w:t>
      </w:r>
      <w:r>
        <w:t xml:space="preserve"> Enforcement actions against European banks in the years 2005–2022. Do financial penalties imposed on European banks follow any patterns? — https://doi.org/10.1057/s41261-024-00242-1</w:t>
      </w:r>
    </w:p>
    <w:p>
      <w:pPr/>
      <w:r>
        <w:rPr>
          <w:b/>
        </w:rPr>
        <w:t>Shared claim-specific concepts:</w:t>
      </w:r>
      <w:r>
        <w:t xml:space="preserve"> bank, database, approach, countries; EU scope visible. This is a provisional connection, not an outcome finding.</w:t>
      </w:r>
    </w:p>
    <w:p>
      <w:pPr>
        <w:pStyle w:val="SourceNote"/>
      </w:pPr>
      <w:r>
        <w:rPr>
          <w:b/>
        </w:rPr>
        <w:t>Available abstract (not full text):</w:t>
      </w:r>
      <w:r>
        <w:t xml:space="preserve"> Abstract This study aims to identify, by year and over the entire period under study (2005–2022), the countries with the most restrictive bank sanctioning policies in terms of amounts and numbers of penalties to point out the most active institutions in terms of imposing penalties, and to determine the regularities governing the process of imposing these burdens. Using linear ordering methods, groups of countries with similar levels of supervisory stringency identified with one of the supervisory actions, which are financial penalties, are distinguished. A total of 53 banks (the 50 largest European banks and an additional three banks designated as G-SIIs by the EBA) are identified from a constructed database of more than 300 European banks with penalties imposed between 2005 and 2022. The study’s conclusions indicate that the frequency of penalties cannot be clearly equated with the restrictiveness of supervisory institutions, as evidenced by the example of Hungary (multiplication of small penalties). The positioning of countries regarding the number of penalties, their value and grouping using linear ordering allows the conclusion that highly developed countries are characterized by relatively high restrictiveness. The results also show the difference between the Anglo-Saxon and continental models. The analysis in this article is the first comprehensive study of penalties impo</w:t>
      </w:r>
    </w:p>
    <w:p>
      <w:pPr/>
      <w:r>
        <w:rPr>
          <w:b/>
        </w:rPr>
        <w:t>POSSIBLE 2024:</w:t>
      </w:r>
      <w:r>
        <w:t xml:space="preserve"> An evaluation of the inflation forecasting performance of the European Central Bank, the Federal Reserve, and the Bank of England — https://doi.org/10.1002/for.3063</w:t>
      </w:r>
    </w:p>
    <w:p>
      <w:pPr/>
      <w:r>
        <w:rPr>
          <w:b/>
        </w:rPr>
        <w:t>Shared claim-specific concepts:</w:t>
      </w:r>
      <w:r>
        <w:t xml:space="preserve"> bank, very, approach; EU scope visible. This is a provisional connection, not an outcome finding.</w:t>
      </w:r>
    </w:p>
    <w:p>
      <w:pPr>
        <w:pStyle w:val="SourceNote"/>
      </w:pPr>
      <w:r>
        <w:rPr>
          <w:b/>
        </w:rPr>
        <w:t>Available abstract (not full text):</w:t>
      </w:r>
      <w:r>
        <w:t xml:space="preserve"> Abstract We provide an overview of the formulation of the forecasts of the European Central Bank, the Federal Reserve, and the Bank of England. We also provide statistical assessments of the performance of the forecasting process of those central banks. We find that the inflation forecasts have, by‐and‐large, been unbiased and efficient at the very short‐term forecast horizon. The performance deteriorates over longer horizons. This latter finding could be attributable, inter alia, to the approach applied in the integration in the forecasting process of the assumptions on the future market‐implied interest rate path.</w:t>
      </w:r>
    </w:p>
    <w:p>
      <w:pPr/>
      <w:r>
        <w:rPr>
          <w:b/>
        </w:rPr>
        <w:t>POSSIBLE 2023:</w:t>
      </w:r>
      <w:r>
        <w:t xml:space="preserve"> Ecological Indicator Values for Europe (EIVE) 1.0 — https://doi.org/10.3897/vcs.98324</w:t>
      </w:r>
    </w:p>
    <w:p>
      <w:pPr/>
      <w:r>
        <w:rPr>
          <w:b/>
        </w:rPr>
        <w:t>Shared claim-specific concepts:</w:t>
      </w:r>
      <w:r>
        <w:t xml:space="preserve"> addition, values, database; EU scope visible. This is a provisional connection, not an outcome finding.</w:t>
      </w:r>
    </w:p>
    <w:p>
      <w:pPr>
        <w:pStyle w:val="SourceNote"/>
      </w:pPr>
      <w:r>
        <w:rPr>
          <w:b/>
        </w:rPr>
        <w:t>Available abstract (not full text):</w:t>
      </w:r>
      <w:r>
        <w:t xml:space="preserve"> Aims : To develop a consistent ecological indicator value system for Europe for five of the main plant niche dimensions: soil moisture (M), soil nitrogen (N), soil reaction (R), light (L) and temperature (T). Study area : Europe (and closely adjacent regions). Methods : We identified 31 indicator value systems for vascular plants in Europe that contained assessments on at least one of the five aforementioned niche dimensions. We rescaled the indicator values of each dimension to a continuous scale, in which 0 represents the minimum and 10 the maximum value present in Europe. Taxon names were harmonised to the Euro+Med Plantbase. For each of the five dimensions, we calculated European values for niche position and niche width by combining the values from the individual EIV systems. Using T values as an example, we externally validated our European indicator values against the median of bioclimatic conditions for global occurrence data of the taxa. Results : In total, we derived European indicator values of niche position and niche width for 14,835 taxa (14,714 for M, 13,748 for N, 14,254 for R, 14,054 for L, 14,496 for T). Relating the obtained values for temperature niche position to the bioclimatic data of species yielded a higher correlation than any of the original EIV systems ( r = 0.859). The database : The newly developed Ecological Indicator Values for Europe (EIVE) 1.0,</w:t>
      </w:r>
    </w:p>
    <w:p>
      <w:pPr/>
      <w:r>
        <w:rPr>
          <w:b/>
        </w:rPr>
        <w:t>POSSIBLE 2023:</w:t>
      </w:r>
      <w:r>
        <w:t xml:space="preserve"> Genetic diversity and selection signatures in a gene bank panel of maize inbred lines from Southeast Europe compared with two West European panels — https://doi.org/10.1186/s12870-023-04336-2</w:t>
      </w:r>
    </w:p>
    <w:p>
      <w:pPr/>
      <w:r>
        <w:rPr>
          <w:b/>
        </w:rPr>
        <w:t>Shared claim-specific concepts:</w:t>
      </w:r>
      <w:r>
        <w:t xml:space="preserve"> compared, bank, very; EU scope visible. This is a provisional connection, not an outcome finding.</w:t>
      </w:r>
    </w:p>
    <w:p>
      <w:pPr>
        <w:pStyle w:val="SourceNote"/>
      </w:pPr>
      <w:r>
        <w:rPr>
          <w:b/>
        </w:rPr>
        <w:t>Available abstract (not full text):</w:t>
      </w:r>
      <w:r>
        <w:t xml:space="preserve"> Southeast Europe (SEE) is a very important maize-growing region, comparable to the Corn belt region of the United States, with similar dent germplasm (dent by dent hybrids). Historically, this region has undergone several genetic material swaps, following the trends in the US, with one of the most significant swaps related to US aid programs after WWII. The imported accessions used to make double-cross hybrids were also mixed with previously adapted germplasm originating from several more distant OPVs, supporting the transition to single cross-breeding. Many of these materials were deposited at the Maize Gene Bank of the Maize Research Institute Zemun Polje (MRIZP) between the 1960s and 1980s. A part of this Gene Bank (572 inbreds) was genotyped with Affymetrix Axiom Maize Genotyping Array with 616,201 polymorphic variants. Data were merged with two other genotyping datasets with mostly European flint (TUM dataset) and dent (DROPS dataset) germplasm. The final pan-European dataset consisted of 974 inbreds and 460,243 markers. Admixture analysis showed seven ancestral populations representing European flint, B73/B14, Lancaster, B37, Wf9/Oh07, A374, and Iodent pools. Subpanel of inbreds with SEE origin showed a lack of Iodent germplasm, marking its historical context. Several signatures of selection were identified at chromosomes 1, 3, 6, 7, 8, 9, and 10. The regions under select</w:t>
      </w:r>
    </w:p>
    <w:p>
      <w:pPr/>
      <w:r>
        <w:rPr>
          <w:b/>
        </w:rPr>
        <w:t>POSSIBLE 2023:</w:t>
      </w:r>
      <w:r>
        <w:t xml:space="preserve"> On the relationship between corruption and bank lending activity: European evidence — https://doi.org/10.1108/jfc-10-2022-0253</w:t>
      </w:r>
    </w:p>
    <w:p>
      <w:pPr/>
      <w:r>
        <w:rPr>
          <w:b/>
        </w:rPr>
        <w:t>Shared claim-specific concepts:</w:t>
      </w:r>
      <w:r>
        <w:t xml:space="preserve"> addition, world, bank, findings, approach, countries; EU scope visible. This is a provisional connection, not an outcome finding.</w:t>
      </w:r>
    </w:p>
    <w:p>
      <w:pPr>
        <w:pStyle w:val="SourceNote"/>
      </w:pPr>
      <w:r>
        <w:rPr>
          <w:b/>
        </w:rPr>
        <w:t>Available abstract (not full text):</w:t>
      </w:r>
      <w:r>
        <w:t xml:space="preserve"> Purpose This paper aims to study the effect of country-level perceptions of corruption on commercial banks’ lending activity over the importance of loans and the quality of loan portfolios of banks in Europe. Design/methodology/approach The paper uses country-level perceptions of corruption scores from Transparency International, individual bank-specific data from ORBIS and macroeconomic data from the World Bank. The sample is composed of 640 commercial banks in 42 European countries from 2013 to 2019. The authors estimate, by pooled OLS, the relationship between corruption and the importance of loans and the quality of the banks’ loan portfolios. In addition, several robustness tests reinforce the results. Findings The results show that corruption negatively impacts the importance of loans in bank assets and positively impacts the proportion of bad loans. In addition, trade openness increases the weight of loans and the weight of nonperforming loans. Bank size, capital and risk also affect bank lending activity. Finally, European Monetary Union (EMU) membership reinforces the negative (positive) effect on loans (bad loans). Research limitations/implications The results highlight the importance of fighting corruption. Governments, regulators and banks benefit from pursuing transparency-oriented policies to decrease the perception of corruption and foster economic development. O</w:t>
      </w:r>
    </w:p>
    <w:p>
      <w:pPr/>
      <w:r>
        <w:rPr>
          <w:b/>
        </w:rPr>
        <w:t>POSSIBLE 2022:</w:t>
      </w:r>
      <w:r>
        <w:t xml:space="preserve"> The Effect of COVID-19 on the Value Relevance of European Firms’ Financial Statements — https://doi.org/10.33094/ijaefa.v14i1.661</w:t>
      </w:r>
    </w:p>
    <w:p>
      <w:pPr/>
      <w:r>
        <w:rPr>
          <w:b/>
        </w:rPr>
        <w:t>Shared claim-specific concepts:</w:t>
      </w:r>
      <w:r>
        <w:t xml:space="preserve"> addition, compared, countries, almost, same; EU scope visible. This is a provisional connection, not an outcome finding.</w:t>
      </w:r>
    </w:p>
    <w:p>
      <w:pPr>
        <w:pStyle w:val="SourceNote"/>
      </w:pPr>
      <w:r>
        <w:rPr>
          <w:b/>
        </w:rPr>
        <w:t>Available abstract (not full text):</w:t>
      </w:r>
      <w:r>
        <w:t xml:space="preserve"> The main topic of this study was the value relevance of accounting information. It employed a sample of 1,645 companies listed on the stock exchanges of the top six European Economies (in terms of GDP) – France, Germany, Italy, the Netherlands, Spain and the United Kingdom – for the period 2010-2020. The study’s analysis was based on the Ohlson model and used linear regression. The paper examines the difference between these countries in terms of value relevance. In addition, the paper examines the effects that the Covid-19 pandemic outbreak had on the value relevance of financial statements. The purpose is to examine how investors have been affected by the pandemic and the influence it has had on the importance of financial statements and specific accounting variables. Furthermore, we compare the importance of the two most significant accounting variables, earnings and book value (equity) before and after the pandemic. The results suggest that the explanatory power of financial statements is almost the same for all countries, except Germany, where it is significantly higher. The explanatory power of financial statements decreased in all countries after the start of the pandemic. Moreover, in most countries, earnings seem to have lost value relevance compared with book value due to the financial crisis.</w:t>
      </w:r>
    </w:p>
    <w:p>
      <w:pPr>
        <w:pStyle w:val="Heading2"/>
      </w:pPr>
      <w:r>
        <w:t>612.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Depopulation and Regional Sustainability: Structural Transformation and Economic Resilience in Post-Growth Japan — https://doi.org/10.3390/su18041841</w:t>
      </w:r>
    </w:p>
    <w:p>
      <w:pPr/>
      <w:r>
        <w:rPr>
          <w:b/>
        </w:rPr>
        <w:t>Shared claim-specific concepts:</w:t>
      </w:r>
      <w:r>
        <w:t xml:space="preserve"> depopulation, related, structural, decline, also, shrinking; EU scope not established. This is a provisional connection, not an outcome finding.</w:t>
      </w:r>
    </w:p>
    <w:p>
      <w:pPr>
        <w:pStyle w:val="SourceNote"/>
      </w:pPr>
      <w:r>
        <w:rPr>
          <w:b/>
        </w:rPr>
        <w:t>Available abstract (not full text):</w:t>
      </w:r>
      <w:r>
        <w:t xml:space="preserve"> This study examines long-term changes in regional productivity in Japan by analyzing real GDP per worker for all prefectures from 1975 to 2021 and real municipal GDP per working-age person for 29 municipalities in Mie Prefecture from 2011 to 2021. Using nationally deflated real output measures, the analysis reveals a consistent pattern across both prefectural and municipal levels: regions experiencing substantial declines in the working-age population often recorded notable increases in productivity. In contrast, major metropolitan prefectures such as Tokyo exhibited rising employment but only limited productivity gains. These findings challenge the conventional view that population decline inevitably leads to economic stagnation and instead suggest that demographic contraction may facilitate structural adjustment, adaptive resilience, and productivity enhancement in certain regional contexts. This multi-scale approach integrates long-term prefectural trends with detailed municipal-level dynamics, highlighting the importance of regional heterogeneity in Japan’s demographic and economic transitions. The study also acknowledges limitations related to data availability and the absence of region-specific price indices. Overall, the findings indicate that demographic decline and productivity growth are not mutually exclusive and that understanding regional adaptation to shrinking la</w:t>
      </w:r>
    </w:p>
    <w:p>
      <w:pPr/>
      <w:r>
        <w:rPr>
          <w:b/>
        </w:rPr>
        <w:t>POSSIBLE 2026:</w:t>
      </w:r>
      <w:r>
        <w:t xml:space="preserve"> Patterns of Loss: A Typology of Depopulating Cities in the USA — https://doi.org/10.3390/urbansci10030147</w:t>
      </w:r>
    </w:p>
    <w:p>
      <w:pPr/>
      <w:r>
        <w:rPr>
          <w:b/>
        </w:rPr>
        <w:t>Shared claim-specific concepts:</w:t>
      </w:r>
      <w:r>
        <w:t xml:space="preserve"> depopulation, decline, trajectories, article, shrinking; EU scope not established. This is a provisional connection, not an outcome finding.</w:t>
      </w:r>
    </w:p>
    <w:p>
      <w:pPr>
        <w:pStyle w:val="SourceNote"/>
      </w:pPr>
      <w:r>
        <w:rPr>
          <w:b/>
        </w:rPr>
        <w:t>Available abstract (not full text):</w:t>
      </w:r>
      <w:r>
        <w:t xml:space="preserve"> This article develops a typology of U.S. depopulating cities beyond the Rust Belt's iconic industrial cities, which dominate academic literature, to include a wider range of shrinking settlements in the shadows. Using population change from 1990–2020 and three explanatory dimensions—city size, industrial heritage, and peripheral location—the analysis identified 1,082 places that lost at least 10% of their population. Logistic regression showed manufacturing and mining reliance, small size, and remoteness as significant predictors of depopulation. Based on these factors, settlements are divided into seven types, from large urban centers to small peripheral towns with fewer than 5,000 people. The overwhelming predominance of small towns (97%) in the sample highlights their distinct development challenges and questions the narrative of decline focused solely on larger industrial cities. By situating American trajectories within the broader shrinking cities discourse, the findings demonstrate the value of typology as a methodological tool for identifying intra-group heterogeneity, capturing regional differences, and establishing a more reliable basis for comparative urban studies. Ultimately, the study shows that urban decline in the United States is not exclusively a Rust Belt phenomenon, but a multidimensional process encompassing different scales, sectors, and geographies.</w:t>
      </w:r>
    </w:p>
    <w:p>
      <w:pPr/>
      <w:r>
        <w:rPr>
          <w:b/>
        </w:rPr>
        <w:t>POSSIBLE 2025:</w:t>
      </w:r>
      <w:r>
        <w:t xml:space="preserve"> Biodiversity change under human depopulation in Japan — https://doi.org/10.1038/s41893-025-01578-w</w:t>
      </w:r>
    </w:p>
    <w:p>
      <w:pPr/>
      <w:r>
        <w:rPr>
          <w:b/>
        </w:rPr>
        <w:t>Shared claim-specific concepts:</w:t>
      </w:r>
      <w:r>
        <w:t xml:space="preserve"> abstract, depopulation, also, areas; EU scope not established. This is a provisional connection, not an outcome finding.</w:t>
      </w:r>
    </w:p>
    <w:p>
      <w:pPr>
        <w:pStyle w:val="SourceNote"/>
      </w:pPr>
      <w:r>
        <w:rPr>
          <w:b/>
        </w:rPr>
        <w:t>Available abstract (not full text):</w:t>
      </w:r>
      <w:r>
        <w:t xml:space="preserve"> Abstract Global studies consistently highlight a direct relationship between habitat and species losses, and human population and economic growth. Nevertheless, countries are experiencing below-replacement human fertility and starting to depopulate; among these countries, Japan is a global forerunner. To better understand whether human depopulation automatically yields environmentally restorative outcomes, we examine the impacts of human depopulation on aspects of biodiversity in Japan. Alongside population, land use and surface temperature, we analyse biodiversity change among 464 taxonomic species of bird, butterfly, firefly and frog egg masses, and 2,922 native and non-native plant species in wooded, agricultural and peri-urban landscapes across Japan over periods of 5–17 years from 2004. Irrespective of human population increase or decrease, biodiversity losses continue among most species studied mainly because of change in agricultural land use, either due to urbanization, disuse and abandonment, or intensification. Only where human numbers are currently stable, biodiversity is also more stable, although we anticipate that this may also change as ageing deepens into depopulation in these areas. We conclude by urging countries facing depopulation to account for its outcomes in their biodiversity conservation and restoration strategies.</w:t>
      </w:r>
    </w:p>
    <w:p>
      <w:pPr/>
      <w:r>
        <w:rPr>
          <w:b/>
        </w:rPr>
        <w:t>POSSIBLE 2025:</w:t>
      </w:r>
      <w:r>
        <w:t xml:space="preserve"> Shaping the Residential Attractiveness of Towns in Lesser Poland in the Context of Urban Shrinkage — https://doi.org/10.2478/he-2025-0031</w:t>
      </w:r>
    </w:p>
    <w:p>
      <w:pPr/>
      <w:r>
        <w:rPr>
          <w:b/>
        </w:rPr>
        <w:t>Shared claim-specific concepts:</w:t>
      </w:r>
      <w:r>
        <w:t xml:space="preserve"> abstract, shrinkage, depopulation, decline, present, article; EU scope visible. This is a provisional connection, not an outcome finding.</w:t>
      </w:r>
    </w:p>
    <w:p>
      <w:pPr>
        <w:pStyle w:val="SourceNote"/>
      </w:pPr>
      <w:r>
        <w:rPr>
          <w:b/>
        </w:rPr>
        <w:t>Available abstract (not full text):</w:t>
      </w:r>
      <w:r>
        <w:t xml:space="preserve"> Abstract This article addresses the challenge of enhancing the residential attractiveness of towns experiencing rapid population decline and demographic aging. The aim of the study is to analyse and evaluate the actions undertaken by towns in Lesser Poland to improve residential appeal in the face of depopulation, and to identify key determinants and tools for mitigating the negative effects of these processes. The spatial scope includes 12 small towns in the region characterized by depopulation both within the town and its immediate surroundings. The temporal scope covers the early 21st century to the present. The research methodology combines quantitative methods (statistical data analysis, Webb’s typology) with qualitative approaches (analysis of strategic, revitalization, and planning documents). The study also includes a literature review and an examination of official websites and social media platform. The studied towns counteract depopulation by focusing on enhancing residential attractiveness through housing development, revitalization, improved quality of life, and rational spatial management.</w:t>
      </w:r>
    </w:p>
    <w:p>
      <w:pPr/>
      <w:r>
        <w:rPr>
          <w:b/>
        </w:rPr>
        <w:t>POSSIBLE 2025:</w:t>
      </w:r>
      <w:r>
        <w:t xml:space="preserve"> Thriving or sinking? The emplacement process of Ukrainian refugees in depopulating, peripheral areas in the Netherlands — https://doi.org/10.1111/geoj.12621</w:t>
      </w:r>
    </w:p>
    <w:p>
      <w:pPr/>
      <w:r>
        <w:rPr>
          <w:b/>
        </w:rPr>
        <w:t>Shared claim-specific concepts:</w:t>
      </w:r>
      <w:r>
        <w:t xml:space="preserve"> abstract, depopulation, areas; EU scope visible. This is a provisional connection, not an outcome finding.</w:t>
      </w:r>
    </w:p>
    <w:p>
      <w:pPr>
        <w:pStyle w:val="SourceNote"/>
      </w:pPr>
      <w:r>
        <w:rPr>
          <w:b/>
        </w:rPr>
        <w:t>Available abstract (not full text):</w:t>
      </w:r>
      <w:r>
        <w:t xml:space="preserve"> Abstract The ‘free‐to‐work, free‐to‐settle’ feature of the EU's temporary protection for Ukrainian refugees has led millions to various locations, with the majority gravitating towards urban areas. However, due to housing shortages, a significant number have moved to peripheral municipalities experiencing depopulation. These refugees often find themselves in villages without a network and where the Ukrainian diaspora is small or non‐existent. Reflecting on their settlement and everyday ‘unproblematic’ encounters (conviviality) with neighbours, colleagues at work, and networks at various institutions in Het Hogeland and Pekela, The Netherlands, this analysis explores the emplacement process of Ukrainian refugees. Based on this reflection, the paper aims to address the question: Which factors facilitate or hinder positive encounters among Ukrainian refugees in these peripheral areas, motivating them to (re)consider taking root in these host localities?</w:t>
      </w:r>
    </w:p>
    <w:p>
      <w:pPr/>
      <w:r>
        <w:rPr>
          <w:b/>
        </w:rPr>
        <w:t>POSSIBLE 2025:</w:t>
      </w:r>
      <w:r>
        <w:t xml:space="preserve"> How Service Exclusion Affects Rural Depopulation. An Approach Based on Structural Equation Modelling — https://doi.org/10.1111/soru.70005</w:t>
      </w:r>
    </w:p>
    <w:p>
      <w:pPr/>
      <w:r>
        <w:rPr>
          <w:b/>
        </w:rPr>
        <w:t>Shared claim-specific concepts:</w:t>
      </w:r>
      <w:r>
        <w:t xml:space="preserve"> abstract, depopulation, structural; EU scope visible. This is a provisional connection, not an outcome finding.</w:t>
      </w:r>
    </w:p>
    <w:p>
      <w:pPr>
        <w:pStyle w:val="SourceNote"/>
      </w:pPr>
      <w:r>
        <w:rPr>
          <w:b/>
        </w:rPr>
        <w:t>Available abstract (not full text):</w:t>
      </w:r>
      <w:r>
        <w:t xml:space="preserve"> ABSTRACT This paper explores the relationship between service exclusion and the depopulation phenomenon. To achieve this, we apply structural equation modelling (SEM) to evaluate the lack of development of primary services (healthcare, education, social services, commerce, restaurants and bars, as well as Internet access) at the municipal level, considering their relationship with population loss and ageing—two of the most defining aspects of depopulation. Additionally, using cluster analysis techniques, we classify municipalities based on their degree of service exclusion, identifying distinct typologies and highlighting the most critical service deficits within each group. The study focuses on the Spanish region of Aragon, a striking example of severe rural population loss and pronounced ageing within the European context. Our findings reveal significant heterogeneity in both depopulation patterns and service exclusion. This heterogeneity highlights the need to propose specific rural policy measures adapted to the peculiarities of each territory to contribute to more resilient rural communities.</w:t>
      </w:r>
    </w:p>
    <w:p>
      <w:pPr/>
      <w:r>
        <w:rPr>
          <w:b/>
        </w:rPr>
        <w:t>POSSIBLE 2025:</w:t>
      </w:r>
      <w:r>
        <w:t xml:space="preserve"> The Level of Preparedness among the Local Governments of the Katowice Conurbation for Risks Associated with Depopulation and Ageing of the Population — https://doi.org/10.58036/stss.v12i2.923</w:t>
      </w:r>
    </w:p>
    <w:p>
      <w:pPr/>
      <w:r>
        <w:rPr>
          <w:b/>
        </w:rPr>
        <w:t>Shared claim-specific concepts:</w:t>
      </w:r>
      <w:r>
        <w:t xml:space="preserve"> shrinkage, depopulation, article, also; EU scope visible. This is a provisional connection, not an outcome finding.</w:t>
      </w:r>
    </w:p>
    <w:p>
      <w:pPr>
        <w:pStyle w:val="SourceNote"/>
      </w:pPr>
      <w:r>
        <w:rPr>
          <w:b/>
        </w:rPr>
        <w:t>Available abstract (not full text):</w:t>
      </w:r>
      <w:r>
        <w:t xml:space="preserve"> The Katowice conurbation is the largest traditional economic region in Central Europe and simultaneously a complex settlement system. Yet it faces numerous problems. The article attempts to answer the questions: (1) Does the hitherto relatively uniform economic structure of the Katowice conurbation, based on mining and metallurgy, cause similar intensities of depopulation, demographic ageing and urban shrinkage in 16 neighbouring towns? (2) Is the scope of policies mitigating the effects of these processes similar? The analysis of statistical data for 1999 and 2018 and the development strategies of individual towns shows that both the trends in population changes and the policies adopted towards them differ. The severity of the negative processes varies, with the largest being in Katowice, Sosnowiec and Bytom. Most towns recognize the problem yet consider its solution through selective actions (improvement in housing conditions, development of services or launching new industrial activities). There are also towns that, although seeing problems, marginalize them in their development strategies. Only Czeladź has a multifaceted approach to this problem. The general conclusion shows a need to coordinate the policies of local governments of the entire conurbation for the benefit of multifaceted measures to mitigate depopulation, demographic ageing and urban shrinkage.</w:t>
      </w:r>
    </w:p>
    <w:p>
      <w:pPr>
        <w:pStyle w:val="Heading2"/>
      </w:pPr>
      <w:r>
        <w:t>613.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2024:</w:t>
      </w:r>
      <w:r>
        <w:t xml:space="preserve"> THE RIGHTS OF NON-RESIDENTS OF THE EUROPEAN ECONOMIC AREA TO USE BANK ACCOUNTS IN EUROPEAN BANKS — https://doi.org/10.34660/inf.2020.5.54192</w:t>
      </w:r>
    </w:p>
    <w:p>
      <w:pPr/>
      <w:r>
        <w:rPr>
          <w:b/>
        </w:rPr>
        <w:t>Shared claim-specific concepts:</w:t>
      </w:r>
      <w:r>
        <w:t xml:space="preserve"> current, four, relevant; EU scope visible. This is a provisional connection, not an outcome finding.</w:t>
      </w:r>
    </w:p>
    <w:p>
      <w:pPr>
        <w:pStyle w:val="SourceNote"/>
      </w:pPr>
      <w:r>
        <w:rPr>
          <w:b/>
        </w:rPr>
        <w:t>Available abstract (not full text):</w:t>
      </w:r>
      <w:r>
        <w:t xml:space="preserve"> The article explores some features of exemption from criminal liability for tax crimes and insurance crimes.The reasons and conditions are specified under which criminal proceedings against citizens (individuals) are terminated in connection with active repentance for economic crimes.Keywords: exemption from criminal liability, taxes and fees, insurance payments, insurance premiums, compensation for damages. Process Management and Scientific Developmentsthan ten percent of the amount payable, or non-payment in the amount of two million seven hundred thousand rubles or more.A particularly large amount, respectively, is four million five hundred thousand rubles, if this is more than twenty percent of the amount payable, or non-payment of more than thirteen million five hundred thousand rubles.Now let us dwell on the issue of the grounds for exemption from criminal liability for insurance crimes.So, on the basis of the current legislation, the guilty person is not subject to criminal prosecution if the criminal act was committed for the first time, full payment of arrears of insurance premiums will also be a necessary condition; fully refunded interest; full amount paid fine.To summarize what has been said, the following points can be distinguished.The Constitution of the Russian Federation obliges every employed citizen to pay legally established taxes and fees.Failure to comply </w:t>
      </w:r>
    </w:p>
    <w:p>
      <w:pPr/>
      <w:r>
        <w:rPr>
          <w:b/>
        </w:rPr>
        <w:t>POSSIBLE 2024:</w:t>
      </w:r>
      <w:r>
        <w:t xml:space="preserve"> Convergence of accounting systems through the lens of accounting theory and harmonization paradigms — https://doi.org/10.17072/1994-9960-2024-3-300-325</w:t>
      </w:r>
    </w:p>
    <w:p>
      <w:pPr/>
      <w:r>
        <w:rPr>
          <w:b/>
        </w:rPr>
        <w:t>Shared claim-specific concepts:</w:t>
      </w:r>
      <w:r>
        <w:t xml:space="preserve"> took, materials, well, relevant; EU scope visible. This is a provisional connection, not an outcome finding.</w:t>
      </w:r>
    </w:p>
    <w:p>
      <w:pPr>
        <w:pStyle w:val="SourceNote"/>
      </w:pPr>
      <w:r>
        <w:rPr>
          <w:b/>
        </w:rPr>
        <w:t>Available abstract (not full text):</w:t>
      </w:r>
      <w:r>
        <w:t xml:space="preserve"> Introduction. Contemporary research in international accounting lacks a thread linking the fundamental principles of accounting science to the key purpose of the accounting system – to promote the efficient allocation of capital by providing reliable and relevant information. This has led to the fact that accounting infrastructure focuses more on the interests of transnational companies, accounting standard makers and, in general, regional zones, which took advantage of the idea of global convergence for the sake of personal benefits, rather than on public purposes. Purpose. The aim is to show that the existing notions of global convergence of accounting systems are untenable and should be revised. To achieve the latter, the paper characterrizes the nature of convergence with accounting theory and harmonization paradigms. Materials and Methods. The work is theoretical; traditional scientific methods are used: a dialectical method of scientific cognition, a method of collecting theoretical and regulatory-legal information, a method of formalization, as well as analysis, synthesis, observation, and comparison. Results. The standards are perceived to be the benchmark of quality with no deductively-derived regulatory grounds in accounting science. This automatically gives rise to many contradictions and inconsistencies in understanding and applying existing accounting rules/princip</w:t>
      </w:r>
    </w:p>
    <w:p>
      <w:pPr/>
      <w:r>
        <w:rPr>
          <w:b/>
        </w:rPr>
        <w:t>POSSIBLE 2023:</w:t>
      </w:r>
      <w:r>
        <w:t xml:space="preserve"> European Exchanges, Networks and Contexts — https://doi.org/10.3366/edinburgh/9781474499170.003.0016</w:t>
      </w:r>
    </w:p>
    <w:p>
      <w:pPr/>
      <w:r>
        <w:rPr>
          <w:b/>
        </w:rPr>
        <w:t>Shared claim-specific concepts:</w:t>
      </w:r>
      <w:r>
        <w:t xml:space="preserve"> took, account, distribution, well; EU scope visible. This is a provisional connection, not an outcome finding.</w:t>
      </w:r>
    </w:p>
    <w:p>
      <w:pPr>
        <w:pStyle w:val="SourceNote"/>
      </w:pPr>
      <w:r>
        <w:rPr>
          <w:b/>
        </w:rPr>
        <w:t>Available abstract (not full text):</w:t>
      </w:r>
      <w:r>
        <w:t xml:space="preserve"> This chapter investigates the development and integration of European news communication along with the formation of new types of news publication capable of conveying details and impressions of a rapidly changing geopolitical order to the first mass audiences. Particularly fertile generators of new genres were the Thirty Years War and English Civil War, which in turn received the effects of news distribution while supplying new material for consumption. New research demonstrates, for instance, that events occurring as far away as Naples were discussed in London, whereas Neapolitans took cues from regime-changing episodes in Civil War Britain. The study takes account of recent studies tending to emphasise continuities as well as discontinuities, not only between the press history of Britain and Ireland and the press history of neighbouring states, but also between the history of printed newspapers and of older media types.</w:t>
      </w:r>
    </w:p>
    <w:p>
      <w:pPr/>
      <w:r>
        <w:rPr>
          <w:b/>
        </w:rPr>
        <w:t>POSSIBLE 2022:</w:t>
      </w:r>
      <w:r>
        <w:t xml:space="preserve"> Urbanization the Eastern Borders of Old Europe — https://doi.org/10.15388/archlit.2022.23.12</w:t>
      </w:r>
    </w:p>
    <w:p>
      <w:pPr/>
      <w:r>
        <w:rPr>
          <w:b/>
        </w:rPr>
        <w:t>Shared claim-specific concepts:</w:t>
      </w:r>
      <w:r>
        <w:t xml:space="preserve"> took, account, materials; EU scope visible. This is a provisional connection, not an outcome finding.</w:t>
      </w:r>
    </w:p>
    <w:p>
      <w:pPr>
        <w:pStyle w:val="SourceNote"/>
      </w:pPr>
      <w:r>
        <w:rPr>
          <w:b/>
        </w:rPr>
        <w:t>Available abstract (not full text):</w:t>
      </w:r>
      <w:r>
        <w:t xml:space="preserve"> Maria Gimbutas created an impressive picture of Old Europe, using, among others, materials from Trypillia Culture. From the very beginning, she took into account new archaeological discoveries from the 70s of the 20th century, namely, information about the large settlements. But fifty years ago, their studies were just beginning and this topic was not particularly popular among researchers outside of Ukraine. Today, news about life on the eastern borders of Old Europe, where these megasites, appeared more than 6000 years ago, appeares on the pages of leading archaeological publications and becomes the subject of discussions among archaeologists from different countries.</w:t>
      </w:r>
    </w:p>
    <w:p>
      <w:pPr>
        <w:pStyle w:val="Heading2"/>
      </w:pPr>
      <w:r>
        <w:t>614.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Innovatively addressing the profession's major questions based on studies of the OT workforce — https://openalex.org/W7162052968</w:t>
      </w:r>
    </w:p>
    <w:p>
      <w:pPr/>
      <w:r>
        <w:rPr>
          <w:b/>
        </w:rPr>
        <w:t>Shared claim-specific concepts:</w:t>
      </w:r>
      <w:r>
        <w:t xml:space="preserve"> important, regional, disparities, provide; EU scope visible. This is a provisional connection, not an outcome finding.</w:t>
      </w:r>
    </w:p>
    <w:p>
      <w:pPr>
        <w:pStyle w:val="SourceNote"/>
      </w:pPr>
      <w:r>
        <w:rPr>
          <w:b/>
        </w:rPr>
        <w:t>Available abstract (not full text):</w:t>
      </w:r>
      <w:r>
        <w:t xml:space="preserve"> In response to a global shortage of occupational therapists (OT) (WFOT, 2020), we conducted a study to collect data on the Swiss OT workforce's size and structure. The aim was to collect data that would allow to address the shortage and to provide insights that can benefit other countries. Our methodology involved an online survey targeting OT employers, team leaders, and self-employed therapists. We gathered quantitative and qualitative data on workforce demographics. Our results encompassed 3’022 OTs. Their average employment level was 67.9%. Ninety percent hold a Diploma/Bachelor degree, 4.9% a Master and 0.1% a Doctoral degree; 90.1% are woman. Overall, Switzerland has a ratio of 3.2 (4.2-4.6) OTs per 10’000 inhabitants but present important regional differences (Ballmer et al., 2023). This study highlights Swiss problems and disparities (regional differences, gender bias, employment levels, and reduced postgraduate degrees), which are exemplary of the situation faced by many other European countries (e.g., DVE, 2017). The results prompt crucial common questions: How can we enhance gender diversity? How can we create opportunities for women to access higher positions? How can we improve OT education and training? Lastly, how can we reduce regional inequalities? These challenges demand innovative solutions to bolster our profession.</w:t>
      </w:r>
    </w:p>
    <w:p>
      <w:pPr/>
      <w:r>
        <w:rPr>
          <w:b/>
        </w:rPr>
        <w:t>POSSIBLE 2024:</w:t>
      </w:r>
      <w:r>
        <w:t xml:space="preserve"> One hundred priority questions for advancing seagrass conservation in Europe — https://doi.org/10.1002/ppp3.10486</w:t>
      </w:r>
    </w:p>
    <w:p>
      <w:pPr/>
      <w:r>
        <w:rPr>
          <w:b/>
        </w:rPr>
        <w:t>Shared claim-specific concepts:</w:t>
      </w:r>
      <w:r>
        <w:t xml:space="preserve"> areas, crisis, provide, place; EU scope visible. This is a provisional connection, not an outcome finding.</w:t>
      </w:r>
    </w:p>
    <w:p>
      <w:pPr>
        <w:pStyle w:val="SourceNote"/>
      </w:pPr>
      <w:r>
        <w:rPr>
          <w:b/>
        </w:rPr>
        <w:t>Available abstract (not full text):</w:t>
      </w:r>
      <w:r>
        <w:t xml:space="preserve"> Societal Impact Statement Seagrass ecosystems are of fundamental importance to our planet and wellbeing. Seagrasses are marine flowering plants, which engineer ecosystems that provide a multitude of ecosystem services, for example, blue foods and carbon sequestration. Seagrass ecosystems have largely been degraded across much of their global range. There is now increasing interest in the conservation and restoration of these systems, particularly in the context of the climate emergency and the biodiversity crisis. The collation of 100 questions from experts across Europe could, if answered, improve our ability to conserve and restore these systems by facilitating a fundamental shift in the success of such work. Summary Seagrass meadows provide numerous ecosystem services including biodiversity, coastal protection, and carbon sequestration. In Europe, seagrasses can be found in shallow sheltered waters along coastlines, in estuaries &amp; lagoons, and around islands, but their distribution has declined. Factors such as poor water quality, coastal modification, mechanical damage, overfishing, land‐sea interactions, climate change and disease have reduced the coverage of Europe’s seagrasses necessitating their recovery. Research, monitoring and conservation efforts on seagrass ecosystems in Europe are mostly uncoordinated and biased towards certain species and regions, resulting in in</w:t>
      </w:r>
    </w:p>
    <w:p>
      <w:pPr/>
      <w:r>
        <w:rPr>
          <w:b/>
        </w:rPr>
        <w:t>POSSIBLE 2023:</w:t>
      </w:r>
      <w:r>
        <w:t xml:space="preserve"> Addressing Environmental Migration in the European Union Discourse — https://doi.org/10.14324/111.444/000203.v1</w:t>
      </w:r>
    </w:p>
    <w:p>
      <w:pPr/>
      <w:r>
        <w:rPr>
          <w:b/>
        </w:rPr>
        <w:t>Shared claim-specific concepts:</w:t>
      </w:r>
      <w:r>
        <w:t xml:space="preserve"> important, areas, crisis; EU scope visible. This is a provisional connection, not an outcome finding.</w:t>
      </w:r>
    </w:p>
    <w:p>
      <w:pPr>
        <w:pStyle w:val="SourceNote"/>
      </w:pPr>
      <w:r>
        <w:rPr>
          <w:b/>
        </w:rPr>
        <w:t>Available abstract (not full text):</w:t>
      </w:r>
      <w:r>
        <w:t xml:space="preserve"> For decades, the European Union (EU) has been addressing issues related to climate change and ecological degradation as a self-proclaimed pro-environmental and human rights-oriented actor. Correspondingly, the topic of environmentally driven migration entered the EU discourse at the dawn of the new millennium. As such, environmental migrants around the world find themselves in an existential crisis and are in need of support whether it comes to questions of compensations, relocation, protection of cultural heritage etc. Thus, considering the EU’s interest in the human rights and environmental/climate issue areas, I argue it is important to ask what the Union’s approach to this matter has been. Consequently, this article assesses the European Union discourse related to the topic of environmental migration over a twenty-year period. Through the theoretical lens of the Copenhagen School of Security Studies and the normative power EU conception, this paper critically analyzes the EU’s securitization of climate change in relation to environmental migrants who are experiencing an existential threat to their lives. Based on a qualitative discourse analysis, the preliminary results imply that the topic has been receding into the background of the EU agenda. In line, environmental migrants have been pushed aside by a multiplicity of other subjects threatened by climate change, and their</w:t>
      </w:r>
    </w:p>
    <w:p>
      <w:pPr/>
      <w:r>
        <w:rPr>
          <w:b/>
        </w:rPr>
        <w:t>POSSIBLE 2023:</w:t>
      </w:r>
      <w:r>
        <w:t xml:space="preserve"> Addressing Environmental Migration in the European Union Discourse — https://doi.org/10.14324/111.444/000203.v2</w:t>
      </w:r>
    </w:p>
    <w:p>
      <w:pPr/>
      <w:r>
        <w:rPr>
          <w:b/>
        </w:rPr>
        <w:t>Shared claim-specific concepts:</w:t>
      </w:r>
      <w:r>
        <w:t xml:space="preserve"> important, areas, crisis; EU scope visible. This is a provisional connection, not an outcome finding.</w:t>
      </w:r>
    </w:p>
    <w:p>
      <w:pPr>
        <w:pStyle w:val="SourceNote"/>
      </w:pPr>
      <w:r>
        <w:rPr>
          <w:b/>
        </w:rPr>
        <w:t>Available abstract (not full text):</w:t>
      </w:r>
      <w:r>
        <w:t xml:space="preserve"> For decades, the European Union (EU) has been addressing issues related to climate change and ecological degradation as a self-proclaimed pro-environmental and human rights-oriented actor. Correspondingly, the topic of environmentally driven migration entered the EU discourse at the dawn of the new millennium. As such, environmental migrants around the world find themselves in an existential crisis and are in need of support whether it comes to questions of compensations, relocation, protection of cultural heritage etc. Thus, considering the EU’s interest in the human rights and environmental/climate issue areas, I argue it is important to ask what the Union’s approach to this matter has been. Consequently, this article assesses the European Union discourse related to the topic of environmental migration over a twenty-year period. Through the theoretical lens of the Copenhagen School of Security Studies and the normative power EU conception, this paper critically analyzes the EU’s securitization of climate change in relation to environmental migrants who are experiencing an existential threat to their lives. Based on a qualitative discourse analysis, the preliminary results imply that the topic has been receding into the background of the EU agenda. In line, environmental migrants have been pushed aside by a multiplicity of other subjects threatened by climate change, and their</w:t>
      </w:r>
    </w:p>
    <w:p>
      <w:pPr/>
      <w:r>
        <w:rPr>
          <w:b/>
        </w:rPr>
        <w:t>POSSIBLE 2023:</w:t>
      </w:r>
      <w:r>
        <w:t xml:space="preserve"> An Independent European Macroeconomics? A History of European Macroeconomics through the Lens of the European Economic Review — https://doi.org/10.1016/j.euroecorev.2023.104559</w:t>
      </w:r>
    </w:p>
    <w:p>
      <w:pPr/>
      <w:r>
        <w:rPr>
          <w:b/>
        </w:rPr>
        <w:t>Shared claim-specific concepts:</w:t>
      </w:r>
      <w:r>
        <w:t xml:space="preserve"> important, question, like; EU scope visible. This is a provisional connection, not an outcome finding.</w:t>
      </w:r>
    </w:p>
    <w:p>
      <w:pPr>
        <w:pStyle w:val="SourceNote"/>
      </w:pPr>
      <w:r>
        <w:rPr>
          <w:b/>
        </w:rPr>
        <w:t>Available abstract (not full text):</w:t>
      </w:r>
      <w:r>
        <w:t xml:space="preserve"> Economics in Europe has become more international since the 1970s. To a certain extent, this internationalisation is also an ‘Americanisation’ as many European economists have adopted the standards and approaches of US economics. This prompts an important question: amidst this convergence, are there any fields that have managed to retain a distinctively European character?In this article, we use topic modelling and bibliometric coupling to identify European specialties between 1969 and 2002. We focus on macroeconomic articles published in the European Economic Review and compare their bibliographic references and textual content to what has been published in the top 5 journals.Despite economics internationalization since the 1970s, European macroeconomics displayed distinct characteristics across two distinct periods. In the late 1970s and early 1980s, European macroeconomists maintained a certain distance from US debates centered around rational expectations and new classical economics. However, they embraced the concept of microfoundations through the lens of disequilibrium theory, fostering transnational collaborations and offering a unique framework for addressing various macroeconomic issues. Nevertheless, both the prominence of new classical economics in the US and the decline of the disequilibrium approach after the mid-1980s, European macroeconomics shifted towards clos</w:t>
      </w:r>
    </w:p>
    <w:p>
      <w:pPr/>
      <w:r>
        <w:rPr>
          <w:b/>
        </w:rPr>
        <w:t>POSSIBLE 2022:</w:t>
      </w:r>
      <w:r>
        <w:t xml:space="preserve"> Wind erosion in European agricultural landscapes: More than physics — https://doi.org/10.1002/pan3.10418</w:t>
      </w:r>
    </w:p>
    <w:p>
      <w:pPr/>
      <w:r>
        <w:rPr>
          <w:b/>
        </w:rPr>
        <w:t>Shared claim-specific concepts:</w:t>
      </w:r>
      <w:r>
        <w:t xml:space="preserve"> important, provide, likely; EU scope visible. This is a provisional connection, not an outcome finding.</w:t>
      </w:r>
    </w:p>
    <w:p>
      <w:pPr>
        <w:pStyle w:val="SourceNote"/>
      </w:pPr>
      <w:r>
        <w:rPr>
          <w:b/>
        </w:rPr>
        <w:t>Available abstract (not full text):</w:t>
      </w:r>
      <w:r>
        <w:t xml:space="preserve"> Abstract Wind erosion from agricultural land is an underrated and understudied environmental challenge in Europe. Its societal and policy relevance will likely increase in the near future due to climate change and associated increases in the frequency, severity and patterns of atmospheric events such as droughts. We review the research on this issue and find it to be fragmented, siloed and dominated by natural sciences, leaving important research gaps. The most important gaps that circumscribe a research agenda for the future include specific effects of future climate change on wind erosion, the relevance of wind erosion for public health and ecosystem functioning, farmers' behaviour affecting erosion risk and feedback between land management and environmental change, and appropriate policy approaches to address wind erosion risks. Social science contributions are thus required to make wind erosion research relevant for addressing the related societally most pressing questions. We provide a social–environmental systems perspective to highlight the potential of inter‐ and transdisciplinary research into wind erosion in times of climate change and the increasingly recognized need to transform agriculture towards more sustainability and climate resilience. Read the free Plain Language Summary for this article on the Journal blog.</w:t>
      </w:r>
    </w:p>
    <w:p>
      <w:pPr/>
      <w:r>
        <w:rPr>
          <w:b/>
        </w:rPr>
        <w:t>POSSIBLE 2022:</w:t>
      </w:r>
      <w:r>
        <w:t xml:space="preserve"> Mediating Europe — https://doi.org/10.1515/9781845459352</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The on-going constitutionalization of Europe has led to various changes in media and communications, opening up areas of debate regarding the role of traditional and new media in developing a specific European public sphere as part of the wider European Project. This timely volume addresses the little understood relationship between old and new media, communications policy at the European level, issues of regulation and competition within the EU, the role of the European Parliament in media policymaking, and the questions emerging about the sustainability of traditional public service broadcasting. To understand the concrete significance of these debates two contributions address specific practical areas, i.e. the potential of online environments and specific developments in European media contexts, such as channel strategies, web-related services, iDTV and community networks. Consequently, Mediating Europe provides an original and important contribution to understanding the role of the media in shaping a European public sphere.</w:t>
      </w:r>
    </w:p>
    <w:p>
      <w:pPr>
        <w:pStyle w:val="Heading2"/>
      </w:pPr>
      <w:r>
        <w:t>615.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2025:</w:t>
      </w:r>
      <w:r>
        <w:t xml:space="preserve"> Effect and mechanism of the "Three Rights Separation" of agricultural land in empowering the neo-endogenous agricultural and rural development — https://doi.org/10.31497/zrzyxb.20250706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Neo-endogenous development is an important way to realise the modernization of agriculture and rural areas, and the reform of the land property rights system plays an important role in activating the internal and external development momentum of agriculture and rural areas. Based on the multi-period double-difference method, the study analyses and examines the impact of "Three Rights Separation" of agricultural land on the neo-endogenous development of agriculture and rural areas and its mechanism of action using balanced panel data of 206 prefecture-level cities in China from 2008 to 2022. The study finds that: (1) "Three Rights Separation" of agricultural land significantly improves the level of neo-endogenous development in agriculture and rural areas. (2) Promoting land scale and attracting capital investment are two important channels through which we can exert the policy effect of "Three Rights Separation" of agricultural land. (3) "Three Rights Separation" of agricultural land has significantly raised the level of neo-endogenous development in agriculture and rural areas. (4) "Three Rights Separation" of agricultural land will enhance the level of neo-endogenous development of agriculture and rural areas to a greater extent in areas with a lower degree of deepening of agricultural capital and better scientific and educational environments, and the policy effect will not </w:t>
      </w:r>
    </w:p>
    <w:p>
      <w:pPr/>
      <w:r>
        <w:rPr>
          <w:b/>
        </w:rPr>
        <w:t>POSSIBLE 2025:</w:t>
      </w:r>
      <w:r>
        <w:t xml:space="preserve"> Nexus between stock market and agricultural sector development in Nigeria and South Africa: Accounting for three-regime marginal-threshold effects — https://doi.org/10.1016/j.sciaf.2025.e02575</w:t>
      </w:r>
    </w:p>
    <w:p>
      <w:pPr/>
      <w:r>
        <w:rPr>
          <w:b/>
        </w:rPr>
        <w:t>Shared claim-specific concepts:</w:t>
      </w:r>
      <w:r>
        <w:t xml:space="preserve"> three, agricultural, sector; EU scope not established. This is a provisional connection, not an outcome finding.</w:t>
      </w:r>
    </w:p>
    <w:p>
      <w:pPr>
        <w:pStyle w:val="SourceNote"/>
      </w:pPr>
      <w:r>
        <w:rPr>
          <w:b/>
        </w:rPr>
        <w:t>Available abstract (not full text):</w:t>
      </w:r>
      <w:r>
        <w:t xml:space="preserve"> This study empirically examined the link between stock market development and agricultural sector development, accounting for the effect of a three-regime marginal and threshold of interest rate, inflation and exchange rates. The study utilized annual time series data, focusing on two African countries – Nigeria and South Africa for the period 1980 to 2021. The dynamic Autoregressive Distributed Lag (ARDL) estimation technique was adopted as a baseline model while FM-OLS was employed for the sensitivity test. The findings from the baseline model revealed a significant long-run positive association between market capitalization, all-share index, value of traded shares, and agricultural development. However, the turnover ratio was insignificant but exhibited a significant long-run relationship when the interaction effects of interest rate, inflation, and exchange rate were controlled for. The FM-OLS sensitivity estimates were found to coincide with the earlier results. At the country level, evidence from the baseline and sensitivity model revealed that market capitalization and the all-share index in Nigeria have a significant positive link with agricultural development, whereas all measures of stock market development in SA were positively and significantly related to agricultural development. The study recommends policies that promote stock market development to boost its contr</w:t>
      </w:r>
    </w:p>
    <w:p>
      <w:pPr/>
      <w:r>
        <w:rPr>
          <w:b/>
        </w:rPr>
        <w:t>POSSIBLE 2025:</w:t>
      </w:r>
      <w:r>
        <w:t xml:space="preserve"> Nexus Between Stock Market and Agricultural Sector Development in Nigeria and South Africa: Accounting for Three-Regime Marginal-Threshold Effects — https://doi.org/10.2139/ssrn.5336669</w:t>
      </w:r>
    </w:p>
    <w:p>
      <w:pPr/>
      <w:r>
        <w:rPr>
          <w:b/>
        </w:rPr>
        <w:t>Shared claim-specific concepts:</w:t>
      </w:r>
      <w:r>
        <w:t xml:space="preserve"> agricultural, sector;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Development and Institutionalization of Urban Agriculture Policy: Emerging Governance Models in Three Norwegian Cities — https://doi.org/10.1007/978-3-031-41550-0_12</w:t>
      </w:r>
    </w:p>
    <w:p>
      <w:pPr/>
      <w:r>
        <w:rPr>
          <w:b/>
        </w:rPr>
        <w:t>Shared claim-specific concepts:</w:t>
      </w:r>
      <w:r>
        <w:t xml:space="preserve"> three, sector; EU scope not established. This is a provisional connection, not an outcome finding.</w:t>
      </w:r>
    </w:p>
    <w:p>
      <w:pPr>
        <w:pStyle w:val="SourceNote"/>
      </w:pPr>
      <w:r>
        <w:rPr>
          <w:b/>
        </w:rPr>
        <w:t>Available abstract (not full text):</w:t>
      </w:r>
      <w:r>
        <w:t xml:space="preserve"> Abstract Urban agriculture has been closely associated with citizen activism and voluntary work based on local bottom-up initiatives. However, municipalities have been interested in urban agriculture, and this chapter presents the development of public policies and the main actors in three cities, Oslo, Bergen and Trondheim. They show many common traits in institutionalization of urban agriculture policy. But there are also differences particularly between role of voluntary groups and bottom-up and top-down processes, degree of networking, relationship to ordinary peri-urban agriculture and new forms of urban agriculture, and the implementation of urban agriculture in plans. Oslo shows a politically driven implementation through traditional participatory methods with plans and visions for developing urban agriculture as a social activity in green/urban spaces and as new ways of professional production of food in dense urban areas. In Bergen, the voluntary sector has an active role as co-creators of policy through political activism and participation in strategy development and in running competence center. In Trondheim, the policy is co-produced with the growers each year based on their experiences, and the connection to ordinary, professional agriculture is strong. While Oslo and Bergen have developed strategies for developing urban agriculture, Trondheim has consciously chose</w:t>
      </w:r>
    </w:p>
    <w:p>
      <w:pPr/>
      <w:r>
        <w:rPr>
          <w:b/>
        </w:rPr>
        <w:t>POSSIBLE 2024:</w:t>
      </w:r>
      <w:r>
        <w:t xml:space="preserve"> THE EFFECTS OF SUSTAINABLE DEVELOPMENT ON AGRICULTURE, INFLATION, AND UNDEREMPLOYMENT ACROSS NATIONS: A COMPARATIVE STUDY BETWEEN THREE OECD COUNTRIES — https://doi.org/10.29121/shodhkosh.v5.i6.2024.2091</w:t>
      </w:r>
    </w:p>
    <w:p>
      <w:pPr/>
      <w:r>
        <w:rPr>
          <w:b/>
        </w:rPr>
        <w:t>Shared claim-specific concepts:</w:t>
      </w:r>
      <w:r>
        <w:t xml:space="preserve"> three, agricultural, economy; EU scope not established. This is a provisional connection, not an outcome finding.</w:t>
      </w:r>
    </w:p>
    <w:p>
      <w:pPr>
        <w:pStyle w:val="SourceNote"/>
      </w:pPr>
      <w:r>
        <w:rPr>
          <w:b/>
        </w:rPr>
        <w:t>Available abstract (not full text):</w:t>
      </w:r>
      <w:r>
        <w:t xml:space="preserve"> This study aims to analyse the outcomes of sustainable development on agriculture, inflation, and underemployment in three diverse countries - Australia, Canada, and India. By comparing these countries, we can gain insights into how sustainable development practices differ across different economic and social contexts. Additionally, this comparative analysis will help identify potential strategies and policies that can be adopted to promote sustainable development in both developed and developing nations. The study found that Government should hasten the spread of technology, particularly that which organizes agricultural output. To allay the worries of agriculturalists, recent agricultural inflation rates have been estimated to range between 5% and 10%. Input and equipment costs are rising, and the government's responsibility in creating a sustainable economy includes funding basic research necessary for renewable energy and resource technology, as well as tax management. The results among others demonstrate that sustainable development lowers inflation in mature nations, which lowers the unemployment rate in developing economies and creates space for increased supply and increased demand, which eventually leads to the perfection of a standard economy. More-so, the government must offer the necessary support in the form of financing, technical knowledge, and other specialized </w:t>
      </w:r>
    </w:p>
    <w:p>
      <w:pPr/>
      <w:r>
        <w:rPr>
          <w:b/>
        </w:rPr>
        <w:t>POSSIBLE 2023:</w:t>
      </w:r>
      <w:r>
        <w:t xml:space="preserve"> Agroecological Challenges in Three Agricultural Development Areas in Aceh — https://doi.org/10.1051/bioconf/20236904019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Agroecological zones group an area on soil and climate differences that interact with crops will have impact on differences in commodities, farming systems, productivity, and farmers’ challenges in managing their agricultural businesses. Aceh Province which is grouped into 3 Agroecological Zones, namely the southwest coast, middle and northeast coasts have different agricultural characteristics. This descriptive research tries to answer the challenges of farmers in managing agricultural businesses in 3 different Agroecological Zones. The results showed that in the southwest zone there were 9 challenges, and in the middle zone there were 10 challenges faced by farmers. The main challenges in these two zones is that agricultural development assistance such as capital, superior seeds, production inputs, counseling, and program supervision is not appropriate and complete. In the northeast zone, there are 13 challenges with the main challenges was the difficulty of farmers in getting subsidized fertilizers. Synchronization of agricultural development programs with the challenges faced by farmers based on the ZAE area is very important, because it will be a more precise and simpler solution to solving agricultural challenges in agricultural-based regional development.</w:t>
      </w:r>
    </w:p>
    <w:p>
      <w:pPr/>
      <w:r>
        <w:rPr>
          <w:b/>
        </w:rPr>
        <w:t>POSSIBLE 2023:</w:t>
      </w:r>
      <w:r>
        <w:t xml:space="preserve"> Research on the sustainable development of agricultural product supply chain in three northeast provinces in China — https://doi.org/10.3389/fpubh.2022.1007486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Background: The sustainable development of the agricultural product supply chain (APSC) is the key to protecting public health. Methods: This paper explores the sustainable development status of the APSC in three northeast provinces of China from 2007 to 2020 and the development trend in the next 5 years by using the entropy weight-matter-element extension model (MEEM) and autoregressive integrated moving average model (ARIMA), taking into account the background of relatively backward development and the high proportion of agricultural output in these three provinces. Results: According to the research results, the sustainable development of the APSC in Jilin Province is relatively stable, Heilongjiang Province has made considerable progress in the sustainable development of the APSC in recent years, while Liaoning Province has shown a significant downward trend in recent years in the sustainable development of the APSC, despite a strong development momentum in previous years. Conclusions: The findings of this paper can be applied to the governance of APSC in other rural areas with uneven development. The assessment also provides guidance on the quality and safety of agricultural products and public health, and raises the awareness of policymakers on the importance of the APSC.</w:t>
      </w:r>
    </w:p>
    <w:p>
      <w:pPr/>
      <w:r>
        <w:rPr>
          <w:b/>
        </w:rPr>
        <w:t>POSSIBLE 2023:</w:t>
      </w:r>
      <w:r>
        <w:t xml:space="preserve"> Reform of Agricultural Land Property Rights System and Green and High-Quality Development of Agriculture: Empirical Evidence Based on China’s “Three Rights Separation” Reform — https://doi.org/10.15244/pjoes/168715</w:t>
      </w:r>
    </w:p>
    <w:p>
      <w:pPr/>
      <w:r>
        <w:rPr>
          <w:b/>
        </w:rPr>
        <w:t>Shared claim-specific concepts:</w:t>
      </w:r>
      <w:r>
        <w:t xml:space="preserve"> three, agricultural, economy; EU scope not established. This is a provisional connection, not an outcome finding.</w:t>
      </w:r>
    </w:p>
    <w:p>
      <w:pPr>
        <w:pStyle w:val="SourceNote"/>
      </w:pPr>
      <w:r>
        <w:rPr>
          <w:b/>
        </w:rPr>
        <w:t>Available abstract (not full text):</w:t>
      </w:r>
      <w:r>
        <w:t xml:space="preserve"> The latest reform of China’s agricultural land property rights system has achieved the separation of rural land ownership, contracting rights, and management rights (the “three rights separation” reform), which is an important means for the Chinese government to achieve the rational allocation of agricultural land resources and plays an important role in improving the green and high-quality development of agriculture. Based on the panel data of 30 sample provinces in China from 2001 to 2020, this paper explores the impact of the latest rural land property rights system reform (the “three rights separation” reform) on the high-quality green development of agriculture. Research has found that, firstly, the reform of the agricultural land property rights system that separates the collective ownership of land, the contracting rights of farmers, and the management rights of land can effectively improve the green development of agriculture. Secondly, the “three rights separation” reform can enhance the green development of agriculture through three paths: expanding the scale of agricultural economy, promoting the upgrading of agricultural industrial structure, and innovating agricultural technology. In addition, fiscal investment in supporting agriculture has played a positive regulatory role in the impact of the “three rights separation” reform on the green development of agricultur</w:t>
      </w:r>
    </w:p>
    <w:p>
      <w:pPr/>
      <w:r>
        <w:rPr>
          <w:b/>
        </w:rPr>
        <w:t>POSSIBLE 2023:</w:t>
      </w:r>
      <w:r>
        <w:t xml:space="preserve"> RURAL DEVELOPMENT IN THE THREE SEAS INITIATIVE. CAN THE INITIATIVE BECOME AN AGRICULTURAL POWERHOUSE? CASE STUDY: ROMANIA — https://openalex.org/W7215376526</w:t>
      </w:r>
    </w:p>
    <w:p>
      <w:pPr/>
      <w:r>
        <w:rPr>
          <w:b/>
        </w:rPr>
        <w:t>Shared claim-specific concepts:</w:t>
      </w:r>
      <w:r>
        <w:t xml:space="preserve"> three, agricultural, ukraine; EU scope visible. This is a provisional connection, not an outcome finding.</w:t>
      </w:r>
    </w:p>
    <w:p>
      <w:pPr>
        <w:pStyle w:val="SourceNote"/>
      </w:pPr>
      <w:r>
        <w:rPr>
          <w:b/>
        </w:rPr>
        <w:t>Available abstract (not full text):</w:t>
      </w:r>
      <w:r>
        <w:t xml:space="preserve"> The Three Seas Initiative (3SI) is a platform for improving connectivity between twelve EU Member States allocated between Baltic, Adriatic and Black seas. As the interconnectivity develops the need for a harmonised rural development become more stringent in order to boost the economic growth and resilience of the region. Add to this the food security challenges of the war in Ukraine and we are having before us a new and interesting research area. The paper would identify the trends in the agriculture in the region, the strengths and weakness of the rural development and the problems that need to be addressed. The paper would also map out the main agricultural and rural developments in the Initiative and their financing sources to see whether the regional actors are working together and if so, how they do that. A special interest would be given to Romania as a relevant case study as well as to the formulation of recommendations for the rural development in the Initiative.</w:t>
      </w:r>
    </w:p>
    <w:p>
      <w:pPr/>
      <w:r>
        <w:rPr>
          <w:b/>
        </w:rPr>
        <w:t>POSSIBLE 2023:</w:t>
      </w:r>
      <w:r>
        <w:t xml:space="preserve"> PARTICIPATORY COMMUNICATION VARIATION, ITS IMPACT AND DEVELOPMENT THRESHOLD: Dealing with Geographical Disparities at Three Agricultural Technology Parks, Indonesia — https://doi.org/10.59670/jns.v33i.877</w:t>
      </w:r>
    </w:p>
    <w:p>
      <w:pPr/>
      <w:r>
        <w:rPr>
          <w:b/>
        </w:rPr>
        <w:t>Shared claim-specific concepts:</w:t>
      </w:r>
      <w:r>
        <w:t xml:space="preserve"> three, agricultural, sector; EU scope not established. This is a provisional connection, not an outcome finding.</w:t>
      </w:r>
    </w:p>
    <w:p>
      <w:pPr>
        <w:pStyle w:val="SourceNote"/>
      </w:pPr>
      <w:r>
        <w:rPr>
          <w:b/>
        </w:rPr>
        <w:t>Available abstract (not full text):</w:t>
      </w:r>
      <w:r>
        <w:t xml:space="preserve"> Although participatory development communication (PDC) is still young, its variations in some countries have been emerging to a dynamic field nurtured by many disciplines. At the same time, PDC practices for sustaining the agricultural sector in different geographics require development thresholds as psychological and sociological necessity. Consequently, the implementation of agricultural innovations in Indonesia often leads to variations in the participation practice in several Agricultural Technology Parks (ATP) that need specific treatment. This study aims to analyse the comparison of variables in each location of ATP Bogor, Lamongan, and Garut. To determine relevant strategies to achieve optimal results or goal(s). This research design was a cross-sectional survey, the data collected through a questionnaire involving 218 relevant respondents. The method used in this research is the T-test method, Kruskal-Wallis Test then continued with the Dunn (Post Hoc) Test. This study results in a P-Value shows each variable &lt;0.05. This indicates there are distinction of each quantity. Hence, it can be stated that there is a significant difference in the concentration of the three ATPs: Bogor, Lamongan, and Garut. As a result, different communication strategies are needed in handling variations in participation. Thus, different locations (geographical side) affect the difference in the</w:t>
      </w:r>
    </w:p>
    <w:p>
      <w:pPr>
        <w:pStyle w:val="Heading2"/>
      </w:pPr>
      <w:r>
        <w:t>616.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2024:</w:t>
      </w:r>
      <w:r>
        <w:t xml:space="preserve"> Standard variant of the systemic veins with significance for operations with cardiopulmonary bypass — https://doi.org/10.1093/ehjcr/ytae670</w:t>
      </w:r>
    </w:p>
    <w:p>
      <w:pPr/>
      <w:r>
        <w:rPr>
          <w:b/>
        </w:rPr>
        <w:t>Shared claim-specific concepts:</w:t>
      </w:r>
      <w:r>
        <w:t xml:space="preserve"> according, systemic, variant, main; EU scope not established. This is a provisional connection, not an outcome finding.</w:t>
      </w:r>
    </w:p>
    <w:p>
      <w:pPr>
        <w:pStyle w:val="SourceNote"/>
      </w:pPr>
      <w:r>
        <w:rPr>
          <w:b/>
        </w:rPr>
        <w:t>Available abstract (not full text):</w:t>
      </w:r>
      <w:r>
        <w:t xml:space="preserve"> We report on a 5-year-old boy who was referred to our department as a newborn for evaluation of a heart murmur. Echocardiography revealed an atrial septal defect (ASD) of the secundum type (ASD II) (Figure 1A); a secondary finding was a significantly enlarged coronary sinus (CS) (Figure 1B). Transoesophageal echocardiography (modified mid-oesophageal aortic valve short-axis view, A)—atrial septal defect of 1.1 cm with almost no rim towards the aorta. Transthoracic echocardiography (modified long-axis view, B)—dilated coronary sinus can be seen in the left atrium. Computed tomography (coronary plane, C; sagittal plane, D)—persistent left superior vena cava with opening into a dilated coronary sinus and agenesis of the right superior vena cava. AAo, ascending aorta; AV, aortic valve; LA, left atrium; LV, left ventricle; MPA, main pulmonary artery; RA, right atrium; RV, right ventricle. An enlargement of the CS can be found in pathologies such as total anomalous pulmonary venous return, which is a severe congenital heart defect. It can also be found in standard variants of the systemic veins like a persistent left superior vena cava (pLSVC) with drainage into the right atrium via the CS.1 During intrauterine development, there is a right and left anterior cardinal vein. Normally, the right SVC develops from the right anterior cardinal vein while the left anterior cardinal vein reg</w:t>
      </w:r>
    </w:p>
    <w:p>
      <w:pPr/>
      <w:r>
        <w:rPr>
          <w:b/>
        </w:rPr>
        <w:t>POSSIBLE 2024:</w:t>
      </w:r>
      <w:r>
        <w:t xml:space="preserve"> Systemic effects of hypophosphatasia characterization of two novel variants in the ALPL gene — https://doi.org/10.3389/fendo.2023.1320516</w:t>
      </w:r>
    </w:p>
    <w:p>
      <w:pPr/>
      <w:r>
        <w:rPr>
          <w:b/>
        </w:rPr>
        <w:t>Shared claim-specific concepts:</w:t>
      </w:r>
      <w:r>
        <w:t xml:space="preserve"> systemic, variant, main; EU scope not established. This is a provisional connection, not an outcome finding.</w:t>
      </w:r>
    </w:p>
    <w:p>
      <w:pPr>
        <w:pStyle w:val="SourceNote"/>
      </w:pPr>
      <w:r>
        <w:rPr>
          <w:b/>
        </w:rPr>
        <w:t>Available abstract (not full text):</w:t>
      </w:r>
      <w:r>
        <w:t xml:space="preserve"> Introduction: Hypophosphatasia (HPP) is an inborn metabolic error caused by mutations in the ALPL gene encoding tissue non-specific alkaline phosphatase (TNSALP) and leading to decreased alkaline phosphatase (ALP) activity. Although the main characteristic of this disease is bone involvement, it presents a great genetic and clinical variability, which makes it a systemic disease. Methods: Patients were recruited based on biochemical assessments. Diagnosis was made by measuring serum ALP and pyridoxal 5-phosphate levels and finally by Sanger sequencing of the ALPL gene from peripheral blood mononuclear cells. Characterization of the new variants was performed by transfection of the variants into HEK293T cells, where ALP activity and cellular localization were measured by flow cytometry. The dominant negative effect was analyzed by co-transfection of each variant with the wild-type gene, measuring ALP activity and analyzing cellular localization by flow cytometry. Results: Two previously undescribed variants were found in the ALPL gene: leucine 6 to serine missense mutation (c.17T&gt;C, L6S) affecting the signal peptide and threonine 167 deletion (c.498_500delCAC, T167del) affecting the vicinity of the active site. These mutations lead mainly to non-pathognomonic symptoms of HPP. Structural prediction and modeling tools indicated the affected residues as critical residues with impor</w:t>
      </w:r>
    </w:p>
    <w:p>
      <w:pPr/>
      <w:r>
        <w:rPr>
          <w:b/>
        </w:rPr>
        <w:t>POSSIBLE 2023:</w:t>
      </w:r>
      <w:r>
        <w:t xml:space="preserve"> Social Capital of the Territorial Communities of Ukraine in the Conditions of War: Current Transformations and Forecasted Changes — https://doi.org/10.15407/dse2023.02.054</w:t>
      </w:r>
    </w:p>
    <w:p>
      <w:pPr/>
      <w:r>
        <w:rPr>
          <w:b/>
        </w:rPr>
        <w:t>Shared claim-specific concepts:</w:t>
      </w:r>
      <w:r>
        <w:t xml:space="preserve"> according, systemic, ukraine, period, forecasted, capacity; EU scope not established. This is a provisional connection, not an outcome finding.</w:t>
      </w:r>
    </w:p>
    <w:p>
      <w:pPr>
        <w:pStyle w:val="SourceNote"/>
      </w:pPr>
      <w:r>
        <w:rPr>
          <w:b/>
        </w:rPr>
        <w:t>Available abstract (not full text):</w:t>
      </w:r>
      <w:r>
        <w:t xml:space="preserve"> The relevance of the study of current and forecasted transformations of the social capital of territorial communities is due to the need to strengthen social capital at the local level as a means of consolidating the population in the conditions of the destabilizing pressure of war and the risks of reducing the regulatory capabilities of state administration. The purpose of the study is to reveal the transformational shifts in the social capital of the territorial communities of Ukraine in the war and post-war periods. The scientific novelty of the work consists in revealing the peculiarities of the influence of the Russian-Ukrainian war and the humanitarian crisis caused by it on the trends of the development of social capital of the territorial communities of Ukraine. Forecasting of social capital transformations is based on the use of systemic approach, methods of abstraction and generalization, modeling, and scenario forecasting of time series. The use of the scenario approach is due to the low predictability and instability of military actions and includes realistic, optimistic, and pessimistic forecast versions. The prediction according to the realistic version is based on the assumption of building up the potential of social capital by the communities of the country and, above all, the territories freed from temporary occupation. It is substantiated that social capital w</w:t>
      </w:r>
    </w:p>
    <w:p>
      <w:pPr/>
      <w:r>
        <w:rPr>
          <w:b/>
        </w:rPr>
        <w:t>POSSIBLE 2022:</w:t>
      </w:r>
      <w:r>
        <w:t xml:space="preserve"> Deep-learning-based post-processing for probabilistic precipitation forecasting — https://doi.org/10.3389/feart.2022.978041</w:t>
      </w:r>
    </w:p>
    <w:p>
      <w:pPr/>
      <w:r>
        <w:rPr>
          <w:b/>
        </w:rPr>
        <w:t>Shared claim-specific concepts:</w:t>
      </w:r>
      <w:r>
        <w:t xml:space="preserve"> according, systemic, period, terms; EU scope not established. This is a provisional connection, not an outcome finding.</w:t>
      </w:r>
    </w:p>
    <w:p>
      <w:pPr>
        <w:pStyle w:val="SourceNote"/>
      </w:pPr>
      <w:r>
        <w:rPr>
          <w:b/>
        </w:rPr>
        <w:t>Available abstract (not full text):</w:t>
      </w:r>
      <w:r>
        <w:t xml:space="preserve"> Ensemble prediction systems (EPSs) serve as a popular technique to provide probabilistic precipitation prediction in short- and medium-range forecasting. However, numerical models still suffer from imperfect configurations associated with data assimilation and physical parameterization, which can lead to systemic bias. Even state-of-the-art models often fail to provide high-quality precipitation forecasting, especially for extreme events. In this study, two deep-learning-based models—a shallow neural network (NN) and a deep NN with convolutional layers (CNN)—were used as alternative post-processing approaches to further improve the probabilistic forecasting of precipitation over China with 1–7 lead days. A popular conventional method—the censored and shifted gamma distribution-based ensemble model output statistics (CSG EMOS)—was used as the baseline. Re-forecasts run using a frozen EPS—Global Ensemble Forecast System version 12—were collected as the raw ensembles spanning from 2000 to 2019. The re-forecast data were generated once per day and consisted of one control run and four perturbed members. We used the calendar year 2018 as the validation period and 2019 as the testing period, and the remaining 18 years of data were used for training. According to the results, in terms of the continuous ranked probability score (CRPS) and the Brier score, the CNN model significantly ou</w:t>
      </w:r>
    </w:p>
    <w:p>
      <w:pPr/>
      <w:r>
        <w:rPr>
          <w:b/>
        </w:rPr>
        <w:t>POSSIBLE 2022:</w:t>
      </w:r>
      <w:r>
        <w:t xml:space="preserve"> Capitalization of Ukrainian systemically important banks of military aggression of the rf — https://doi.org/10.31617/1.2022(146)07</w:t>
      </w:r>
    </w:p>
    <w:p>
      <w:pPr/>
      <w:r>
        <w:rPr>
          <w:b/>
        </w:rPr>
        <w:t>Shared claim-specific concepts:</w:t>
      </w:r>
      <w:r>
        <w:t xml:space="preserve"> according, ukraine, period; EU scope not established. This is a provisional connection, not an outcome finding.</w:t>
      </w:r>
    </w:p>
    <w:p>
      <w:pPr>
        <w:pStyle w:val="SourceNote"/>
      </w:pPr>
      <w:r>
        <w:rPr>
          <w:b/>
        </w:rPr>
        <w:t>Available abstract (not full text):</w:t>
      </w:r>
      <w:r>
        <w:t xml:space="preserve"> Introduction. Systemically important banks (SIB) play an important role in stability of the do­mestic banking and financial system since their activities significantly affect the country’s finan­cial system and the economy as a whole. Problem. Domestic banking system constantly functions in a mode of stress and uncertainty In conditions of war, therefore the National Bank of Ukraine pays special attention to the activities of systemically important institutions. Ensuring the proper functioning of SIB depends on the level of their capitalization, which is why the capitalization of systemically important banks is an extremely urgent issue today. The aim of the article is to determine the ability of SIB to meet capital adequacy require­ments as a factor of ensuring the stability and reliability of the domestic banking system and its macroeconomic stress resistance under martial law. Methods. Methods of theoretical genera­lization, analysis and synthesis, grouping, sys­tem approach were used in the paper. Results. The value of the capital standards of domestic SIB during the period of martial law was investigated, a comparative analysis of ca­pitalization indicators of SIB of Ukraine with their normative and forecast values under basic and adverse macroeconomic scenarios was car­ried out according to the results of the NBU stress testing. Banks that show signs of an unfa­vorable ma</w:t>
      </w:r>
    </w:p>
    <w:p>
      <w:pPr>
        <w:pStyle w:val="Heading2"/>
      </w:pPr>
      <w:r>
        <w:t>617.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all, strategies, within;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2024:</w:t>
      </w:r>
      <w:r>
        <w:t xml:space="preserve"> Energy Policy in the European Union within the European Green Deal Strategy — https://doi.org/10.18778/1508-2008.27.13</w:t>
      </w:r>
    </w:p>
    <w:p>
      <w:pPr/>
      <w:r>
        <w:rPr>
          <w:b/>
        </w:rPr>
        <w:t>Shared claim-specific concepts:</w:t>
      </w:r>
      <w:r>
        <w:t xml:space="preserve"> all, union, within;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r>
        <w:rPr>
          <w:b/>
        </w:rPr>
        <w:t>POSSIBLE 2024:</w:t>
      </w:r>
      <w:r>
        <w:t xml:space="preserve"> Systematic Review: Strategies for Improving HIV Testing and Detection Rates in European Hospitals — https://doi.org/10.3390/microorganisms12020254</w:t>
      </w:r>
    </w:p>
    <w:p>
      <w:pPr/>
      <w:r>
        <w:rPr>
          <w:b/>
        </w:rPr>
        <w:t>Shared claim-specific concepts:</w:t>
      </w:r>
      <w:r>
        <w:t xml:space="preserve"> conclusion, all, strategies, increase; EU scope visible. This is a provisional connection, not an outcome finding.</w:t>
      </w:r>
    </w:p>
    <w:p>
      <w:pPr>
        <w:pStyle w:val="SourceNote"/>
      </w:pPr>
      <w:r>
        <w:rPr>
          <w:b/>
        </w:rPr>
        <w:t>Available abstract (not full text):</w:t>
      </w:r>
      <w:r>
        <w:t xml:space="preserve"> Undiagnosed HIV infection is a prominent clinical issue throughout Europe that requires the continuous attention of all healthcare professionals and policymakers to prevent missed testing opportunities and late diagnosis. This systematic review aimed to evaluate interventions to increase HIV testing rates and case detection in European hospitals. Out of 4598 articles identified, 29 studies fulfilled the selection criteria. Most of the studies were conducted in single Western European capital cities, and only one study was from Eastern Europe. The main interventions investigated were test-all and indicator-condition-based testing strategies. Overall, the prevalence of undiagnosed HIV was well above 0.1%. The studied interventions increased the HIV testing rate and the case detection rate. The highest prevalence of undiagnosed HIV was found with the indicator-condition-driven testing strategy, whereas the test-all strategy had the most profound impact on the proportion of late diagnoses. Nevertheless, the HIV testing rates and case-finding varied considerably across studies. In conclusion, effective strategies to promote HIV testing in European hospitals are available, but relevant knowledge gaps regarding generalizability and sustainability remain. These gaps require the promotion of adherence to HIV testing guidelines, as well as additional larger studies representing all Europ</w:t>
      </w:r>
    </w:p>
    <w:p>
      <w:pPr/>
      <w:r>
        <w:rPr>
          <w:b/>
        </w:rPr>
        <w:t>POSSIBLE 2023:</w:t>
      </w:r>
      <w:r>
        <w:t xml:space="preserve"> Analysis of the European Strategy for Hydrogen: A Comprehensive Review — https://doi.org/10.3390/en16093866</w:t>
      </w:r>
    </w:p>
    <w:p>
      <w:pPr/>
      <w:r>
        <w:rPr>
          <w:b/>
        </w:rPr>
        <w:t>Shared claim-specific concepts:</w:t>
      </w:r>
      <w:r>
        <w:t xml:space="preserve"> all, strategies, developed, union, within; EU scope visible. This is a provisional connection, not an outcome finding.</w:t>
      </w:r>
    </w:p>
    <w:p>
      <w:pPr>
        <w:pStyle w:val="SourceNote"/>
      </w:pPr>
      <w:r>
        <w:rPr>
          <w:b/>
        </w:rPr>
        <w:t>Available abstract (not full text):</w:t>
      </w:r>
      <w:r>
        <w:t xml:space="preserve"> This review focuses on analysing the strategy and aspirations of the European Union within the hydrogen sector. This aim is achieved through the examination of the European Parliament’s hydrogen strategy, allowing for a study of actions and projects in hydrogen technologies. The Parliament’s hydrogen strategy is the document that provides the guideline of how the EU intends to function in the hydrogen sector and manages to cover a wide range of topics, all of them significant to represent the entirety of the hydrogen sector. It touches on subjects such as hydrogen demand, infrastructure, research, and standards, among others. The review discusses also the aspect that the EU intends to be a leader in the hydrogen sector, including the large-scale industrialization of key elements such as electrolysers, and this purpose is corroborated by the large number of associations, strategies, plans, and projects that are being established and developed by the European Union. The most important conclusions to learn from this analysis are that hydrogen has many of the right characteristics to make it the key to decarbonisation, especially in hard-to-abate sectors, and that it is bound to be one of the main actors in the imminent green transition. Moreover, hydrogen seems to be having its breakthrough, and this field’s development can have benefits not only from an environmental perspective </w:t>
      </w:r>
    </w:p>
    <w:p>
      <w:pPr/>
      <w:r>
        <w:rPr>
          <w:b/>
        </w:rPr>
        <w:t>POSSIBLE 2023:</w:t>
      </w:r>
      <w:r>
        <w:t xml:space="preserve"> Digital Health Reimbursement Strategies of 8 European Countries and Israel: Scoping Review and Policy Mapping — https://doi.org/10.2196/49003</w:t>
      </w:r>
    </w:p>
    <w:p>
      <w:pPr/>
      <w:r>
        <w:rPr>
          <w:b/>
        </w:rPr>
        <w:t>Shared claim-specific concepts:</w:t>
      </w:r>
      <w:r>
        <w:t xml:space="preserve"> all, strategies, basis, possible, within; EU scope visible. This is a provisional connection, not an outcome finding.</w:t>
      </w:r>
    </w:p>
    <w:p>
      <w:pPr>
        <w:pStyle w:val="SourceNote"/>
      </w:pPr>
      <w:r>
        <w:rPr>
          <w:b/>
        </w:rPr>
        <w:t>Available abstract (not full text):</w:t>
      </w:r>
      <w:r>
        <w:t xml:space="preserve"> BACKGROUND: The adoption of digital health care within health systems is determined by various factors, including pricing and reimbursement. The reimbursement landscape for digital health in Europe remains underresearched. Although various emergency reimbursement decisions were made during the COVID-19 pandemic to enable health care delivery through videoconferencing and asynchronous care (eg, digital apps), research so far has primarily focused on the policy innovations that facilitated this outside of Europe. OBJECTIVE: This study examines the digital health reimbursement strategies in 8 European countries (Belgium, France, Germany, Italy, the Netherlands, Poland, Sweden, and the United Kingdom) and Israel. METHODS: We mapped available digital health reimbursement strategies using a scoping review and policy mapping framework. We reviewed the literature on the MEDLINE, Embase, Global Health, and Web of Science databases. Supplementary records were identified through Google Scholar and country experts. RESULTS: Our search strategy yielded a total of 1559 records, of which 40 (2.57%) were ultimately included in this study. As of August 2023, digital health solutions are reimbursable to some extent in all studied countries except Poland, although the mechanism of reimbursement differs significantly across countries. At the time of writing, the pricing of digital health solutions</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all, strategies, increase;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Investing in AI for social good: an analysis of European national strategies — https://doi.org/10.1007/s00146-022-01445-8</w:t>
      </w:r>
    </w:p>
    <w:p>
      <w:pPr/>
      <w:r>
        <w:rPr>
          <w:b/>
        </w:rPr>
        <w:t>Shared claim-specific concepts:</w:t>
      </w:r>
      <w:r>
        <w:t xml:space="preserve"> all, strategies, union, possible, commission; EU scope visible. This is a provisional connection, not an outcome finding.</w:t>
      </w:r>
    </w:p>
    <w:p>
      <w:pPr>
        <w:pStyle w:val="SourceNote"/>
      </w:pPr>
      <w:r>
        <w:rPr>
          <w:b/>
        </w:rPr>
        <w:t>Available abstract (not full text):</w:t>
      </w:r>
      <w:r>
        <w:t xml:space="preserve"> Artificial Intelligence (AI) has become a driving force in modern research, industry and public administration and the European Union (EU) is embracing this technology with a view to creating societal, as well as economic, value. This effort has been shared by EU Member States which were all encouraged to develop their own national AI strategies outlining policies and investment levels. This study focuses on how EU Member States are approaching the promise to develop and use AI for the good of society through the lens of their national AI strategies. In particular, we aim to investigate how European countries are investing in AI and to what extent the stated plans contribute to the good of people and society as a whole. Our contribution consists of three parts: (i) a conceptualization of AI for social good highlighting the role of AI policy, in particular, the one put forward by the European Commission (EC); (ii) a qualitative analysis of 15 European national strategies mapping investment plans and suggesting their relation to the social good (iii) a reflection on the current status of investments in socially good AI and possible steps to move forward. Our study suggests that while European national strategies incorporate money allocations in the sphere of AI for social good (e.g. education), there is a broader variety of underestimated actions (e.g. multidisciplinary approach </w:t>
      </w:r>
    </w:p>
    <w:p>
      <w:pPr>
        <w:pStyle w:val="Heading2"/>
      </w:pPr>
      <w:r>
        <w:t>618.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2025:</w:t>
      </w:r>
      <w:r>
        <w:t xml:space="preserve"> Understanding Driver Distraction : Key Performance Indicator Findings from Baseline and Trendline in 4 European Countries — https://openalex.org/W7137534956</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pPr/>
      <w:r>
        <w:rPr>
          <w:b/>
        </w:rPr>
        <w:t>POSSIBLE 2025:</w:t>
      </w:r>
      <w:r>
        <w:t xml:space="preserve"> An Appraisal of the Strategies for Effective Implementation of the Rural Access and Mobility Project (RAMP) in Osun State, Nigeria — https://doi.org/10.69739/jsrd.v1i1.747</w:t>
      </w:r>
    </w:p>
    <w:p>
      <w:pPr/>
      <w:r>
        <w:rPr>
          <w:b/>
        </w:rPr>
        <w:t>Shared claim-specific concepts:</w:t>
      </w:r>
      <w:r>
        <w:t xml:space="preserve"> findings, needs, strategies, ramp, infrastructure; EU scope not established. This is a provisional connection, not an outcome finding.</w:t>
      </w:r>
    </w:p>
    <w:p>
      <w:pPr>
        <w:pStyle w:val="SourceNote"/>
      </w:pPr>
      <w:r>
        <w:rPr>
          <w:b/>
        </w:rPr>
        <w:t>Available abstract (not full text):</w:t>
      </w:r>
      <w:r>
        <w:t xml:space="preserve"> The Rural Access and Mobility Project (RAMP) faces challenges in effective implementation which may hinder its potential to improve rural accessibility, mobility, and economic development. Previous studies on rural road infrastructure projects, including RAMP, have not adequately assessed the effectiveness of implementation strategies in Osun State, Nigeria. This study, therefore, appraise the strategies for effective implementation of the Rural Access and Mobility Project (RAMP) in Osun State, Nigeria. The study was anchored on the Theory of Change, while concurrent mixed-method design approach was employed. Four-hundred and fifty respondents residing within the RAMP projects regions comprised Iwo, Ife and Ilesha were sampled using both probability and non-probability sampling procedures. A self-designed instrument was used to obtained information from the participants. Mean, standard deviation, t-test and correlation analysis were used for data analysis, while the responses from the KII were thematically analysed. The findings revealed that the top strategies for effective implementation of RAMP-2 in Osun State, Nigeria, comprised establishment of a dedicated project management unit, strengthen stakeholder coordination mechanisms, build capacity of local government institutions, enhance budget allocation efficiency, and ensure transparent and accountable funding. The study fo</w:t>
      </w:r>
    </w:p>
    <w:p>
      <w:pPr/>
      <w:r>
        <w:rPr>
          <w:b/>
        </w:rPr>
        <w:t>POSSIBLE 2025:</w:t>
      </w:r>
      <w:r>
        <w:t xml:space="preserve"> Ramp metering revealed: a comprehensive literature review — https://doi.org/10.1108/srt-10-2024-0014</w:t>
      </w:r>
    </w:p>
    <w:p>
      <w:pPr/>
      <w:r>
        <w:rPr>
          <w:b/>
        </w:rPr>
        <w:t>Shared claim-specific concepts:</w:t>
      </w:r>
      <w:r>
        <w:t xml:space="preserve"> findings, ramp, technological; EU scope not established. This is a provisional connection, not an outcome finding.</w:t>
      </w:r>
    </w:p>
    <w:p>
      <w:pPr>
        <w:pStyle w:val="SourceNote"/>
      </w:pPr>
      <w:r>
        <w:rPr>
          <w:b/>
        </w:rPr>
        <w:t>Available abstract (not full text):</w:t>
      </w:r>
      <w:r>
        <w:t xml:space="preserve"> Purpose The purpose of this study is to analyze and synthesize existing research on various ramp metering systems to evaluate their effectiveness in optimizing traffic flow, enhancing safety, reducing congestion, and identifying future research directions for integrating advanced technologies. Design/methodology/approach This literature review synthesizes research spanning several decades to evaluate the effectiveness of various ramp metering systems, including fixed-time, actuated, traffic-responsive and adaptive methods. Findings The success of ramp metering is contingent upon several factors. Public compliance is crucial, as resistance to ramp metering signals can diminish its effectiveness. Effective public education is necessary to convey the long-term benefits of smoother traffic and safer roads. Technological challenges, particularly regarding sensor accuracy and data processing, also present obstacles to system performance. Originality/value This study provides a comprehensive literature review on ramp metering as a traffic management strategy, showcasing its evolution and effectiveness over decades in optimizing highway entry rates, improving traffic flow, enhancing safety and reducing environmental impacts, while also addressing ongoing challenges and future opportunities for innovation.</w:t>
      </w:r>
    </w:p>
    <w:p>
      <w:pPr/>
      <w:r>
        <w:rPr>
          <w:b/>
        </w:rPr>
        <w:t>POSSIBLE 2025:</w:t>
      </w:r>
      <w:r>
        <w:t xml:space="preserve"> Power−efficient ramped stimulation in a fully implantable cochlear implant — https://doi.org/10.1038/s41598-025-25077-2</w:t>
      </w:r>
    </w:p>
    <w:p>
      <w:pPr/>
      <w:r>
        <w:rPr>
          <w:b/>
        </w:rPr>
        <w:t>Shared claim-specific concepts:</w:t>
      </w:r>
      <w:r>
        <w:t xml:space="preserve"> findings, strategies, four; EU scope not established. This is a provisional connection, not an outcome finding.</w:t>
      </w:r>
    </w:p>
    <w:p>
      <w:pPr>
        <w:pStyle w:val="SourceNote"/>
      </w:pPr>
      <w:r>
        <w:rPr>
          <w:b/>
        </w:rPr>
        <w:t>Available abstract (not full text):</w:t>
      </w:r>
      <w:r>
        <w:t xml:space="preserve"> Cochlear implants (CIs) are among the most established neuromodulation devices, providing auditory perception through electrical stimulation of the auditory nerve. While conventional stimulation strategies rely on symmetric biphasic rectangular pulses, alternative pulse shapes may offer improvements in neural activation and energy efficiency-particularly for fully implantable CI systems where power consumption is a key limitation. In this study, we investigate the efficacy of anodic-first ramped biphasic pulse shapes compared to conventional anodic-first rectangular pulses, using a custom-designed fully implantable cochlear implant (FICI) system in an in vivo guinea pig model. Electrically evoked auditory brainstem responses (eABRs) were recorded in response to four charge-balanced waveform types: Rectangular, RampUp, RampDown, and RampLong. In this single-subject feasibility study, ramped waveforms elicited significantly larger eABR amplitudes, steeper input-output functions, and shorter latencies compared to rectangular pulses. Additionally, we characterized transmission efficiency across the electrode-tissue interface by analyzing waveform spectra and their attenuation through a frequency-dependent medium model. After correcting for these medium-specific losses, in the anodic-first biphasic configuration, RampUp and RampLong pulses demonstrated up to 19-22% improvement in po</w:t>
      </w:r>
    </w:p>
    <w:p>
      <w:pPr/>
      <w:r>
        <w:rPr>
          <w:b/>
        </w:rPr>
        <w:t>POSSIBLE 2024:</w:t>
      </w:r>
      <w:r>
        <w:t xml:space="preserve"> Phytoliths in dicotyledons occurring in Northwest Europe: establishing a baseline — https://doi.org/10.1093/aob/mcae217</w:t>
      </w:r>
    </w:p>
    <w:p>
      <w:pPr/>
      <w:r>
        <w:rPr>
          <w:b/>
        </w:rPr>
        <w:t>Shared claim-specific concepts:</w:t>
      </w:r>
      <w:r>
        <w:t xml:space="preserve"> findings, baseline, conclusions; EU scope visible. This is a provisional connection, not an outcome finding.</w:t>
      </w:r>
    </w:p>
    <w:p>
      <w:pPr>
        <w:pStyle w:val="SourceNote"/>
      </w:pPr>
      <w:r>
        <w:rPr>
          <w:b/>
        </w:rPr>
        <w:t>Available abstract (not full text):</w:t>
      </w:r>
      <w:r>
        <w:t xml:space="preserve"> BACKGROUND AND AIMS: The absence of a modern plant-based 'dicotyledon' phytolith reference baseline impedes the accurate interpretation of fossil phytolith records in archaeological and palaeoecological research within Northwest (NW) Europe. This study aims to fill this gap by documenting and analysing the phytolith record from modern dicotyledon taxa occurring in this region. METHODS: Phytoliths were extracted from several plant parts of 117 plant specimens representing 74 species (one or two specimens per species). The study employed light microscopy to examine phytolith production (non-producer, trace, common or abundant) and phytolith assemblage composition. The data were analysed statistically to (1) determine the influence of taxonomy and plant part on phytolith presence (absent/present) using a mixed model, (2) assess phytolith assemblage variation using a permutational multivariate analysis of variance (PerMANOVA) and (3) identify patterns among sample groups including segregation for plant part, life form (forbs vs. shrubs/trees) and order using linear discriminant analyses (LDA). KEY RESULTS: Morphotype analysis revealed diagnostic morphotypes and features for specific plant families, genera and plant parts. LDA effectively segregated plant parts and life forms, though taxonomic groupings showed limited segregation. Phytolith presence (absent/present) was found to var</w:t>
      </w:r>
    </w:p>
    <w:p>
      <w:pPr/>
      <w:r>
        <w:rPr>
          <w:b/>
        </w:rPr>
        <w:t>POSSIBLE 2024:</w:t>
      </w:r>
      <w:r>
        <w:t xml:space="preserve"> Baseline matters: Challenges and implications of different marine heatwave baselines — https://doi.org/10.1016/j.pocean.2024.103404</w:t>
      </w:r>
    </w:p>
    <w:p>
      <w:pPr/>
      <w:r>
        <w:rPr>
          <w:b/>
        </w:rPr>
        <w:t>Shared claim-specific concepts:</w:t>
      </w:r>
      <w:r>
        <w:t xml:space="preserve"> suggest, baseline, strategies; EU scope not established. This is a provisional connection, not an outcome finding.</w:t>
      </w:r>
    </w:p>
    <w:p>
      <w:pPr>
        <w:pStyle w:val="SourceNote"/>
      </w:pPr>
      <w:r>
        <w:rPr>
          <w:b/>
        </w:rPr>
        <w:t>Available abstract (not full text):</w:t>
      </w:r>
      <w:r>
        <w:t xml:space="preserve"> Marine heatwaves (MHWs), prolonged periods of unusually high ocean temperatures, significantly impact global ecosystems. However, there is ongoing debate regarding the definition of these extreme events, which is crucial for effective research and communication among marine scientists, decision-makers, and the broader public. Fundamental to all MHW analyses is a clearly defined background oceanic climate – i.e., a temperature ‘baseline’ against which the MHW is defined. While a single approach to implementing a baseline may not be suitable for all MHW research applications, the choice of a baseline for analysing MHWs must be intentional as it affects research outcomes. This perspective examines baseline choices and discusses their implications for marine organism and ecosystem risks, and their relevance in communicating MHW characteristics and metrics to stakeholders, policymakers, and the public. In particular we analyse five different baseline approaches for computing MHW statistics, assess their technical differences, and discuss their ecological implications. Different baselines suggest widely different trends in MHW characteristics in a warming world. This would, for example, imply differences in future risk, reflective of marine organisms with different adaptive potential, thereby affecting recommendations for management strategies. We also examine the consequences of dif</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findings, baseline, four;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Treatment gaps in the implementation of LDL cholesterol control among high- and very high-risk patients in Europe between 2020 and 2021: the multinational observational SANTORINI study — https://doi.org/10.1016/j.lanepe.2023.100624</w:t>
      </w:r>
    </w:p>
    <w:p>
      <w:pPr/>
      <w:r>
        <w:rPr>
          <w:b/>
        </w:rPr>
        <w:t>Shared claim-specific concepts:</w:t>
      </w:r>
      <w:r>
        <w:t xml:space="preserve"> findings, suggest, baseline; EU scope visible. This is a provisional connection, not an outcome finding.</w:t>
      </w:r>
    </w:p>
    <w:p>
      <w:pPr>
        <w:pStyle w:val="SourceNote"/>
      </w:pPr>
      <w:r>
        <w:rPr>
          <w:b/>
        </w:rPr>
        <w:t>Available abstract (not full text):</w:t>
      </w:r>
      <w:r>
        <w:t xml:space="preserve"> Background: European data pre-2019 suggest statin monotherapy is the most common approach to lipid management for preventing cardiovascular (CV) events, resulting in only one-fifth of high- and very high-risk patients achieving the 2019 ESC/EAS recommended low-density lipoprotein cholesterol (LDL-C) goals. Whether the treatment landscape has evolved, or gaps persist remains of interest. Methods: Baseline data are presented from SANTORINI, an observational, prospective study that documents the use of lipid-lowering therapies (LLTs) in patients ≥18 years at high or very high CV risk between 2020 and 2021 across primary and secondary care settings in 14 European countries. Findings: Of 9602 enrolled patients, 9044 with complete data were included (mean age: 65.3 ± 10.9 years; 72.6% male). Physicians reported using 2019 ESC/EAS guidelines as a basis for CV risk classification in 52.0% (4706/9044) of patients (overall: high risk 29.2%; very high risk 70.8%). However, centrally re-assessed CV risk based on 2019 ESC/EAS guidelines suggested 6.5% (308/4706) and 91.0% (4284/4706) were high- and very high-risk patients, respectively. Overall, 21.8% of patients had no documented LLTs, 54.2% were receiving monotherapy and 24.0% combination LLT. Median (interquartile range [IQR]) LDL-C was 2.1 (1.6, 3.0) mmol/L (82 [60, 117] mg/dL), with 20.1% of patients achieving risk-based LDL-C goals as</w:t>
      </w:r>
    </w:p>
    <w:p>
      <w:pPr/>
      <w:r>
        <w:rPr>
          <w:b/>
        </w:rPr>
        <w:t>POSSIBLE 2023:</w:t>
      </w:r>
      <w:r>
        <w:t xml:space="preserve"> Lifetime impact of achondroplasia study in Europe (LIAISE): findings from a multinational observational study — https://doi.org/10.1186/s13023-023-02652-2</w:t>
      </w:r>
    </w:p>
    <w:p>
      <w:pPr/>
      <w:r>
        <w:rPr>
          <w:b/>
        </w:rPr>
        <w:t>Shared claim-specific concepts:</w:t>
      </w:r>
      <w:r>
        <w:t xml:space="preserve"> findings, suggest, conclusions; EU scope visible. This is a provisional connection, not an outcome finding.</w:t>
      </w:r>
    </w:p>
    <w:p>
      <w:pPr>
        <w:pStyle w:val="SourceNote"/>
      </w:pPr>
      <w:r>
        <w:rPr>
          <w:b/>
        </w:rPr>
        <w:t>Available abstract (not full text):</w:t>
      </w:r>
      <w:r>
        <w:t xml:space="preserve"> BACKGROUND: Achondroplasia, caused by a pathogenic variant in the fibroblast growth factor receptor 3 gene, is the most common skeletal dysplasia. The Lifetime Impact of Achondroplasia Study in Europe (LIAISE; NCT03449368) aimed to quantify the burden of achondroplasia among individuals across a broad range of ages, including adults. METHODS: Demographic, clinical and healthcare resource use data were collected from medical records of achondroplasia patients enrolled in 13 sites across six European countries in this retrospective, observational study. Descriptive statistics or event rates per 100 person-years were calculated and compared across age groups as well as by history of limb lengthening. Patient-reported outcomes (quality of life [QoL], pain, functional independence, work productivity and activity impairments) were evaluated using questionnaires at the time of enrolment. An exploratory analysis investigated correlations between height (z-score or centimetres) and patient-reported outcomes. RESULTS: Overall, 186 study patients were included, with a mean age of 21.7 ± 17.3 years (range 5.0-84.4). At least one complication or surgery was reported for 94.6% and 72.0% of patients, respectively, at a rate of 66.6 and 21.5 events per 100 person-years. Diverse medical and surgical complications were reported for all ages in a bimodal distribution, occurring more frequently in</w:t>
      </w:r>
    </w:p>
    <w:p>
      <w:pPr>
        <w:pStyle w:val="Heading2"/>
      </w:pPr>
      <w:r>
        <w:t>619.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2025:</w:t>
      </w:r>
      <w:r>
        <w:t xml:space="preserve"> Future Changes of European Windstorm Losses in EURO-CORDEX Simulations — https://doi.org/10.16993/tellusa.4094</w:t>
      </w:r>
    </w:p>
    <w:p>
      <w:pPr/>
      <w:r>
        <w:rPr>
          <w:b/>
        </w:rPr>
        <w:t>Shared claim-specific concepts:</w:t>
      </w:r>
      <w:r>
        <w:t xml:space="preserve"> simulations, show, without, increase, individual; EU scope visible. This is a provisional connection, not an outcome finding.</w:t>
      </w:r>
    </w:p>
    <w:p>
      <w:pPr>
        <w:pStyle w:val="SourceNote"/>
      </w:pPr>
      <w:r>
        <w:rPr>
          <w:b/>
        </w:rPr>
        <w:t>Available abstract (not full text):</w:t>
      </w:r>
      <w:r>
        <w:t xml:space="preserve">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individual, lower;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Europe's way from natural gas to green hydrogen: Modeling and simulation of the transforming European gas transport infrastructure — https://doi.org/10.1016/j.ijhydene.2025.04.408</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Achieving the EU's 2050 climate neutrality target requires rapid energy system transformation, with hydrogen expected to play a central role. This study presents a high-resolution modeling framework to support the transition of Europe's natural gas infrastructure into a cost-efficient hydrogen network while maintaining residual gas transport capabilities. Using the Steiner tree algorithm, optimized hydrogen network topologies were derived by repurposing existing pipelines and selectively building new corridors. Scenario data were spatially and temporally disaggregated to NUTS-3 and hourly resolution. Fluid-dynamic simulations for 2030, 2040, and 2050 validate the technical feasibility and identify infrastructure bottlenecks. Results show that by 2040, 98 % of the projected 38,000 km hydrogen network can be repurposed infrastructure, requiring an estimated €72.5 billion investment by 2050. The proposed methodology enables scalable and adaptive planning and offers critical insights into hydrogen corridor prioritization, infrastructure phasing, and cross-border coordination, supporting policy and investment decisions across the EU energy landscape.</w:t>
      </w:r>
    </w:p>
    <w:p>
      <w:pPr/>
      <w:r>
        <w:rPr>
          <w:b/>
        </w:rPr>
        <w:t>POSSIBLE 2025:</w:t>
      </w:r>
      <w:r>
        <w:t xml:space="preserve"> An Agent-based simulation model for vehicle fleet growth to review public policies for transport demand management — https://doi.org/10.17533/udea.redin.20250472</w:t>
      </w:r>
    </w:p>
    <w:p>
      <w:pPr/>
      <w:r>
        <w:rPr>
          <w:b/>
        </w:rPr>
        <w:t>Shared claim-specific concepts:</w:t>
      </w:r>
      <w:r>
        <w:t xml:space="preserve"> transport, increase, traffic; EU scope not established. This is a provisional connection, not an outcome finding.</w:t>
      </w:r>
    </w:p>
    <w:p>
      <w:pPr>
        <w:pStyle w:val="SourceNote"/>
      </w:pPr>
      <w:r>
        <w:rPr>
          <w:b/>
        </w:rPr>
        <w:t>Available abstract (not full text):</w:t>
      </w:r>
      <w:r>
        <w:t xml:space="preserve"> The increase in the number of vehicles in highly dense areas with a limited road network has become a challenge for main cities worldwide. Recent decades demographic and economic growth has generated a gradual increase in traffic congestion and the commutation times of inhabitants, which directly affects their productivity and quality of life. To counteract these impacts, governments have implemented Travel Demand Management (TDM) that restrict the circulation of private vehicles to reduce traffic congestion, while discouraging their acquisition and promoting the use of public transport. However, due to their coercive characteristics, the effectiveness of TDM to discourage the acquisition of private vehicles and their long-term effect on controlling the growth of the vehicle fleet has been harshly questioned. This research presents the recent scientific methodologies to estimate variations in car fleet growth and shows estimation variables in Medellín city using publicly available databases, as well as one method proper for the selection of the proper evaluation model. These set up scenarios for projecting the vehicle fleet based on the implementation of public policies for demand management of demand such as the restriction due to license plate-based (L&amp;P) use and scrapping. This allows for evaluating the relationship between vehicle age allowed for the circulation of vehicles</w:t>
      </w:r>
    </w:p>
    <w:p>
      <w:pPr/>
      <w:r>
        <w:rPr>
          <w:b/>
        </w:rPr>
        <w:t>POSSIBLE 2024:</w:t>
      </w:r>
      <w:r>
        <w:t xml:space="preserve"> Bias-adjusting for underestimated large-scale European warming in regional climate model simulations and implications for future extremes — https://doi.org/10.5194/egusphere-egu24-18186</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Our warming climate enhances both the frequency and intensity of weather extremes. To enable adequate mitigation and adaptation decision-making and planning, accurate long-term climate projections across scales are essential. Europe has warmed faster than any other World Meteorological Organization region in the last decades, yet a vast majority of RCM simulations does not capture the strong observed temperature rise. This discrepancy is in part related to the widespread use of constant aerosol representations in RCMs, and emerges most clearly during summer, i.e. the period of strong insolation. Thereby it also affects (changes in) heat extremes even more strongly than the mean warming. This warming mismatch is, crucially, not restricted to the past but also affects climate projections. Several European national climate services of several European countries still rely on these simulations and solutions are required.Here, we present a novel method to adjust the large-scale warming in RCM simulations based on a reference such as observations or other model simulations. In particular, we re-assemble RCM simulations to match the long-term annual mean temperature evolution over Western Europe in state-of-the-art GCMs, which show less (or no) underestimation of the observed summer warming than the RCMs. We demonstrate that our approach preserves the high-resolution information provi</w:t>
      </w:r>
    </w:p>
    <w:p>
      <w:pPr/>
      <w:r>
        <w:rPr>
          <w:b/>
        </w:rPr>
        <w:t>POSSIBLE 2024:</w:t>
      </w:r>
      <w:r>
        <w:t xml:space="preserve"> Energy transition in sustainable transport: concepts, policies, and methodologies — https://doi.org/10.1007/s11356-024-34862-x</w:t>
      </w:r>
    </w:p>
    <w:p>
      <w:pPr/>
      <w:r>
        <w:rPr>
          <w:b/>
        </w:rPr>
        <w:t>Shared claim-specific concepts:</w:t>
      </w:r>
      <w:r>
        <w:t xml:space="preserve"> transport, mobility; EU scope not established. This is a provisional connection, not an outcome finding.</w:t>
      </w:r>
    </w:p>
    <w:p>
      <w:pPr>
        <w:pStyle w:val="SourceNote"/>
      </w:pPr>
      <w:r>
        <w:rPr>
          <w:b/>
        </w:rPr>
        <w:t>Available abstract (not full text):</w:t>
      </w:r>
      <w:r>
        <w:t xml:space="preserve"> The growth in population, economic expansion, and urban dynamism has collectively driven a surge in the use of public and private transport, resulting in increased energy consumption in this sector. Consequently, the transport sector requires an energy transition to meet mobility demands, foster economic growth, and achieve emission reduction. The main objective of this article is to systematically review the literature on energy transition in transportation, categorizing research, identifying barriers, and providing analysis to guide future steps, with a special focus on developing countries. The methodology used in this study follows a sequence for a systematic review based on an evidence-informed approach and specific guidelines for systematic reviews, exploring the concepts, methodologies, and policies within the context of the energy transition, considering transport modes and geographical scope. The findings indicate that electricity is the predominant energy source in this transition, although its prevalence varies by transport mode. Biofuels present an alternative, primarily contributing to emission reduction associated with fossil fuel use. Natural gas emerges as a cost-effective option for heavy transport, while hydrogen represents another alternative, with the challenge of developing recharging infrastructure. Determinants of this transition include recharging infras</w:t>
      </w:r>
    </w:p>
    <w:p>
      <w:pPr/>
      <w:r>
        <w:rPr>
          <w:b/>
        </w:rPr>
        <w:t>POSSIBLE 2024:</w:t>
      </w:r>
      <w:r>
        <w:t xml:space="preserve"> External Transport Costs and Implications for Sustainable Transport Policy — https://doi.org/10.3390/su16229687</w:t>
      </w:r>
    </w:p>
    <w:p>
      <w:pPr/>
      <w:r>
        <w:rPr>
          <w:b/>
        </w:rPr>
        <w:t>Shared claim-specific concepts:</w:t>
      </w:r>
      <w:r>
        <w:t xml:space="preserve"> transport, modal; EU scope visible. This is a provisional connection, not an outcome finding.</w:t>
      </w:r>
    </w:p>
    <w:p>
      <w:pPr>
        <w:pStyle w:val="SourceNote"/>
      </w:pPr>
      <w:r>
        <w:rPr>
          <w:b/>
        </w:rPr>
        <w:t>Available abstract (not full text):</w:t>
      </w:r>
      <w:r>
        <w:t xml:space="preserve"> This study investigated the external costs of different transport modes and their implications for sustainable transport policy. Utilising the INCONE60 Cargo Flow Model, we quantified and compared road and maritime transport’s environmental and health impacts within European logistics networks. Our findings revealed that road transport incurred external costs up to four times higher than sea transport due to greater emissions and health-related impacts. By implementing strategic modal shifts and optimising routes, we demonstrated the potential to reduce external costs by up to 80%. These results underscore the importance of integrating external costs into decision-making processes, aligning with global sustainability goals, and providing actionable insights for policymakers to promote sustainable practices in global trade.</w:t>
      </w:r>
    </w:p>
    <w:p>
      <w:pPr/>
      <w:r>
        <w:rPr>
          <w:b/>
        </w:rPr>
        <w:t>POSSIBLE 2023:</w:t>
      </w:r>
      <w:r>
        <w:t xml:space="preserve"> A roadmap to estimating agricultural ammonia volatilization over Europe using satellite observations and simulation data — https://doi.org/10.5194/acp-23-12505-2023</w:t>
      </w:r>
    </w:p>
    <w:p>
      <w:pPr/>
      <w:r>
        <w:rPr>
          <w:b/>
        </w:rPr>
        <w:t>Shared claim-specific concepts:</w:t>
      </w:r>
      <w:r>
        <w:t xml:space="preserve"> simulations, show, increase; EU scope visible. This is a provisional connection, not an outcome finding.</w:t>
      </w:r>
    </w:p>
    <w:p>
      <w:pPr>
        <w:pStyle w:val="SourceNote"/>
      </w:pPr>
      <w:r>
        <w:rPr>
          <w:b/>
        </w:rPr>
        <w:t>Available abstract (not full text):</w:t>
      </w:r>
      <w:r>
        <w:t xml:space="preserve"> Abstract. Ammonia (NH3) is one of the most important gases emitted from agricultural practices. It affects air quality and the overall climate, and in turn influenced by long term climate trends as well as by short term fluctuations in local and regional meteorology. Previous studies have established the capability of the Infrared Atmospheric Sounding Interferometer (IASI) series of instruments aboard the Metop satellites to measure ammonia from space since 2007. In this study, we explore the interactions between atmospheric ammonia, land and meteorological variability, and long-term climate trends in Europe. We investigate the emission potential (Γsoil) of ammonia from the soil, which describes the soil – atmosphere ammonia exchange. Γsoil is generally calculated in-field or in laboratory experiments; here, and for the first time, we investigate a method which assesses it remotely using satellite data, reanalysis data products, and model simulations. We focus on ammonia emission potential during March 2011, which marks the start of growing season in Europe. Our results show that Γsoil ranges from 2 × 103 to 9.5 × 104 (dimensionless) in a fertilized cropland, such as in the North European Plain, and is of the order of 10–102 in a non-fertilized soil (e.g. forest and grassland). These results agree with in-field measurements from the literature, suggesting that our method can be</w:t>
      </w:r>
    </w:p>
    <w:p>
      <w:pPr/>
      <w:r>
        <w:rPr>
          <w:b/>
        </w:rPr>
        <w:t>POSSIBLE 2023:</w:t>
      </w:r>
      <w:r>
        <w:t xml:space="preserve"> Validating EURO-CORDEX climate simulations for modelling European wind power generation — https://doi.org/10.1016/j.renene.2023.118989</w:t>
      </w:r>
    </w:p>
    <w:p>
      <w:pPr/>
      <w:r>
        <w:rPr>
          <w:b/>
        </w:rPr>
        <w:t>Shared claim-specific concepts:</w:t>
      </w:r>
      <w:r>
        <w:t xml:space="preserve"> simulations, show, lower; EU scope visible. This is a provisional connection, not an outcome finding.</w:t>
      </w:r>
    </w:p>
    <w:p>
      <w:pPr>
        <w:pStyle w:val="SourceNote"/>
      </w:pPr>
      <w:r>
        <w:rPr>
          <w:b/>
        </w:rPr>
        <w:t>Available abstract (not full text):</w:t>
      </w:r>
      <w:r>
        <w:t xml:space="preserve"> As the energy system becomes increasingly dependent on intermittent meteorological sources, there is a need to understand better the possible consequences of a changing climate on weather variability and how it will affect wind power generation in the future. Most previous validation studies of regional climate datasets focus on the distributional properties or, in fewer cases, the variability at lower frequencies, such as interannual and seasonal. However, accurate wind variability at a high-enough resolution (e.g., hourly) is crucial for many aspects of power and energy system analyses. Using European country-level wind generation data and metrics relevant to power and energy system applications, we validate the wind speed output from seven regional climate models from the EURO-CORDEX project. We show that the EURO-CORDEX models adjusted with the Global Wind Atlas (GWA2) can simulate temporal dependencies and generation distributions with accuracy similar to or better than the ERA5 reanalysis. The spatial correlations, however, are exaggerated compared to observations by most analysed models. Assuming the GWA2 scaling is also valid for the future, the projections under the RCP8.5 scenario show a slight negative trend (2026--2065) in capacity factors for most analysed European countries.</w:t>
      </w:r>
    </w:p>
    <w:p>
      <w:pPr/>
      <w:r>
        <w:rPr>
          <w:b/>
        </w:rPr>
        <w:t>POSSIBLE 2023:</w:t>
      </w:r>
      <w:r>
        <w:t xml:space="preserve"> Simulation of the Progress of the Decarbonization Process in Poland’s Road Transport Sector — https://doi.org/10.3390/en16124635</w:t>
      </w:r>
    </w:p>
    <w:p>
      <w:pPr/>
      <w:r>
        <w:rPr>
          <w:b/>
        </w:rPr>
        <w:t>Shared claim-specific concepts:</w:t>
      </w:r>
      <w:r>
        <w:t xml:space="preserve"> simulations, without, transport, mobility; EU scope visible. This is a provisional connection, not an outcome finding.</w:t>
      </w:r>
    </w:p>
    <w:p>
      <w:pPr>
        <w:pStyle w:val="SourceNote"/>
      </w:pPr>
      <w:r>
        <w:rPr>
          <w:b/>
        </w:rPr>
        <w:t>Available abstract (not full text):</w:t>
      </w:r>
      <w:r>
        <w:t xml:space="preserve"> In the years ahead, the majority of the EU member states will be implementing their energy and climate plans. These plans are aimed at fulfilling obligations related to the strategy for the Sustainable and Smart Mobility Strategy and the “Fit for 55” package. The European Commission has presented highly challenging proposals for the decarbonization of the transport sector through electrification and support for innovation. The decarbonization of transport will not be possible without cooperation and mutual understanding between manufacturers, suppliers, and customers, or without proper organization of the transport process itself. High-emission means of transport must be replaced with low-emission ones. In the EU, road transport generates 70% of all transport emissions. There are few scalable decarbonization opportunities in the transport sector. Various kinds of solutions should be promoted, yet at the same time, it is imperative to analyze the current situation and forecast desirable potential future outcomes. By employing optimization theory tools, specifically the SOLVER add-in—an Excel-based optimization tool—the optimum structure of the stock of road transport vehicles in Poland’s commercial road transport sector was searched for. Several research hypotheses were formulated, primarily focusing on the potential for electric vehicles to reduce emissions significantly. These</w:t>
      </w:r>
    </w:p>
    <w:p>
      <w:pPr/>
      <w:r>
        <w:rPr>
          <w:b/>
        </w:rPr>
        <w:t>POSSIBLE 2023:</w:t>
      </w:r>
      <w:r>
        <w:t xml:space="preserve"> Evidence-based transport policy analysis driven by agent-based simulation: the case of mobility in Ústí nad Labem — https://doi.org/10.1007/s11116-023-10453-6</w:t>
      </w:r>
    </w:p>
    <w:p>
      <w:pPr/>
      <w:r>
        <w:rPr>
          <w:b/>
        </w:rPr>
        <w:t>Shared claim-specific concepts:</w:t>
      </w:r>
      <w:r>
        <w:t xml:space="preserve"> transport, mobility, increase, modal, shift, cycling; EU scope not established. This is a provisional connection, not an outcome finding.</w:t>
      </w:r>
    </w:p>
    <w:p>
      <w:pPr>
        <w:pStyle w:val="SourceNote"/>
      </w:pPr>
      <w:r>
        <w:rPr>
          <w:b/>
        </w:rPr>
        <w:t>Available abstract (not full text):</w:t>
      </w:r>
      <w:r>
        <w:t xml:space="preserve"> Abstract There is a raise in public awareness on environmental and health issues in recent years, therefore many municipalities changed their transport policy direction to become more sustainable, especially active mobility based. This study makes use of an activity-based demand model to simulate urban mobility and policies for sustainable transport modes in the Usti nad Labem district using an agent-based model simulator driven by a co-evolutionary algorithm. Two policy scenarios were created by considering the transport literature and analyzing the characteristics and behaviors of citizens as well as the properties of the study area. Three scenarios—the actual situation, a cycleway-infrastructure case, and a bus priority case—were simulated for the study area with MATSim software. Both policy scenarios resulted in a decrease in car usage, with a higher drop seen in the cycleway-infrastructure scenario. 9.11% higher public transport ridership and 2.45% more of public transport modal share are observed in the bus priority compared to the actual situation, however the car-related emissions did not decrease. 6.36% more of cycling modal share was also noticed in the cycleway-infrastructure scenario which, the transport modal shift is enhanced by 2.6 more times than in the bus priority scenario. Car driving hours were significantly reduced in the cycleway scenario (5535 h less in a</w:t>
      </w:r>
    </w:p>
    <w:p>
      <w:pPr>
        <w:pStyle w:val="Heading2"/>
      </w:pPr>
      <w:r>
        <w:t>620.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2025:</w:t>
      </w:r>
      <w:r>
        <w:t xml:space="preserve"> On masas of the Calkin algebra generated by projections — https://doi.org/10.48550/arxiv.2512.06580</w:t>
      </w:r>
    </w:p>
    <w:p>
      <w:pPr/>
      <w:r>
        <w:rPr>
          <w:b/>
        </w:rPr>
        <w:t>Shared claim-specific concepts:</w:t>
      </w:r>
      <w:r>
        <w:t xml:space="preserve"> projections, three, compared; EU scope not established. This is a provisional connection, not an outcome finding.</w:t>
      </w:r>
    </w:p>
    <w:p>
      <w:pPr>
        <w:pStyle w:val="SourceNote"/>
      </w:pPr>
      <w:r>
        <w:rPr>
          <w:b/>
        </w:rPr>
        <w:t>Available abstract (not full text):</w:t>
      </w:r>
      <w:r>
        <w:t xml:space="preserve"> Assuming the continuum hypothesis CH, we obtain complete $*$-isomorphic classification of maximal abelian self-adjoint subalgebras (masas) of the Calkin algebra $\mathcal Q(\ell_2)$ (bounded operators on a separable Hilbert space modulo compact operators) generated by projections. In particular, for any compact totally disconnected Hausdorff space $K$ of weight not exceeding the continuum and not admitting $G_δ$ points we construct under CH a masa of $\mathcal Q(\ell_2)$ which is $*$-isomorphic to the algebra $C(K)$ of complex-valued continuous functions on $K$. This, among others, shows that masas of the Calkin algebra could have rather unexpected properties compared to the previously known three $*$-isomorphic types of them generated by projections: $\ell_\infty/c_0$, $L_\infty$ and $\ell_\infty/c_0\oplus L_\infty$. It can be shown that some additional set-theoretic hypothesis, like CH, is necessary for such results. However, without making any additional set-theoretic assumptions we still construct a family of maximal possible cardinality (of the power set of $\mathbb R$) of pairwise non-$*$-isomorphic masas of $\mathcal Q(\ell_2)$ generated by projections and with properties unlike the three above examples.</w:t>
      </w:r>
    </w:p>
    <w:p>
      <w:pPr/>
      <w:r>
        <w:rPr>
          <w:b/>
        </w:rPr>
        <w:t>POSSIBLE 2024:</w:t>
      </w:r>
      <w:r>
        <w:t xml:space="preserve"> Projection in Arabic: a typological overview — https://doi.org/10.1515/jwl-2024-0019</w:t>
      </w:r>
    </w:p>
    <w:p>
      <w:pPr/>
      <w:r>
        <w:rPr>
          <w:b/>
        </w:rPr>
        <w:t>Shared claim-specific concepts:</w:t>
      </w:r>
      <w:r>
        <w:t xml:space="preserve"> show, three, abstract, examines; EU scope not established. This is a provisional connection, not an outcome finding.</w:t>
      </w:r>
    </w:p>
    <w:p>
      <w:pPr>
        <w:pStyle w:val="SourceNote"/>
      </w:pPr>
      <w:r>
        <w:rPr>
          <w:b/>
        </w:rPr>
        <w:t>Available abstract (not full text):</w:t>
      </w:r>
      <w:r>
        <w:t xml:space="preserve"> Abstract This article examines the different aspects of projection by focusing on the processes construing this area of the lexicogrammar. It also explores how Arabic construes this dimension of the lexicogrammar across the rank scale and beyond. Within the Hallidayan Systemic Functional paradigm, there are three variables that differentiate between any type of projection and this article investigates all three of them. It more precisely explores the three different projection systems which consist of (i) the level of projection which is about the distinction between mental and verbal projection. (ii) The mode of projection which is about tactic interdependency relations and whether what is projected is a quote (paratactic) or a report (hypotactic) and (iii) the speech function of projection which is where projection interacts with the system of mood and the projection of propositions and proposals. The last section studies the manifestation of projection patterns in a wide variety of lexico-grammatical environments. The findings will show how this pervasiveness substantiates the interpretation of projection as a fractal motif.</w:t>
      </w:r>
    </w:p>
    <w:p>
      <w:pPr/>
      <w:r>
        <w:rPr>
          <w:b/>
        </w:rPr>
        <w:t>POSSIBLE 2024:</w:t>
      </w:r>
      <w:r>
        <w:t xml:space="preserve"> Long-term population projections: Scenarios of low or rebounding fertility — https://doi.org/10.1371/journal.pone.0298190</w:t>
      </w:r>
    </w:p>
    <w:p>
      <w:pPr/>
      <w:r>
        <w:rPr>
          <w:b/>
        </w:rPr>
        <w:t>Shared claim-specific concepts:</w:t>
      </w:r>
      <w:r>
        <w:t xml:space="preserve"> projections, show, fertility, decline, recent; EU scope not established. This is a provisional connection, not an outcome finding.</w:t>
      </w:r>
    </w:p>
    <w:p>
      <w:pPr>
        <w:pStyle w:val="SourceNote"/>
      </w:pPr>
      <w:r>
        <w:rPr>
          <w:b/>
        </w:rPr>
        <w:t>Available abstract (not full text):</w:t>
      </w:r>
      <w:r>
        <w:t xml:space="preserve"> The size of the human population is projected to peak in the 21st century. But quantitative projections past 2100 are rare, and none quantify the possibility of a rebound from low fertility to replacement-level fertility. Moreover, the most recent long-term deterministic projections were published a decade ago; since then there has been further global fertility decline. Here we provide updated long-term cohort-component population projections and extend the set of scenarios in the literature to include scenarios in which future fertility (a) stays below replacement or (b) recovers and increases. We also characterize old-age dependency ratios. We show that any stable, long-run size of the world population would persistently depend on when an increase towards replacement fertility begins. Without such an increase, the 400-year span when more than 2 billion people were alive would be a brief spike in history. Indeed, four-fifths of all births-past, present, and future-would have already happened.</w:t>
      </w:r>
    </w:p>
    <w:p>
      <w:pPr/>
      <w:r>
        <w:rPr>
          <w:b/>
        </w:rPr>
        <w:t>POSSIBLE 2024:</w:t>
      </w:r>
      <w:r>
        <w:t xml:space="preserve"> Subnational probabilistic projections of fertility: rethinking from Latin America — https://doi.org/10.56808/2730-3934.1358</w:t>
      </w:r>
    </w:p>
    <w:p>
      <w:pPr/>
      <w:r>
        <w:rPr>
          <w:b/>
        </w:rPr>
        <w:t>Shared claim-specific concepts:</w:t>
      </w:r>
      <w:r>
        <w:t xml:space="preserve"> projections, show, fertility, over, compared, period; EU scope not established. This is a provisional connection, not an outcome finding.</w:t>
      </w:r>
    </w:p>
    <w:p>
      <w:pPr>
        <w:pStyle w:val="SourceNote"/>
      </w:pPr>
      <w:r>
        <w:rPr>
          <w:b/>
        </w:rPr>
        <w:t>Available abstract (not full text):</w:t>
      </w:r>
      <w:r>
        <w:t xml:space="preserve"> General trends in fertility, mortality, and migration can be discerned and projected into the future with reasonable results, however, there is considerable uncertainty attached to each specific trend from a particular country or region. Then, subnational projections then represent a special chapter within the demographic projections. After introducing subnational projections and its close relationship with the fertility, this work proposes as the main objective to project fertility rates at the subnational level for Argentina using a probabilistic method; the bayesian hierarchical model (BHM), and then compare the results with the point estimates of deterministic projections published by the national organism of statistics. Forecasts were obtained from two models, one including all the countries available in World Population Prospects (WPP) and a second model based only in a subgroup of countries; Argentina, Colombia, Chile, Cuba and Uruguay, both based on data from 1980 to 2010. This set of countries where selected using the transitional to identify a subset of countries with similar patterns among them, that includes Argentina, but show different patterns compared to the rest region. Time period is selected to include years for which these countries reach an adequate data quality. BHM for subnational projections is an extremely useful and flexible method. It presents many ad</w:t>
      </w:r>
    </w:p>
    <w:p>
      <w:pPr/>
      <w:r>
        <w:rPr>
          <w:b/>
        </w:rPr>
        <w:t>POSSIBLE 2024:</w:t>
      </w:r>
      <w:r>
        <w:t xml:space="preserve"> Global fertility in 204 countries and territories, 1950–2021, with forecasts to 2100: a comprehensive demographic analysis for the Global Burden of Disease Study 2021 — https://doi.org/10.1016/s0140-6736(24)00550-6</w:t>
      </w:r>
    </w:p>
    <w:p>
      <w:pPr/>
      <w:r>
        <w:rPr>
          <w:b/>
        </w:rPr>
        <w:t>Shared claim-specific concepts:</w:t>
      </w:r>
      <w:r>
        <w:t xml:space="preserve"> projections, three, four, fertility, decline, over; EU scope not established. This is a provisional connection, not an outcome finding.</w:t>
      </w:r>
    </w:p>
    <w:p>
      <w:pPr>
        <w:pStyle w:val="SourceNote"/>
      </w:pPr>
      <w:r>
        <w:rPr>
          <w:b/>
        </w:rPr>
        <w:t>Available abstract (not full text):</w:t>
      </w:r>
      <w:r>
        <w:t xml:space="preserve"> BACKGROUND: Accurate assessments of current and future fertility-including overall trends and changing population age structures across countries and regions-are essential to help plan for the profound social, economic, environmental, and geopolitical challenges that these changes will bring. Estimates and projections of fertility are necessary to inform policies involving resource and health-care needs, labour supply, education, gender equality, and family planning and support. The Global Burden of Diseases, Injuries, and Risk Factors Study (GBD) 2021 produced up-to-date and comprehensive demographic assessments of key fertility indicators at global, regional, and national levels from 1950 to 2021 and forecast fertility metrics to 2100 based on a reference scenario and key policy-dependent alternative scenarios. METHODS: To estimate fertility indicators from 1950 to 2021, mixed-effects regression models and spatiotemporal Gaussian process regression were used to synthesise data from 8709 country-years of vital and sample registrations, 1455 surveys and censuses, and 150 other sources, and to generate age-specific fertility rates (ASFRs) for 5-year age groups from age 10 years to 54 years. ASFRs were summed across age groups to produce estimates of total fertility rate (TFR). Livebirths were calculated by multiplying ASFR and age-specific female population, then summing across </w:t>
      </w:r>
    </w:p>
    <w:p>
      <w:pPr/>
      <w:r>
        <w:rPr>
          <w:b/>
        </w:rPr>
        <w:t>POSSIBLE 2024:</w:t>
      </w:r>
      <w:r>
        <w:t xml:space="preserve"> Decomposition of official population projections in Brazil — https://doi.org/10.20947/s0102-3098a0263</w:t>
      </w:r>
    </w:p>
    <w:p>
      <w:pPr/>
      <w:r>
        <w:rPr>
          <w:b/>
        </w:rPr>
        <w:t>Shared claim-specific concepts:</w:t>
      </w:r>
      <w:r>
        <w:t xml:space="preserve"> projections, four, fertility, decline, over; EU scope not established. This is a provisional connection, not an outcome finding.</w:t>
      </w:r>
    </w:p>
    <w:p>
      <w:pPr>
        <w:pStyle w:val="SourceNote"/>
      </w:pPr>
      <w:r>
        <w:rPr>
          <w:b/>
        </w:rPr>
        <w:t>Available abstract (not full text):</w:t>
      </w:r>
      <w:r>
        <w:t xml:space="preserve"> Brazil’s population has continually changed over time. However, the effects of each demographic component on official population projections are still unclear. In this research, we replicate the Population Projections Revision 2018 of the Brazilian Institute of Geography and Statistics using a projection matrix model and the cohort-component method by sex, age and geographic regions. Thereafter, we established four alternative scenarios to decompose the official benchmark scenario into four demographic effects (fertility, age structure, mortality, and migration) and one residual effect. The results reveal that fertility and age structure effects have been the main drivers of the population dynamics between 2010 and 2060. On the one hand, the negative effect of fertility below replacement level has been mostly offset by the still positive effect of the age structure, even across regions in the country. On the other hand, age structure effect has been decreasing over time. By 2048, the effects of age structure, mortality and migration will no longer counterbalance fertility effects, resulting in a population decline.</w:t>
      </w:r>
    </w:p>
    <w:p>
      <w:pPr/>
      <w:r>
        <w:rPr>
          <w:b/>
        </w:rPr>
        <w:t>POSSIBLE 2024:</w:t>
      </w:r>
      <w:r>
        <w:t xml:space="preserve"> Fertility and Family Dynamics in the Aftermath of the COVID‐19 Pandemic — https://doi.org/10.1111/padr.12648</w:t>
      </w:r>
    </w:p>
    <w:p>
      <w:pPr/>
      <w:r>
        <w:rPr>
          <w:b/>
        </w:rPr>
        <w:t>Shared claim-specific concepts:</w:t>
      </w:r>
      <w:r>
        <w:t xml:space="preserve"> three, four, fertility, over, pandemic, abstract; EU scope not established. This is a provisional connection, not an outcome finding.</w:t>
      </w:r>
    </w:p>
    <w:p>
      <w:pPr>
        <w:pStyle w:val="SourceNote"/>
      </w:pPr>
      <w:r>
        <w:rPr>
          <w:b/>
        </w:rPr>
        <w:t>Available abstract (not full text):</w:t>
      </w:r>
      <w:r>
        <w:t xml:space="preserve"> Abstract When the COVID‐19 pandemic began in early 2020, speculation was rife both in public and academic spheres over its possible effects on birth rates and partnership behavior. Now, over four years later, we still know surprisingly little about the effect of COVID‐19 on fertility and family dynamics. In this paper, we outline three main takeaways from the scientific literature produced on this topic in the past four years. We argue that (1) we still do not have enough data to answer basic questions about the effect of COVID‐19 on fertility and family dynamics, (2) the data we do have suggest an unexpectedly incoherent and heterogeneous response, and (3) the estimated effects we do have are suspect since shifting and theoretically unexpected prepandemic fertility behavior made identifying a strict causal effect of the pandemic problematic.</w:t>
      </w:r>
    </w:p>
    <w:p>
      <w:pPr/>
      <w:r>
        <w:rPr>
          <w:b/>
        </w:rPr>
        <w:t>POSSIBLE 2023:</w:t>
      </w:r>
      <w:r>
        <w:t xml:space="preserve"> Projection in Politicians' Perceptions of Public Opinion — https://doi.org/10.1111/pops.12900</w:t>
      </w:r>
    </w:p>
    <w:p>
      <w:pPr/>
      <w:r>
        <w:rPr>
          <w:b/>
        </w:rPr>
        <w:t>Shared claim-specific concepts:</w:t>
      </w:r>
      <w:r>
        <w:t xml:space="preserve"> three, out, four, countries; EU scope visible. This is a provisional connection, not an outcome finding.</w:t>
      </w:r>
    </w:p>
    <w:p>
      <w:pPr>
        <w:pStyle w:val="SourceNote"/>
      </w:pPr>
      <w:r>
        <w:rPr>
          <w:b/>
        </w:rPr>
        <w:t>Available abstract (not full text):</w:t>
      </w:r>
      <w:r>
        <w:t xml:space="preserve"> Research has shown that politicians' perceptions of public opinion are subject to social projection. When estimating the opinions of voters on a broad range of issues, politicians tend to assume that their own preferences are shared by voters. This article revisits this finding and adds to the literature in three ways. First, it makes a conceptual contribution by bringing together different approaches to the analysis of projection and its consequences. Second, relying on data from surveys with politicians (n = 866) in four countries (Belgium, Canada, Germany, and Switzerland) conducted between March 2018 and September 2019, it shows that there is more projection in politicians' estimations of their partisan electorate than in their estimations of the general public or of their geographic district. Third, comparing the data on politician projection with data from parallel surveys with citizens, the article reveals that—at least in three out of the four countries studied here—elected politicians are not better at avoiding erroneous projection than ordinary citizens. The article discusses the implications of these findings for the workings of representative democracy.</w:t>
      </w:r>
    </w:p>
    <w:p>
      <w:pPr/>
      <w:r>
        <w:rPr>
          <w:b/>
        </w:rPr>
        <w:t>POSSIBLE 2023:</w:t>
      </w:r>
      <w:r>
        <w:t xml:space="preserve"> Global projections of flash drought show increased risk in a warming climate — https://doi.org/10.1038/s43247-023-00826-1</w:t>
      </w:r>
    </w:p>
    <w:p>
      <w:pPr/>
      <w:r>
        <w:rPr>
          <w:b/>
        </w:rPr>
        <w:t>Shared claim-specific concepts:</w:t>
      </w:r>
      <w:r>
        <w:t xml:space="preserve"> projections, show, expected, over, compared, abstract; EU scope visible. This is a provisional connection, not an outcome finding.</w:t>
      </w:r>
    </w:p>
    <w:p>
      <w:pPr>
        <w:pStyle w:val="SourceNote"/>
      </w:pPr>
      <w:r>
        <w:rPr>
          <w:b/>
        </w:rPr>
        <w:t>Available abstract (not full text):</w:t>
      </w:r>
      <w:r>
        <w:t xml:space="preserve"> Abstract Flash drought, characterized by unusually rapid drying, can have substantial impact on many socioeconomic sectors, particularly agriculture. However, potential changes to flash drought risk in a warming climate remain unknown. In this study, projected changes in flash drought frequency and cropland risk from flash drought are quantified using global climate model simulations. We find that flash drought occurrence is expected to increase globally among all scenarios, with the sharpest increases seen in scenarios with higher radiative forcing and greater fossil fuel usage. Flash drought risk over cropland is expected to increase globally, with the largest increases projected across North America (change in annual risk from 32% in 2015 to 49% in 2100) and Europe (32% to 53%) in the most extreme emissions scenario. Following low-end and medium scenarios compared to high-end scenarios indicates a notable reduction in annual flash drought risk over cropland.</w:t>
      </w:r>
    </w:p>
    <w:p>
      <w:pPr>
        <w:pStyle w:val="Heading2"/>
      </w:pPr>
      <w:r>
        <w:t>621.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2025:</w:t>
      </w:r>
      <w:r>
        <w:t xml:space="preserve"> Electronic commerce patterns in Europe: Cluster analysis of online shopping intensity — https://doi.org/10.5937/mkng2501005b</w:t>
      </w:r>
    </w:p>
    <w:p>
      <w:pPr/>
      <w:r>
        <w:rPr>
          <w:b/>
        </w:rPr>
        <w:t>Shared claim-specific concepts:</w:t>
      </w:r>
      <w:r>
        <w:t xml:space="preserve"> order, illuminate, technologies, basis; EU scope visible. This is a provisional connection, not an outcome finding.</w:t>
      </w:r>
    </w:p>
    <w:p>
      <w:pPr>
        <w:pStyle w:val="SourceNote"/>
      </w:pPr>
      <w:r>
        <w:rPr>
          <w:b/>
        </w:rPr>
        <w:t>Available abstract (not full text):</w:t>
      </w:r>
      <w:r>
        <w:t xml:space="preserve"> Electronic shopping represents a key segment of the digital economy, changing consumer habits and becoming a significant driver of economic development. The development of digital technologies and increased connectivity have contributed to the rapid growth of electronic commerce, but its intensity varies between countries, opening up space for analysis of the factors that shape these differences. This paper analyse electronic commerce in European countries through cluster analysis, grouping countries according to the frequency of online shopping in order to identify pat-terns and determinants of e-commerce development. The research covers countries from the territory of Europe, providing an insight into the various economic, technological and social characteristics of the region. The results showed the existence of four clusters, with significant differences in factors such as internet availability, information literacy, logistics infrastructure, educational level and differences between urban and rural areas. The identified differences illuminate regional disparities and provide a basis for understanding the dynamics of online shopping in Europe.</w:t>
      </w:r>
    </w:p>
    <w:p>
      <w:pPr/>
      <w:r>
        <w:rPr>
          <w:b/>
        </w:rPr>
        <w:t>POSSIBLE 2023:</w:t>
      </w:r>
      <w:r>
        <w:t xml:space="preserve"> Unraveling the European Agricultural Policy Sustainable Development Trajectory — https://doi.org/10.3390/land12091749</w:t>
      </w:r>
    </w:p>
    <w:p>
      <w:pPr/>
      <w:r>
        <w:rPr>
          <w:b/>
        </w:rPr>
        <w:t>Shared claim-specific concepts:</w:t>
      </w:r>
      <w:r>
        <w:t xml:space="preserve"> developments, present, two, current, process; EU scope visible. This is a provisional connection, not an outcome finding.</w:t>
      </w:r>
    </w:p>
    <w:p>
      <w:pPr>
        <w:pStyle w:val="SourceNote"/>
      </w:pPr>
      <w:r>
        <w:rPr>
          <w:b/>
        </w:rPr>
        <w:t>Available abstract (not full text):</w:t>
      </w:r>
      <w:r>
        <w:t xml:space="preserve"> Amidst growing concerns about the impact of agriculture on the environment, the Common Agricultural Policy (CAP) has been overhauled to prioritize sustainable rural development in European agriculture. Based on this line of thought, the present contribution delves into the details of the CAP’s shift, focusing on the main environmental concerns faced in the policy-making framework. Grounded in a political science perspective, the current study looks at how environmental and climate change concerns were gradually elevated inside the CAP’s policy-making framework and how they helped create the “green architecture” for European agriculture. Examining the process of policy change under the lens of historical institutionalism and neo-institutionalism within the multilevel governance framework of the European Union (EU), the key role played by the gradual introduction of measures aimed at promoting measurable environmental criteria and climatic targets is highlighted. For instance, measures aimed at preserving carbon-rich soils and enhancing water resources can have positive impacts on the environment. However, these measures were also recognized to increase the cost of production for the European farmers, who faced serious difficulties in adjusting to the new framework. Within this context, this research delves into the roles played by two additional fundamental entities: the consume</w:t>
      </w:r>
    </w:p>
    <w:p>
      <w:pPr/>
      <w:r>
        <w:rPr>
          <w:b/>
        </w:rPr>
        <w:t>POSSIBLE 2022:</w:t>
      </w:r>
      <w:r>
        <w:t xml:space="preserve"> Genomes of leafy and leafless Platanthera orchids illuminate the evolution of mycoheterotrophy — https://doi.org/10.1038/s41477-022-01127-9</w:t>
      </w:r>
    </w:p>
    <w:p>
      <w:pPr/>
      <w:r>
        <w:rPr>
          <w:b/>
        </w:rPr>
        <w:t>Shared claim-specific concepts:</w:t>
      </w:r>
      <w:r>
        <w:t xml:space="preserve"> illuminate, present, two; EU scope not established. This is a provisional connection, not an outcome finding.</w:t>
      </w:r>
    </w:p>
    <w:p>
      <w:pPr>
        <w:pStyle w:val="SourceNote"/>
      </w:pPr>
      <w:r>
        <w:rPr>
          <w:b/>
        </w:rPr>
        <w:t>Available abstract (not full text):</w:t>
      </w:r>
      <w:r>
        <w:t xml:space="preserve"> To improve our understanding of the origin and evolution of mycoheterotrophic plants, we here present the chromosome-scale genome assemblies of two sibling orchid species: partially mycoheterotrophic Platanthera zijinensis and holomycoheterotrophic Platanthera guangdongensis. Comparative analysis shows that mycoheterotrophy is associated with increased substitution rates and gene loss, and the deletion of most photoreceptor genes and auxin transporter genes might be linked to the unique phenotypes of fully mycoheterotrophic orchids. Conversely, trehalase genes that catalyse the conversion of trehalose into glucose have expanded in most sequenced orchids, in line with the fact that the germination of orchid non-endosperm seeds needs carbohydrates from fungi during the protocorm stage. We further show that the mature plant of P. guangdongensis, different from photosynthetic orchids, keeps expressing trehalase genes to hijack trehalose from fungi. Therefore, we propose that mycoheterotrophy in mature orchids is a continuation of the protocorm stage by sustaining the expression of trehalase genes. Our results shed light on the molecular mechanism underlying initial, partial and full mycoheterotrophy.</w:t>
      </w:r>
    </w:p>
    <w:p>
      <w:pPr>
        <w:pStyle w:val="Heading2"/>
      </w:pPr>
      <w:r>
        <w:t>622.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2025:</w:t>
      </w:r>
      <w:r>
        <w:t xml:space="preserve"> Regional Technology Foresight for Material Technologies — https://doi.org/10.34190/eckm.26.1.3851</w:t>
      </w:r>
    </w:p>
    <w:p>
      <w:pPr/>
      <w:r>
        <w:rPr>
          <w:b/>
        </w:rPr>
        <w:t>Shared claim-specific concepts:</w:t>
      </w:r>
      <w:r>
        <w:t xml:space="preserve"> foresight, technology, application, long-term, trends;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THEORETICAL AND METHODOLOGICAL FOUNDATIONS OF THE USE OF MARKET FORESIGHT TECHNOLOGY IN THE IT SPHERE — https://doi.org/10.20998/2313-8890.2024.11.04</w:t>
      </w:r>
    </w:p>
    <w:p>
      <w:pPr/>
      <w:r>
        <w:rPr>
          <w:b/>
        </w:rPr>
        <w:t>Shared claim-specific concepts:</w:t>
      </w:r>
      <w:r>
        <w:t xml:space="preserve"> use, foresight, technology, possible, strategies, methods; EU scope not established. This is a provisional connection, not an outcome finding.</w:t>
      </w:r>
    </w:p>
    <w:p>
      <w:pPr>
        <w:pStyle w:val="SourceNote"/>
      </w:pPr>
      <w:r>
        <w:rPr>
          <w:b/>
        </w:rPr>
        <w:t>Available abstract (not full text):</w:t>
      </w:r>
      <w:r>
        <w:t xml:space="preserve"> Abstract. The article considers methodological approaches to the transformation of foresight technologies into strategic marketing. It is noted that foresight methods have recently been actively used to predict future trends and develop strategies in conditions of uncertainty. Strategic marketing at the same time performs its tasks, which are at the junction of future trends. Marketing strategy is a medium- and long-term solution that covers the elements of the marketing complex: product, price, place and promotion. In conditions of rapid economic changes, this is not enough for enterprises to maintain their competitiveness. Additional information is needed regarding the technological forecast for the medium and long term. Today, foresight methods solve this problem to a certain extent, but a comprehensive methodology of a strategic approach that helps manufacturing enterprises to stay ahead of technological trends, form new markets and adapt products to the needs of the future has not been created. To solve this problem, the article proposes a new brand - "market foresight". This brand is built on a proactive approach to identifying future trends and changes in the market and responding to them. Its essence is to use retrospective forecast points with the vision of experts on the dynamics and directions of development of technologies of interest to us, for a period of up to 30</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possible, long-term, national;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possible,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2024:</w:t>
      </w:r>
      <w:r>
        <w:t xml:space="preserve"> Opportunities for supporting humanitarians: Technology foresight concepts — https://doi.org/10.7249/rra3192-4</w:t>
      </w:r>
    </w:p>
    <w:p>
      <w:pPr/>
      <w:r>
        <w:rPr>
          <w:b/>
        </w:rPr>
        <w:t>Shared claim-specific concepts:</w:t>
      </w:r>
      <w:r>
        <w:t xml:space="preserve"> use, foresight, technology, developed, areas; EU scope visible. This is a provisional connection, not an outcome finding.</w:t>
      </w:r>
    </w:p>
    <w:p>
      <w:pPr>
        <w:pStyle w:val="SourceNote"/>
      </w:pPr>
      <w:r>
        <w:rPr>
          <w:b/>
        </w:rPr>
        <w:t>Available abstract (not full text):</w:t>
      </w:r>
      <w:r>
        <w:t xml:space="preserve"> RAND Europe, with Athena Infonomics and glass.ai, conducted a study that characterised the current landscape of technology use in the sector and explored potential development pathways out to 2030, as well as associated risks and opportunities. The study developed five deep dives of promising technology areas, three foresight concepts and a four-step guidance framework to ensure the suitable deployment of technologies in humanitarian contexts.</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use, foresight, technology, possible, strategies, methods;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r>
        <w:rPr>
          <w:b/>
        </w:rPr>
        <w:t>POSSIBLE 2024:</w:t>
      </w:r>
      <w:r>
        <w:t xml:space="preserve"> Emerging Biotechnologies in Europe: Foresight for Policy — https://doi.org/10.2760/4814109</w:t>
      </w:r>
    </w:p>
    <w:p>
      <w:pPr/>
      <w:r>
        <w:rPr>
          <w:b/>
        </w:rPr>
        <w:t>Shared claim-specific concepts:</w:t>
      </w:r>
      <w:r>
        <w:t xml:space="preserve"> use, foresight, technology, create, strategies;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Fifty Years to Think Your Futures — https://doi.org/10.1007/978-3-031-66100-6_4</w:t>
      </w:r>
    </w:p>
    <w:p>
      <w:pPr/>
      <w:r>
        <w:rPr>
          <w:b/>
        </w:rPr>
        <w:t>Shared claim-specific concepts:</w:t>
      </w:r>
      <w:r>
        <w:t xml:space="preserve"> use, foresight, technology, possible, methods, developed;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Understanding the vicious cycle of myopic foresight and constrained technology deployment in transforming the European energy system — https://doi.org/10.1016/j.isci.2024.111369</w:t>
      </w:r>
    </w:p>
    <w:p>
      <w:pPr/>
      <w:r>
        <w:rPr>
          <w:b/>
        </w:rPr>
        <w:t>Shared claim-specific concepts:</w:t>
      </w:r>
      <w:r>
        <w:t xml:space="preserve"> foresight, technology, long-term; EU scope visible. This is a provisional connection, not an outcome finding.</w:t>
      </w:r>
    </w:p>
    <w:p>
      <w:pPr>
        <w:pStyle w:val="SourceNote"/>
      </w:pPr>
      <w:r>
        <w:rPr>
          <w:b/>
        </w:rPr>
        <w:t>Available abstract (not full text):</w:t>
      </w:r>
      <w:r>
        <w:t xml:space="preserve"> Short-term planning of myopic decision-makers jeopardizes the long-term energy transition, especially since constraints in deploying clean energy technologies further inhibit their rapid scale-up. Here, we show that the European energy transition followed myopic decision-making in the past and investigate how policy-based tools can secure the energy transition against myopic planning. Short-term decision-making in the European energy transition may fail to comply with climate goals and lead to substantial over-capacities. Carbon prices can only effectively internalize long-term climate goals if they account for constrained technology deployment, increasing to around 400 EUR/tCO 2 in 2050. Idealized carbon prices, conversely, fail to incentivize the decarbonization of those sectors that stand at the beginning of their transition, such as renewable heating or carbon sequestration. Our exploration of myopic decision-making contributes to the understanding of the inhibiting barriers and bridges the gap between short-term decision-making and the long-term energy transition.</w:t>
      </w:r>
    </w:p>
    <w:p>
      <w:pPr/>
      <w:r>
        <w:rPr>
          <w:b/>
        </w:rPr>
        <w:t>POSSIBLE 2023:</w:t>
      </w:r>
      <w:r>
        <w:t xml:space="preserve"> Information Technology Research &amp; Development Foresight in Iran. — https://doi.org/10.35050/jipm010.2017.019</w:t>
      </w:r>
    </w:p>
    <w:p>
      <w:pPr/>
      <w:r>
        <w:rPr>
          <w:b/>
        </w:rPr>
        <w:t>Shared claim-specific concepts:</w:t>
      </w:r>
      <w:r>
        <w:t xml:space="preserve"> use, foresight, technology, achieve, areas, national; EU scope visible. This is a provisional connection, not an outcome finding.</w:t>
      </w:r>
    </w:p>
    <w:p>
      <w:pPr>
        <w:pStyle w:val="SourceNote"/>
      </w:pPr>
      <w:r>
        <w:rPr>
          <w:b/>
        </w:rPr>
        <w:t>Available abstract (not full text):</w:t>
      </w:r>
      <w:r>
        <w:t xml:space="preserve"> This research utilizes resources and collective wisdom of IT experts and other participants in industry to increase the effectiveness of policies and decisions in the area. To achieve this goal, 107 future and emerging technologies from foresight reports and research programs in Europe, Japan, Taiwan and Gartner firm were extracted. Then out of these technologies, 69 cases (categorized in 14 subject areas) were acknowledged by experts’ panel for applying as the Delphi inputs.\nBy using the Delphi method (two rounds), IT R&amp;D barriers and challenges, effective organizations in IT R&amp;D investment, and priorities have been determined, according to the panel members. Then, the view of panel members about each technology was evaluated by criteria such as degree of expertise, importance, forecasted time of technological realization (in the word) and widespread use of technology in Iran, Iran’s status in the life cycle of knowledge and impact of technology in IT applications area.\nThe results of the Delphi process was reported in national level, including Delphi panel members demography, public questions and specialized questions for each of the technologies. Finally the research provides some recommendations for decision makers.</w:t>
      </w:r>
    </w:p>
    <w:p>
      <w:pPr/>
      <w:r>
        <w:rPr>
          <w:b/>
        </w:rPr>
        <w:t>POSSIBLE 2023:</w:t>
      </w:r>
      <w:r>
        <w:t xml:space="preserve"> THEORY AND PRACTICE OF THE APPLICATION OF FORESIGHT TECHNOLOGY IN THE SYSTEM OF LANGUAGE EDUCATION — https://doi.org/10.37547/ijasr-03-01-03</w:t>
      </w:r>
    </w:p>
    <w:p>
      <w:pPr/>
      <w:r>
        <w:rPr>
          <w:b/>
        </w:rPr>
        <w:t>Shared claim-specific concepts:</w:t>
      </w:r>
      <w:r>
        <w:t xml:space="preserve"> use, foresight, technology, methods, application; EU scope not established. This is a provisional connection, not an outcome finding.</w:t>
      </w:r>
    </w:p>
    <w:p>
      <w:pPr>
        <w:pStyle w:val="SourceNote"/>
      </w:pPr>
      <w:r>
        <w:rPr>
          <w:b/>
        </w:rPr>
        <w:t>Available abstract (not full text):</w:t>
      </w:r>
      <w:r>
        <w:t xml:space="preserve"> The article is devoted to the description of the theory and practice of using foresight technology in teaching foreign languages in the educational process of universities, which contributes to the development of predictive competencies, the development of critical and logical thinking, and the improvement of all types of students' speech activity. The history of the emergence and development of Foresight technology, its difference from traditional teaching methods is considered, the definitions of Foresight technology proposed by specialists and scientists are analyzed. Examples of the use of Foresight technology methods in teaching foreign languages, such as "Delphi" and "SWOT-analysis" are given.</w:t>
      </w:r>
    </w:p>
    <w:p>
      <w:pPr/>
      <w:r>
        <w:rPr>
          <w:b/>
        </w:rPr>
        <w:t>POSSIBLE 2023:</w:t>
      </w:r>
      <w:r>
        <w:t xml:space="preserve"> Scenario-Based Foresight in the Age of Digital Technologies and AI — https://doi.org/10.1007/978-3-031-26490-0_4</w:t>
      </w:r>
    </w:p>
    <w:p>
      <w:pPr/>
      <w:r>
        <w:rPr>
          <w:b/>
        </w:rPr>
        <w:t>Shared claim-specific concepts:</w:t>
      </w:r>
      <w:r>
        <w:t xml:space="preserve"> use, foresight, factors; EU scope not established. This is a provisional connection, not an outcome finding.</w:t>
      </w:r>
    </w:p>
    <w:p>
      <w:pPr>
        <w:pStyle w:val="SourceNote"/>
      </w:pPr>
      <w:r>
        <w:rPr>
          <w:b/>
        </w:rPr>
        <w:t>Available abstract (not full text):</w:t>
      </w:r>
      <w:r>
        <w:t xml:space="preserve"> Abstract Scenario-based foresight is used less and less in the corporate world despite continued high satisfaction with the obtained results. In the age of digitalization, many companies feel increasingly forced to short-termism instead of strategic planning. However, emerging digital technologies, such as artificial intelligence (AI), represent a promising approach to cope with the traditional challenges of scenario-based foresight as well as new challenges added by digitalization. Therefore, this work-in-progress paper identifies and analyzes use cases for scenario-based foresight with digital technologies employing a systematic analysis of the relevant literature. In the paper at hand, we show that the use of digital technologies for improving the performance of scenario-based foresight is an emerging field. We identify 14 so-called use cases, i.e., unique goal-oriented applications of digital technologies for scenario-based foresight. In general, the use cases show that currently digital technologies can enhance, not substitute the capabilities of scenario-based foresight practitioners. Digital technologies primarily support the analysis of large amounts of data, e.g., for collecting futuristic data and identifying key influence factors. However, activities that require implicit knowledge and creativity, like the interpretation of scenarios, are currently still left to huma</w:t>
      </w:r>
    </w:p>
    <w:p>
      <w:pPr>
        <w:pStyle w:val="Heading2"/>
      </w:pPr>
      <w:r>
        <w:t>623.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HYDROGEN'S ROLE IN GREEN ECONOMY: OPPORTUNITIES AND CHALLENGES IN SELECTED EUROPEAN COUNTRIES — https://doi.org/10.15837/aijes.v19i1.7138</w:t>
      </w:r>
    </w:p>
    <w:p>
      <w:pPr/>
      <w:r>
        <w:rPr>
          <w:b/>
        </w:rPr>
        <w:t>Shared claim-specific concepts:</w:t>
      </w:r>
      <w:r>
        <w:t xml:space="preserve"> aim, article, quantitative, challenges, green, economy; EU scope visible. This is a provisional connection, not an outcome finding.</w:t>
      </w:r>
    </w:p>
    <w:p>
      <w:pPr>
        <w:pStyle w:val="SourceNote"/>
      </w:pPr>
      <w:r>
        <w:rPr>
          <w:b/>
        </w:rPr>
        <w:t>Available abstract (not full text):</w:t>
      </w:r>
      <w:r>
        <w:t xml:space="preserve"> Hydrogen is an important element in the transition to a green economy, with its potential to play a key role in the decarbonization of industry and transport within the European Union. The aim of this article is to analyse the differences in hydrogen production and consumption between selected European countries in the context of their economic maturity. Based on data from 2020 to 2023, a quantitative analysis was conducted including variables such as hydrogen production and consumption capacity and GDP per capita. Using non-parametric tests (Kruskal-Wallis, Dwass-Steel-Critchlow-Fligner), statistically significant differences were identified between groups of countries with high and low levels of hydrogen infrastructure development. The results confirm that higher economic performance of countries is closely related to a more developed hydrogen economy. The discussion highlights the importance of investments, regulatory frameworks and technological innovations in the implementation of hydrogen solutions. The article also identifies the challenges faced by less developed countries and recommends an approach based on support and cooperation within the EU.</w:t>
      </w:r>
    </w:p>
    <w:p>
      <w:pPr/>
      <w:r>
        <w:rPr>
          <w:b/>
        </w:rPr>
        <w:t>POSSIBLE 2025:</w:t>
      </w:r>
      <w:r>
        <w:t xml:space="preserve"> The Pan-European Personal Pension Product – Managers’ Challenges and Savers’ Expectations — https://doi.org/10.18778/1508-2008.28.23</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The Pan-European Personal Pension Product (PEPP) is a strategic initiative of the European Union (EU) aimed at creating a harmonized, portable pension savings framework that addresses the challenges of population aging, increased labor mobility, and the widening pension gap across Member States. This article investigates the implementation and performance of the PEPP in four EU countries – Poland, Slovakia, Croatia, and the Czech Republic – through a mixed-methods research design. The study combines a legal and comparative analysis of national pension systems with qualitative interviews conducted with PEPP fund managers and quantitative surveys of PEPP savers. The findings reveal significant disparities in regulatory approaches, tax treatment, and supervisory frameworks between countries, which affect both the attractiveness and functionality of PEPP. Despite the shared design principles of transparency, safety, and cost-efficiency, savers’ expectations differ notably across countries – especially in relation to customer service, information delivery, and minimum return expectations – while also being shaped by sociodemographic factors. The qualitative research highlights that fund managers face challenges such as regulatory fragmentation, high administrative burdens, and competition from national products with more favorable tax treatment or employer-based incentives. At the s</w:t>
      </w:r>
    </w:p>
    <w:p>
      <w:pPr/>
      <w:r>
        <w:rPr>
          <w:b/>
        </w:rPr>
        <w:t>POSSIBLE 2025:</w:t>
      </w:r>
      <w:r>
        <w:t xml:space="preserve"> The LUX prize and the challenges of European film competitiveness — https://doi.org/10.1080/17411548.2025.2572121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European Union seeks to promote the competitiveness of the European film industry through funding programmes and film initiatives, including the LUX Prize. This article uses a quantitative methodology to analyse how LUX has succeeded in promoting the 17 winning films and how the competitiveness of the initiative has evolved since its launch in 2007. The main promotion indicators – admissions, revenues, distribution, availability on video-on-demand platforms, other film awards received, media recognition, and film ratings – were analysed using a twofold approach. The internal comparison looked at LUX winners before and after the change in 2020, when a wider audience was allowed to participate in selecting the winners. The external comparison compared the LUX winners with the European winners of the Palme d’Or and the Oscar for Best International Feature Film. The quantitative analysis shows that most promotion indicators are significantly, yet unpredictably, correlated with each other. These results underscore the multidimensionality and complexity of the notion of film competitiveness. The comparison shows that the change to an audience award has not significantly impacted the competitiveness of LUX winners. Despite the EU’s strengthened promotion intentions, LUX winners remain uncompetitive in the global and European film scenes.</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Energy Policy in the European Union within the European Green Deal Strategy — https://doi.org/10.18778/1508-2008.27.13</w:t>
      </w:r>
    </w:p>
    <w:p>
      <w:pPr/>
      <w:r>
        <w:rPr>
          <w:b/>
        </w:rPr>
        <w:t>Shared claim-specific concepts:</w:t>
      </w:r>
      <w:r>
        <w:t xml:space="preserve"> article, main, green, analyzed;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r>
        <w:rPr>
          <w:b/>
        </w:rPr>
        <w:t>POSSIBLE 2024:</w:t>
      </w:r>
      <w:r>
        <w:t xml:space="preserve"> CHALLENGES AND OPPORTUNITIES IN TRAINING LAWYERS FOR UKRAINE'S EUROPEAN FUTURE — https://doi.org/10.36690/2733-2039-2024-60-75</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As Ukraine progresses toward European Union (EU) integration, the transformation of its legal education system has become a pivotal aspect of its alignment with EU standards. The training of legal professionals capable of navigating both Ukrainian and EU legal systems is essential to the implementation of directives, fostering cross-border cooperation, and maintaining the rule of law. However, this process faces challenges including the legacy of Ukraine's post-Soviet legal education, resource constraints, and the need for rapid modernization. By adopting international best practices, fostering partnerships, and integrating modern technologies, Ukraine has the opportunity to create a legal education framework that meets EU demands and empowers its lawyers to thrive in global contexts. This article aims to analyze the challenges and opportunities in training lawyers for Ukraine’s European future. It seeks to compare Ukraine’s legal education practices with those in EU countries, identify critical gaps, and propose actionable reforms to align Ukraine’s legal training systems with EU standards. A comparative analysis methodology is employed, drawing insights from literature, policy documents, and case studies of EU member states and transitioning nations. The study systematically examines disparities in curriculum content, teaching methods, practical skill development, faculty exp</w:t>
      </w:r>
    </w:p>
    <w:p>
      <w:pPr/>
      <w:r>
        <w:rPr>
          <w:b/>
        </w:rPr>
        <w:t>POSSIBLE 2024:</w:t>
      </w:r>
      <w:r>
        <w:t xml:space="preserve"> European Youth Work Developments and Challenges—A Meta-Synthesis — https://doi.org/10.3390/youth4030075</w:t>
      </w:r>
    </w:p>
    <w:p>
      <w:pPr/>
      <w:r>
        <w:rPr>
          <w:b/>
        </w:rPr>
        <w:t>Shared claim-specific concepts:</w:t>
      </w:r>
      <w:r>
        <w:t xml:space="preserve"> article, main, challenges; EU scope visible. This is a provisional connection, not an outcome finding.</w:t>
      </w:r>
    </w:p>
    <w:p>
      <w:pPr>
        <w:pStyle w:val="SourceNote"/>
      </w:pPr>
      <w:r>
        <w:rPr>
          <w:b/>
        </w:rPr>
        <w:t>Available abstract (not full text):</w:t>
      </w:r>
      <w:r>
        <w:t xml:space="preserve"> Youth work has become a well-developed European field of activity in terms of structure and content, not at least since the adoption of the European Youth Work Agenda (2020). Through a meta-synthesis of three structural studies on youth work in Europe, this article provides three main considerations. Firstly, the article makes an analytical distinction between European youth work and youth work in Europe, thus clarifying the general concept of “youth work”. Secondly, this analytical distinction helps to systematise and classify the topics being dealt with by actors in the field of youth work: youth work as a European framework (role of European documents; transfer between levels; youth work in times of crises), youth work development at the national, regional and local level (youth work legal framework; funding; recognition, quality and professionalisation; innovations), and the multi-dimensional challenges of shrinking spaces for both young people and youth work (youth work as an independent field of action; shortage of skilled labour; austerity measures; young people moving away; rise of extremism). Thirdly, the discursive openings the different concepts and narratives of youth work can offer are outlined. In this way, the article hopes to contribute to the (further) development of youth work theory in Europe.</w:t>
      </w:r>
    </w:p>
    <w:p>
      <w:pPr/>
      <w:r>
        <w:rPr>
          <w:b/>
        </w:rPr>
        <w:t>POSSIBLE 2024:</w:t>
      </w:r>
      <w:r>
        <w:t xml:space="preserve"> EUROPEAN SECURITY AND DEFENCE – KEY ELEMENTS OF DEEP INTEGRATION AT THE LEVEL OF THE EUROPEAN UNION — https://doi.org/10.53477/2784-2487-24-01</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The purpose of this article is to highlight the key elements in European security and defence that enables a deeper integration within the European Union. The security and defence represent a fundamental domain in the European architecture, a benchmark, and a challenge regarding the loyal cooperation between Member States.The methodology used is represented by a synthetic qualitative documentary analysis with an additional quantitative support.The research hypothesis is related to the correlation of key elements in the field of security and defence with the development of a deeper integration of Member States into the European project. As their own defence and security policies belong to the Member States, the research question will provide the answer to whether key elements in European security and defence generate better cooperation between Member States and deeper integration.This article aims to provide a profound understanding of the obligations, challenges, and the impact on the Member States policy on common defence. Following the latest developments in implementing the Strategic Compass for Security and Defence, new steps should be taken to achieve the common defence goal.The presentation will also seek to highlight whether the coherence of Member States policies on achieving the common goal is linked to their deeper integration into the European project.</w:t>
      </w:r>
    </w:p>
    <w:p>
      <w:pPr>
        <w:pStyle w:val="Heading2"/>
      </w:pPr>
      <w:r>
        <w:t>624.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2023:</w:t>
      </w:r>
      <w:r>
        <w:t xml:space="preserve"> Justification of military neutrality of the Republic of Serbia at a time of erosion of neutrality in Europe — https://doi.org/10.5937/spm82-46850</w:t>
      </w:r>
    </w:p>
    <w:p>
      <w:pPr/>
      <w:r>
        <w:rPr>
          <w:b/>
        </w:rPr>
        <w:t>Shared claim-specific concepts:</w:t>
      </w:r>
      <w:r>
        <w:t xml:space="preserve"> beginning, strategy, republic, two; EU scope visible. This is a provisional connection, not an outcome finding.</w:t>
      </w:r>
    </w:p>
    <w:p>
      <w:pPr>
        <w:pStyle w:val="SourceNote"/>
      </w:pPr>
      <w:r>
        <w:rPr>
          <w:b/>
        </w:rPr>
        <w:t>Available abstract (not full text):</w:t>
      </w:r>
      <w:r>
        <w:t xml:space="preserve"> This paper aims to examine the justifiableness of the Republic of Serbia's politics of military neutrality after the beginning of the Russo-Ukrainian conflict, i.e., in an era of extreme tensions between Western countries and Russia. The significance of this topic has been additionally elevated after two neutral countries, Sweden and Finland, renounced neutrality while debates about the appropriateness of neutrality emerged in other neutral countries, such are Ireland, Malta, and Austria. The purpose of the paper is to examine, from a perspective of sociology of politics, whether the position of military neutrality still represents a good foreign-policy strategy aiming to preserve sovereignty and territorial integrity. The hypothesis of this paper is that Serbia's military neutrality is justified by the social reality in Serbia. The first chapter briefly describes the historical decline of neutrality during the first half of the 20th century. In that context, observation made in mid last century, according to which neutrality was becoming an obsolete concept, is true. Increase of NATO members, as well as abandoning neutrality under the influence of globalization and negative experiences of neutral countries in the 20th century, strengthens this assertion. However, we can conclude that neutrality has existed in continuity in Europe throughout the entire modern period of history,</w:t>
      </w:r>
    </w:p>
    <w:p>
      <w:pPr/>
      <w:r>
        <w:rPr>
          <w:b/>
        </w:rPr>
        <w:t>POSSIBLE 2023:</w:t>
      </w:r>
      <w:r>
        <w:t xml:space="preserve"> Strategies of US foreign policy at the end of the 20-th – at the beginning of the 21-st centuries — https://doi.org/10.24144/2307-3322.2022.76.2.30</w:t>
      </w:r>
    </w:p>
    <w:p>
      <w:pPr/>
      <w:r>
        <w:rPr>
          <w:b/>
        </w:rPr>
        <w:t>Shared claim-specific concepts:</w:t>
      </w:r>
      <w:r>
        <w:t xml:space="preserve"> beginning, republic, energy, transition; EU scope visible. This is a provisional connection, not an outcome finding.</w:t>
      </w:r>
    </w:p>
    <w:p>
      <w:pPr>
        <w:pStyle w:val="SourceNote"/>
      </w:pPr>
      <w:r>
        <w:rPr>
          <w:b/>
        </w:rPr>
        <w:t>Available abstract (not full text):</w:t>
      </w:r>
      <w:r>
        <w:t xml:space="preserve"> The article investigates the foreign policy strategies of the United States, beginning with the collapse of the Soviet Union, with an emphasis on key regions - the Middle East, Central and Eastern Europe, and the Indo-Pacific region. The work assesses the international situation and presents the author’s views on future changes in the system of international relations. It is noted that since the beginning of the XXI century, the USA began to lose its position on the international arena, which was due to the difficulty of maintaining existing positions, as well as the incompetence of the state elites that came to power in the USA at the beginning of the XXI century. In view of this, in the process of increasing confrontation between Сhina and USA, the attention of the latter was gradually shifted from the regions of the Middle East and Central-Eastern Europe to the Indo-Pacific region. The article emphasizes that the complexity of the situation for Ukraine lies in the fact that the further involvement of the United States in the confrontation with the Russian Federation will most likely lead to the split of the Western coalition, primarily in the European Union and NATO, and will push states suffering from economic sanctions, lack of energy resources and rare earth materials to ensure the «green transition», to deepen cooperation with China.In this context, it is extremely impor</w:t>
      </w:r>
    </w:p>
    <w:p>
      <w:pPr/>
      <w:r>
        <w:rPr>
          <w:b/>
        </w:rPr>
        <w:t>POSSIBLE 2023:</w:t>
      </w:r>
      <w:r>
        <w:t xml:space="preserve"> Assessing waste management efficiency in the European Union: A focus on the Slovak Republic — https://doi.org/10.19040/ecocycles.v9i2.285</w:t>
      </w:r>
    </w:p>
    <w:p>
      <w:pPr/>
      <w:r>
        <w:rPr>
          <w:b/>
        </w:rPr>
        <w:t>Shared claim-specific concepts:</w:t>
      </w:r>
      <w:r>
        <w:t xml:space="preserve"> republic, adopted, energy; EU scope visible. This is a provisional connection, not an outcome finding.</w:t>
      </w:r>
    </w:p>
    <w:p>
      <w:pPr>
        <w:pStyle w:val="SourceNote"/>
      </w:pPr>
      <w:r>
        <w:rPr>
          <w:b/>
        </w:rPr>
        <w:t>Available abstract (not full text):</w:t>
      </w:r>
      <w:r>
        <w:t xml:space="preserve"> Even though every country in the EU must follow the waste management hierarchy stipulated in Directive (EU) 2018/851 of the European Parliament and of the Council of 30 May 2018 amending Directive 2008/98/EC on waste, there are differences in how the member states manage their municipal waste. For example, the percentage of recyclable and incineration with energy recovery of municipal waste is among the lowest in the Slovak Republic (and the high amount of its disposal by landfilling). However, following the European Union legislation, several strategies in the Slovak Republic, such as the Waste Prevention Program 2019-2025, Waste Management Program 2021-2025, and Envirostrategy 2030, have been adopted. Based on these strategies, the recycling rate is scheduled to increase to 65% by 2035, and the percentage of municipal waste sent to landfills is planned to fall below 25%. These projections assume the successful implementation of the programs. As a result, the Slovak Republic’s waste is significantly lower than that of other member states. When investigating the efficiency of municipal waste management, we utilised partial treatment-specific indicators and a composite indicator based on an approach known as the multi-criteria decision-making method. The highest efficiency of municipal waste management in the EU-27 in 2021, expressed by the composite indicator, was achieved by G</w:t>
      </w:r>
    </w:p>
    <w:p>
      <w:pPr/>
      <w:r>
        <w:rPr>
          <w:b/>
        </w:rPr>
        <w:t>POSSIBLE 2022:</w:t>
      </w:r>
      <w:r>
        <w:t xml:space="preserve"> Agrarian strategy and policy of the Republic of Serbia — https://doi.org/10.5937/ekopolj2203897l</w:t>
      </w:r>
    </w:p>
    <w:p>
      <w:pPr/>
      <w:r>
        <w:rPr>
          <w:b/>
        </w:rPr>
        <w:t>Shared claim-specific concepts:</w:t>
      </w:r>
      <w:r>
        <w:t xml:space="preserve"> strategy, republic, two; EU scope visible. This is a provisional connection, not an outcome finding.</w:t>
      </w:r>
    </w:p>
    <w:p>
      <w:pPr>
        <w:pStyle w:val="SourceNote"/>
      </w:pPr>
      <w:r>
        <w:rPr>
          <w:b/>
        </w:rPr>
        <w:t>Available abstract (not full text):</w:t>
      </w:r>
      <w:r>
        <w:t xml:space="preserve"> The subject matter of this paper are the changes in the directions and content of the agrarian strategy and policy in the Republic of Serbia during the last two decades, which occurred primarily due to the need to adjust to the standards of the Common Agricultural Policy of the European Union. The paper starts from the assumption that the process of creating agrarian policy and its transmission to economic flows is very complex and slow and requires the activity of a large number of actors and relevant institutions. Key strategic documents in the field of agriculture as well as measures of the current agricultural policy were analyzed. The aim of the paper is to examine the compliance of current agricultural policy measures with the priorities of agricultural development that are determined by these strategic documents, and above all the Strategy of Agriculture and Rural Development of the Republic of Serbia for the period 2014-2024.</w:t>
      </w:r>
    </w:p>
    <w:p>
      <w:pPr/>
      <w:r>
        <w:rPr>
          <w:b/>
        </w:rPr>
        <w:t>POSSIBLE 2022:</w:t>
      </w:r>
      <w:r>
        <w:t xml:space="preserve"> Functioning of market and trade in the Republic of Kosovo — https://doi.org/10.53730/ijhs.v6ns8.13282</w:t>
      </w:r>
    </w:p>
    <w:p>
      <w:pPr/>
      <w:r>
        <w:rPr>
          <w:b/>
        </w:rPr>
        <w:t>Shared claim-specific concepts:</w:t>
      </w:r>
      <w:r>
        <w:t xml:space="preserve"> beginning, republic, accelerated; EU scope visible. This is a provisional connection, not an outcome finding.</w:t>
      </w:r>
    </w:p>
    <w:p>
      <w:pPr>
        <w:pStyle w:val="SourceNote"/>
      </w:pPr>
      <w:r>
        <w:rPr>
          <w:b/>
        </w:rPr>
        <w:t>Available abstract (not full text):</w:t>
      </w:r>
      <w:r>
        <w:t xml:space="preserve"> In modern market conditions, trade plays a complex and very important role in economic and social development. In Kosovo, trade and market issues are gaining momentum with the beginning of access to the single European market. At the same time, the first modern strategic guidelines in the field of market development and trade policy were created. The trade development strategies of the Republic of Kosovo were the basis for the preparation and adoption of the Law on Trade. Since 2007, the Law on Trade, as an umbrella law, has been regulating the field of trade and markets in the Republic of Kosovo in a modern and comprehensive manner. However, after its adoption, it is necessary to have a timely and accelerated implementation of the created solutions. It is also necessary to have a determined commitment to supplementing and amending as well as changes to this act in the future, as it is a very dynamic field that requires careful monitoring and a full understanding of the changes taking place in the environment. Special attention should be paid to the analysis of the current situation, further developments and regulation of trade of goods in the Republic of Kosovo.</w:t>
      </w:r>
    </w:p>
    <w:p>
      <w:pPr/>
      <w:r>
        <w:rPr>
          <w:b/>
        </w:rPr>
        <w:t>POSSIBLE 2022:</w:t>
      </w:r>
      <w:r>
        <w:t xml:space="preserve"> DIMENSIONS OF THE FEDERAL REPUBLIC OF GERMANY SECURITY AND DEFENCE POLICY. A CHRONOLOGICAL PERSPECTIVE — https://doi.org/10.53477/2284-9378-22-77</w:t>
      </w:r>
    </w:p>
    <w:p>
      <w:pPr/>
      <w:r>
        <w:rPr>
          <w:b/>
        </w:rPr>
        <w:t>Shared claim-specific concepts:</w:t>
      </w:r>
      <w:r>
        <w:t xml:space="preserve"> beginning, strategy, republic; EU scope visible. This is a provisional connection, not an outcome finding.</w:t>
      </w:r>
    </w:p>
    <w:p>
      <w:pPr>
        <w:pStyle w:val="SourceNote"/>
      </w:pPr>
      <w:r>
        <w:rPr>
          <w:b/>
        </w:rPr>
        <w:t>Available abstract (not full text):</w:t>
      </w:r>
      <w:r>
        <w:t xml:space="preserve"> The Federal Republic of Germany and its armed forces, the Bundeswehr, stand as a cornerstone of the European and NATO defence and security. It is vitally important to understand one of the major European conventional powers’ policies, concepts and overarching capabilities, along with the history behind them in a 21st century evermore complex security environment. The following paper examines the Bundeswehr historical evolution the major focal points in its strategy and capabilities development, since the beginning of the Cold War. The paper extends the historical discussion towards the present moment and the security policies undertaken in the 21st century, reaching the major policy re-evaluations occurring in 2022 and their importance both for the German state and its allies.</w:t>
      </w:r>
    </w:p>
    <w:p>
      <w:pPr/>
      <w:r>
        <w:rPr>
          <w:b/>
        </w:rPr>
        <w:t>POSSIBLE 2022:</w:t>
      </w:r>
      <w:r>
        <w:t xml:space="preserve"> Oil and gas pathway to net-zero: Review and outlook — https://doi.org/10.1016/j.esr.2022.101048</w:t>
      </w:r>
    </w:p>
    <w:p>
      <w:pPr/>
      <w:r>
        <w:rPr>
          <w:b/>
        </w:rPr>
        <w:t>Shared claim-specific concepts:</w:t>
      </w:r>
      <w:r>
        <w:t xml:space="preserve"> outlook, energy, transition; EU scope not established. This is a provisional connection, not an outcome finding.</w:t>
      </w:r>
    </w:p>
    <w:p>
      <w:pPr>
        <w:pStyle w:val="SourceNote"/>
      </w:pPr>
      <w:r>
        <w:rPr>
          <w:b/>
        </w:rPr>
        <w:t>Available abstract (not full text):</w:t>
      </w:r>
      <w:r>
        <w:t xml:space="preserve"> Global climate changes urge prompt energy transition for less carbon emissions, from traditional fossil fuels to renewable and sustainable clean energy. However, in reality, the world's energy majority cannot make U-turn immediately to renewables or clean energy due to the immature technology readiness, insufficient resource availability and unstable energy supply. In the next few decades, the fossil fuels, particularly oil and gas, will continue acting as the primary energy sector. Thus, instead of absolutely abandoning fossil fuel and seeking for impractical carbon mitigation technologies, to decarbonise the oil and gas will be definitely feasible and contribute more to net-zero transitions. This study, initially put eyes on the oil and gas decarbonization, critically reviewing the oil and gas resources, technologies, policies, and their futures toward net-zero. Basically, the status of oil and gas resources from different global regions, including the details of reserves, productions, consumptions, are summarized and analyzed. Moreover, the oil and gas technologies are categorized as gas, thermal and non-thermal, new recovery methods, each of which is specifically discussed in the applicable reservoir, mechanism, features and examples. Then, the global carbon emissions are reviewed in perspectives of emissions from fuel types and world regions as well as mitigations policies</w:t>
      </w:r>
    </w:p>
    <w:p>
      <w:pPr>
        <w:pStyle w:val="Heading2"/>
      </w:pPr>
      <w:r>
        <w:t>625.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findings, making, full, improving, coordination, however;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Comparison of countries in the WHO European Region according to noncommunicable disease indicators by multi-criteria decision making methods — https://doi.org/10.32552/2025.actamedica.1067</w:t>
      </w:r>
    </w:p>
    <w:p>
      <w:pPr/>
      <w:r>
        <w:rPr>
          <w:b/>
        </w:rPr>
        <w:t>Shared claim-specific concepts:</w:t>
      </w:r>
      <w:r>
        <w:t xml:space="preserve"> based, findings, making, full, however; EU scope visible. This is a provisional connection, not an outcome finding.</w:t>
      </w:r>
    </w:p>
    <w:p>
      <w:pPr>
        <w:pStyle w:val="SourceNote"/>
      </w:pPr>
      <w:r>
        <w:rPr>
          <w:b/>
        </w:rPr>
        <w:t>Available abstract (not full text):</w:t>
      </w:r>
      <w:r>
        <w:t xml:space="preserve"> Objective: The aim of this study is to compare the relative risk prevalence of noncommunicable diseases (NCDs) in the countries of the European Region as defined by WHO (World Health Organization) using WASPAS (Weighted Aggregated Sum Product Assessment) and MULTIMOORA (Multi-Objective Optimization by Ratio Analysis plus the full Multiplicative Form) multi-criteria decision-making (MCDM) methods. Materials and Methods: The cross-sectional study’s target population consisted of 50 countries in the WHO European Region with complete observations. The study utilizes NCDs data that the WHO publicly released. Analysis was performed using the R programming language and Microsoft Excel. Results: Based on the CRITIC (CRiteria Importance Through Intercorrelated Corrected) weighted WASPAS analysis, it was observed that 24 European countries exhibited Q scores above the average, while 26 countries displayed Q scores below the average. Finland, Cyprus, Switzerland, Spain, Iceland, Iceland, Sweden, Slovenia, Italy, Norway, Latvia, Portugal, Luxembourg, Belgium, France, Greece, the Netherlands, Germany, Malta, Austria, Ireland, Israel, Lithuania, Israel, Lithuania and Estonia have the highest Q scores. Twenty-four countries with above-average Q scores have lower NCD prevalence than twenty-six European countries. In Türkiye, the prevalence of NCDs is above the European average. However, Switze</w:t>
      </w:r>
    </w:p>
    <w:p>
      <w:pPr/>
      <w:r>
        <w:rPr>
          <w:b/>
        </w:rPr>
        <w:t>POSSIBLE 2024:</w:t>
      </w:r>
      <w:r>
        <w:t xml:space="preserve"> Urban labs beyond Europe: the formation and contextualization of experimental climate governance in five Latin American cities — https://doi.org/10.1177/09562478241230462</w:t>
      </w:r>
    </w:p>
    <w:p>
      <w:pPr/>
      <w:r>
        <w:rPr>
          <w:b/>
        </w:rPr>
        <w:t>Shared claim-specific concepts:</w:t>
      </w:r>
      <w:r>
        <w:t xml:space="preserve"> based, findings, five, developed, framework, however; EU scope visible. This is a provisional connection, not an outcome finding.</w:t>
      </w:r>
    </w:p>
    <w:p>
      <w:pPr>
        <w:pStyle w:val="SourceNote"/>
      </w:pPr>
      <w:r>
        <w:rPr>
          <w:b/>
        </w:rPr>
        <w:t>Available abstract (not full text):</w:t>
      </w:r>
      <w:r>
        <w:t xml:space="preserve"> The urban lab is an experimental governance approach for the co-creation of innovative solutions to urban challenges, such as climate change. However, urban lab scholarship has overlooked lab formation as a distinct process and is almost exclusively based on European cases. Therefore, little is known about the role of context conditions for lab formation in general and beyond Europe in particular. To address these gaps, this paper inductively analyses urban lab formation in five cities in Argentina, Brazil and Mexico, develops a framework for the comparative analysis of lab formation challenges, and asks: What do the challenges encountered and the solutions developed during lab formation in these cities tell us about the context dependence of the urban lab approach and what are the implications for its potential beyond Europe? Comparing insights from Europe to the findings from Latin America, the paper answers these questions and identifies future research questions.</w:t>
      </w:r>
    </w:p>
    <w:p>
      <w:pPr/>
      <w:r>
        <w:rPr>
          <w:b/>
        </w:rPr>
        <w:t>POSSIBLE 2024:</w:t>
      </w:r>
      <w:r>
        <w:t xml:space="preserve"> Evaluation of Colon Capsule Utilisation in Europe—CAPTURE EU Survey Findings — https://doi.org/10.3390/jcm14010099</w:t>
      </w:r>
    </w:p>
    <w:p>
      <w:pPr/>
      <w:r>
        <w:rPr>
          <w:b/>
        </w:rPr>
        <w:t>Shared claim-specific concepts:</w:t>
      </w:r>
      <w:r>
        <w:t xml:space="preserve"> findings, full, but; EU scope visible. This is a provisional connection, not an outcome finding.</w:t>
      </w:r>
    </w:p>
    <w:p>
      <w:pPr>
        <w:pStyle w:val="SourceNote"/>
      </w:pPr>
      <w:r>
        <w:rPr>
          <w:b/>
        </w:rPr>
        <w:t>Available abstract (not full text):</w:t>
      </w:r>
      <w:r>
        <w:t xml:space="preserve"> Background/Objectives: Colon capsule endoscopy (CCE) is a non-invasive method for visualising the colon, but its clinical adoption has been slow. Although the COVID-19 pandemic reignited interest in CCE, its role in conventional gastrointestinal investigations remains unclear, leading to varied practices across Europe. This highlights the need for a comprehensive understanding of diverse approaches to CCE in clinical practice. Method: A web-based survey was conducted from January to July 2024, targeting European gastroenterologists and colorectal surgeons interested in capsule endoscopy through the International Capsule Endoscopy Research (iCARE) Group. The survey aimed to understand CCE application across Europe and investigate factors influencing its uptake. Results: Thirty-eight (n = 38) valid responses were received from 19 European countries. While 88% reported access to CCE, only 45% had local services readily available, and just 7% included CCE in national guidelines. The most common indication for CCE was for patients who declined or could not tolerate colonoscopy (30%), with 77% of CE specialists preferring its use in fit patients. Ease of access was significantly associated with service availability (p = 0.0358). Barriers to uptake included lack of reimbursement, insufficient knowledge, and limited use in research settings. Only 27% of specialists viewed CCE positivel</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based, findings, five, improving, framework;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Accounting for forest condition in Europe based on an international statistical standard — https://doi.org/10.1038/s41467-023-39434-0</w:t>
      </w:r>
    </w:p>
    <w:p>
      <w:pPr/>
      <w:r>
        <w:rPr>
          <w:b/>
        </w:rPr>
        <w:t>Shared claim-specific concepts:</w:t>
      </w:r>
      <w:r>
        <w:t xml:space="preserve"> based, findings, increased; EU scope visible. This is a provisional connection, not an outcome finding.</w:t>
      </w:r>
    </w:p>
    <w:p>
      <w:pPr>
        <w:pStyle w:val="SourceNote"/>
      </w:pPr>
      <w:r>
        <w:rPr>
          <w:b/>
        </w:rPr>
        <w:t>Available abstract (not full text):</w:t>
      </w:r>
      <w:r>
        <w:t xml:space="preserve"> Covering 35% of Europe's land area, forest ecosystems play a crucial role in safeguarding biodiversity and mitigating climate change. Yet, forest degradation continues to undermine key ecosystem services that forests deliver to society. Here we provide a spatially explicit assessment of the condition of forest ecosystems in Europe following a United Nations global statistical standard on ecosystem accounting, adopted in March 2021. We measure forest condition on a scale from 0 to 1, where 0 represents a degraded ecosystem and 1 represents a reference condition based on primary or protected forests. We show that the condition across 44 forest types averaged 0.566 in 2000 and increased to 0.585 in 2018. Forest productivity and connectivity are comparable to levels observed in undisturbed or least disturbed forests. One third of the forest area was subject to declining condition, signalled by a reduction in soil organic carbon, tree cover density and species richness of threatened birds. Our findings suggest that forest ecosystems will need further restoration, improvements in management and an extended period of recovery to approach natural conditions.</w:t>
      </w:r>
    </w:p>
    <w:p>
      <w:pPr/>
      <w:r>
        <w:rPr>
          <w:b/>
        </w:rPr>
        <w:t>POSSIBLE 2023:</w:t>
      </w:r>
      <w:r>
        <w:t xml:space="preserve"> Head and neck cancers survival in Europe, Taiwan, and Japan: results from RARECAREnet Asia based on a privacy-preserving federated infrastructure — https://doi.org/10.3389/fonc.2023.1219111</w:t>
      </w:r>
    </w:p>
    <w:p>
      <w:pPr/>
      <w:r>
        <w:rPr>
          <w:b/>
        </w:rPr>
        <w:t>Shared claim-specific concepts:</w:t>
      </w:r>
      <w:r>
        <w:t xml:space="preserve"> based, findings, but; EU scope visible. This is a provisional connection, not an outcome finding.</w:t>
      </w:r>
    </w:p>
    <w:p>
      <w:pPr>
        <w:pStyle w:val="SourceNote"/>
      </w:pPr>
      <w:r>
        <w:rPr>
          <w:b/>
        </w:rPr>
        <w:t>Available abstract (not full text):</w:t>
      </w:r>
      <w:r>
        <w:t xml:space="preserve"> Background: The head and neck cancers (HNCs) incidence differs between Europe and East Asia. Our objective was to determine whether survival of HNC also differs between European and Asian countries. Methods: We used population-based cancer registry data to calculate 5-year relative survival (RS) for the oral cavity, hypopharynx, larynx, nasal cavity, and major salivary gland in Europe, Taiwan, and Japan. We modeled RS with a generalized linear model adjusting for time since diagnosis, sex, age, subsite, and histological grouping. Analyses were performed using federated learning, which enables analyses without sharing sensitive data. Findings: Five-year RS for HNC varied between geographical areas. For each HNC site, Europe had a lower RS than both Japan and Taiwan. HNC subsites and histologies distribution and survival differed between the three areas. Differences between Europe and both Asian countries persisted even after adjustments for all HNC sites but nasal cavity and paranasal sinuses, when comparing Europe and Taiwan. Interpretation: Survival differences can be attributed to different factors including different period of diagnosis, more advanced stage at diagnosis, or different availability/access of treatment. Cancer registries did not have stage and treatment information to further explore the reasons of the observed survival differences. Our analyses have confirmed </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based, coordination, but;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Key Factors Affecting European Reactions to AI in European Full and Flawed Democracies — https://doi.org/10.48550/arxiv.2311.09231</w:t>
      </w:r>
    </w:p>
    <w:p>
      <w:pPr/>
      <w:r>
        <w:rPr>
          <w:b/>
        </w:rPr>
        <w:t>Shared claim-specific concepts:</w:t>
      </w:r>
      <w:r>
        <w:t xml:space="preserve"> based, findings, developed, full, however; EU scope visible. This is a provisional connection, not an outcome finding.</w:t>
      </w:r>
    </w:p>
    <w:p>
      <w:pPr>
        <w:pStyle w:val="SourceNote"/>
      </w:pPr>
      <w:r>
        <w:rPr>
          <w:b/>
        </w:rPr>
        <w:t>Available abstract (not full text):</w:t>
      </w:r>
      <w:r>
        <w:t xml:space="preserve"> This study examines the key factors that affect European reactions to artificial intelligence (AI) in the context of both full and flawed democracies in Europe. Analysing a dataset of 4,006 respondents, categorised into full democracies and flawed democracies based on the Democracy Index developed by the Economist Intelligence Unit (EIU), this research identifies crucial factors that shape European attitudes toward AI in these two types of democracies. The analysis reveals noteworthy findings. Firstly, it is observed that flawed democracies tend to exhibit higher levels of trust in government entities compared to their counterparts in full democracies. Additionally, individuals residing in flawed democracies demonstrate a more positive attitude toward AI when compared to respondents from full democracies. However, the study finds no significant difference in AI awareness between the two types of democracies, indicating a similar level of general knowledge about AI technologies among European citizens. Moreover, the study reveals that trust in AI measures, specifically "Trust AI Solution", does not significantly vary between full and flawed democracies. This suggests that despite the differences in democratic quality, both types of democracies have similar levels of confidence in AI solutions.</w:t>
      </w:r>
    </w:p>
    <w:p>
      <w:pPr/>
      <w:r>
        <w:rPr>
          <w:b/>
        </w:rPr>
        <w:t>POSSIBLE 2022:</w:t>
      </w:r>
      <w:r>
        <w:t xml:space="preserve"> Forest-based climate change mitigation and adaptation in Europe — https://doi.org/10.36333/fs14</w:t>
      </w:r>
    </w:p>
    <w:p>
      <w:pPr/>
      <w:r>
        <w:rPr>
          <w:b/>
        </w:rPr>
        <w:t>Shared claim-specific concepts:</w:t>
      </w:r>
      <w:r>
        <w:t xml:space="preserve"> efficiency, increased;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findings, action, but, however;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2022:</w:t>
      </w:r>
      <w:r>
        <w:t xml:space="preserve"> The Future of Wood Construction: Opportunities and Barriers Based on Surveys in Europe and Chile — https://doi.org/10.3390/su14074358</w:t>
      </w:r>
    </w:p>
    <w:p>
      <w:pPr/>
      <w:r>
        <w:rPr>
          <w:b/>
        </w:rPr>
        <w:t>Shared claim-specific concepts:</w:t>
      </w:r>
      <w:r>
        <w:t xml:space="preserve"> based, findings, increased; EU scope visible. This is a provisional connection, not an outcome finding.</w:t>
      </w:r>
    </w:p>
    <w:p>
      <w:pPr>
        <w:pStyle w:val="SourceNote"/>
      </w:pPr>
      <w:r>
        <w:rPr>
          <w:b/>
        </w:rPr>
        <w:t>Available abstract (not full text):</w:t>
      </w:r>
      <w:r>
        <w:t xml:space="preserve"> The demand for wood has increased in recent years due to new technical possibilities and environmental concerns. This paper provides an analysis of the factors that affect the use of wood in the construction sector, and an assessment of their importance in individual countries and for groups of stakeholders. The study covers the technical, societal, political, economic, and gender aspects of wood construction, with the aim of increasing global understanding regarding national differences, the current situation, and the potential for further development. The subject was investigated using a survey, and the most important opportunities for and barriers to growth in the use of wood in the construction sector were selected, following a statistical analysis. The results indicate strong regional and cultural differences regarding the acceptance of some of the opportunities and barriers related to the development of wood construction. The findings indicate that there is a need to promote wood construction based on its technical and economic benefits rather than its societal ones. On the other hand, the current societal barriers should be addressed as a priority, together with the establishment of common and harmonized policies. The results of this study, therefore, will contribute to the generation of regional-sensitive information that can be useful for policymakers when updating the</w:t>
      </w:r>
    </w:p>
    <w:p>
      <w:pPr>
        <w:pStyle w:val="Heading2"/>
      </w:pPr>
      <w:r>
        <w:t>626.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2024:</w:t>
      </w:r>
      <w:r>
        <w:t xml:space="preserve"> CLIMATE NEUTRALITY: CONTEMPORARY CHALLENGES FOR EUROPEAN POLICY — https://doi.org/10.17721/1728-2292.2024/1-58/33-40</w:t>
      </w:r>
    </w:p>
    <w:p>
      <w:pPr/>
      <w:r>
        <w:rPr>
          <w:b/>
        </w:rPr>
        <w:t>Shared claim-specific concepts:</w:t>
      </w:r>
      <w:r>
        <w:t xml:space="preserve"> achievement, climate, neutrality, union, not, possible; EU scope visible. This is a provisional connection, not an outcome finding.</w:t>
      </w:r>
    </w:p>
    <w:p>
      <w:pPr>
        <w:pStyle w:val="SourceNote"/>
      </w:pPr>
      <w:r>
        <w:rPr>
          <w:b/>
        </w:rPr>
        <w:t>Available abstract (not full text):</w:t>
      </w:r>
      <w:r>
        <w:t xml:space="preserve"> B a c k g r o u n d .The article examines issues related to challenges to European climate neutrality, which have arisen before the European Union due to Russian armed aggression in Ukraine. The authors emphasize that the European Union has set an ambitious goal of becoming the world's first climate-neutral continent. The implementation of these plans requires a coordinated position not only of the member states, but also of the EU partners. Russia's military aggression against Ukraine may affect the achievement of European climate goals, as this conflict is accompanied by a significant impact on the environment. The authors set a goal to analyze how the Russian military invasion of Ukraine can affect the achievement of climate neutrality. To achieve the goal, the following research tasks were defined, in particular, to characterize the basic principles of the strategy and tools of the EU climate policy, to show the impact of Russian aggression on the ecology of the EU, to determine whether the topic of the environmental consequences of Russian aggression in Ukraine is relevant for the European public, and to assess how Russian armed aggression can influence the achievement of the goals of European climate neutrality. M e t h o d s .The following methods were used: discursive analysis, the analysis of the documents, analysis and synthesis, comparative method, content analysis.R</w:t>
      </w:r>
    </w:p>
    <w:p>
      <w:pPr/>
      <w:r>
        <w:rPr>
          <w:b/>
        </w:rPr>
        <w:t>POSSIBLE 2024:</w:t>
      </w:r>
      <w:r>
        <w:t xml:space="preserve"> Visions for climate neutrality and opportunities for co-learning in European cities — https://doi.org/10.1016/j.rser.2024.114315</w:t>
      </w:r>
    </w:p>
    <w:p>
      <w:pPr/>
      <w:r>
        <w:rPr>
          <w:b/>
        </w:rPr>
        <w:t>Shared claim-specific concepts:</w:t>
      </w:r>
      <w:r>
        <w:t xml:space="preserve"> climate, neutrality, possible; EU scope visible. This is a provisional connection, not an outcome finding.</w:t>
      </w:r>
    </w:p>
    <w:p>
      <w:pPr>
        <w:pStyle w:val="SourceNote"/>
      </w:pPr>
      <w:r>
        <w:rPr>
          <w:b/>
        </w:rPr>
        <w:t>Available abstract (not full text):</w:t>
      </w:r>
      <w:r>
        <w:t xml:space="preserve"> Cities represent unique spaces for climate mitigation where wide-ranging action to reduce emissions meets ambition and collaboration. This research work distils climate neutrality narratives for 362 cities that expressed interest in the European Mission on 100 Climate-Neutral and Smart Cities and focuses on the 112 cities selected to spearhead the process of reaching climate neutrality by 2030 (representing a mitigation potential of 318.3 megatonnes of carbon dioxide equivalent emissions). The method involves steps that profile the characteristics of these cities, enunciate cross-cutting patterns in cities’ visions by thematic groupings, and compare 14 contextual factors with 77 possible main barriers. There are both similarities and differences among the results as a basis for learning together and certain barriers can be relatively more dominant in some thematic groupings, such as fragmentation of responsibilities. As a synthesis of the main findings, the original analyses are used to derive and prioritise nine high-level recommendations based on the cities' visions, contextual factors, and expected main barriers. Opportunities for mobilising transformative change relate to transforming siloed into integrated approaches, inclusive climate governance and collaborations, innovative financing, welfare and just transition as well as planning, implementation, and policy coherence.</w:t>
      </w:r>
    </w:p>
    <w:p>
      <w:pPr/>
      <w:r>
        <w:rPr>
          <w:b/>
        </w:rPr>
        <w:t>POSSIBLE 2024:</w:t>
      </w:r>
      <w:r>
        <w:t xml:space="preserve"> Studying Regional Disparities at European Level with a View to Achieving Climate Neutrality Objectives — https://doi.org/10.35219/eai15840409463</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European Green Deal was implemented in order to ensure climate neutrality objectives for Horizon 2030, to ensure economic growth decoupled from the use of natural resources and for a fair and inclusive transition.In this context, including against the backdrop of multiple energy, economic, environmental, climate change and biodiversity loss crises, we propose to carry out an extended analysis of the impact of the Green Deal on regional economic development at European level.The study will highlight the main achievements of the European regional policy in the perspective of the European Green Deal and will determine on the basis of a cluster analysis the level of regional disparity by analyzing the main Green Deal indicators.The analysis will allow to highlight the main effects of the implementation of the European Green Deal from the perspective of the transition towards climate neutrality and the effects of these measures at European level.Regional disparities will also be assessed on the basis of cluster analysis of the evolution of the main indicators on environmental protection, energy security and sustainable economic growth.The results of the study will be useful to supranational decision-makers in the European Union for the adjustment of public policies for balanced economic development at EU level in the light of the Green Deal commitments undertaken for the 2030 ho</w:t>
      </w:r>
    </w:p>
    <w:p>
      <w:pPr/>
      <w:r>
        <w:rPr>
          <w:b/>
        </w:rPr>
        <w:t>POSSIBLE 2024:</w:t>
      </w:r>
      <w:r>
        <w:t xml:space="preserve"> MODIFICATION OF ECONOMIC DEPENDENCE AND ACHIEVEMENT OF CLIMATE NEUTRALITY AT THE CROSSROAD — https://doi.org/10.46299/979-8-89504-809-2</w:t>
      </w:r>
    </w:p>
    <w:p>
      <w:pPr/>
      <w:r>
        <w:rPr>
          <w:b/>
        </w:rPr>
        <w:t>Shared claim-specific concepts:</w:t>
      </w:r>
      <w:r>
        <w:t xml:space="preserve"> achievement, climate, neutrality; EU scope not established. This is a provisional connection, not an outcome finding.</w:t>
      </w:r>
    </w:p>
    <w:p>
      <w:pPr>
        <w:pStyle w:val="SourceNote"/>
      </w:pPr>
      <w:r>
        <w:rPr>
          <w:b/>
        </w:rPr>
        <w:t>Available abstract (not full text):</w:t>
      </w:r>
      <w:r>
        <w:t xml:space="preserve"> All rights reserved. Printed in the United States of America. No part of this publication may be reproduced, distributed, or transmitted, in any form or by any means, or stored in a data base or retrieval system, without the prior written permission of the publisher. The content and reliability of the articles are the responsibility of the authors. When using and borrowing materials reference to the publication is required.</w:t>
      </w:r>
    </w:p>
    <w:p>
      <w:pPr/>
      <w:r>
        <w:rPr>
          <w:b/>
        </w:rPr>
        <w:t>POSSIBLE 2024:</w:t>
      </w:r>
      <w:r>
        <w:t xml:space="preserve"> Building Blocks of the European Union’s Strategy for Climate Neutrality — https://doi.org/10.1017/9781009341493.003</w:t>
      </w:r>
    </w:p>
    <w:p>
      <w:pPr/>
      <w:r>
        <w:rPr>
          <w:b/>
        </w:rPr>
        <w:t>Shared claim-specific concepts:</w:t>
      </w:r>
      <w:r>
        <w:t xml:space="preserve"> climate, neutrality, union, energy; EU scope visible. This is a provisional connection, not an outcome finding.</w:t>
      </w:r>
    </w:p>
    <w:p>
      <w:pPr>
        <w:pStyle w:val="SourceNote"/>
      </w:pPr>
      <w:r>
        <w:rPr>
          <w:b/>
        </w:rPr>
        <w:t>Available abstract (not full text):</w:t>
      </w:r>
      <w:r>
        <w:t xml:space="preserve"> This chapter discusses the building blocks of the European Union’s strategy for climate neutrality. Carbon pricing in the EU is described, focusing on the EU ETS and on the forthcoming CBAM. Then the roles of electrification and clean molecules in the future European energy system are discussed. Finally, sustainable finance priorities, capacities, and regulatory instruments put forward by the EU are reviewed, before a brief conclusion.</w:t>
      </w:r>
    </w:p>
    <w:p>
      <w:pPr/>
      <w:r>
        <w:rPr>
          <w:b/>
        </w:rPr>
        <w:t>POSSIBLE 2024:</w:t>
      </w:r>
      <w:r>
        <w:t xml:space="preserve"> EUROPEAN LANDSCAPE OF CLIMATE LAW — https://doi.org/10.46299/979-8-89504-809-2.3</w:t>
      </w:r>
    </w:p>
    <w:p>
      <w:pPr/>
      <w:r>
        <w:rPr>
          <w:b/>
        </w:rPr>
        <w:t>Shared claim-specific concepts:</w:t>
      </w:r>
      <w:r>
        <w:t xml:space="preserve"> achievement, climate, neutrality, union, not, reduction;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Moving Waste Sector Towards Climate Neutrality. Scenario Analysis — https://doi.org/10.7250/conect.2024.100</w:t>
      </w:r>
    </w:p>
    <w:p>
      <w:pPr/>
      <w:r>
        <w:rPr>
          <w:b/>
        </w:rPr>
        <w:t>Shared claim-specific concepts:</w:t>
      </w:r>
      <w:r>
        <w:t xml:space="preserve"> achievement, climate, neutrality, union, not, possible; EU scope visible. This is a provisional connection, not an outcome finding.</w:t>
      </w:r>
    </w:p>
    <w:p>
      <w:pPr>
        <w:pStyle w:val="SourceNote"/>
      </w:pPr>
      <w:r>
        <w:rPr>
          <w:b/>
        </w:rPr>
        <w:t>Available abstract (not full text):</w:t>
      </w:r>
      <w:r>
        <w:t xml:space="preserve"> The upward economic growth, the development of the industrial, transport and agricultural sectors, and technological innovations contribute to the constant stimulation of the demand and supply of new products and services, inevitably contributing to the increase in the amount of waste. Mitigation of climate change is not a short-term goal; therefore, sustainable and reasonable practices in the waste management sector could contribute to positive changes in mitigating GHG emissions and climate change in general. However, it is not clear whether by implementing the current domestic waste management policy of Latvia and the action measures contained in it, it is objectively possible to achieve the strategic goals and desired results set at the European Union as well as at the national level, what is the impact of the set goals and the success of their implementation so far, and whether these political settings will not remain only at the level of ideas and wishes. In the scientific literature, several proposals developed as a result of research have been put forward for reducing the climate neutrality of the waste sector with the help of various technologies and technological innovations. At the same time, it is difficult to evaluate the proposals and solutions put forward in the research results in relation to an individual situation; for example, if a municipality in Latvia woul</w:t>
      </w:r>
    </w:p>
    <w:p>
      <w:pPr/>
      <w:r>
        <w:rPr>
          <w:b/>
        </w:rPr>
        <w:t>POSSIBLE 2024:</w:t>
      </w:r>
      <w:r>
        <w:t xml:space="preserve"> Climate Obstruction across Europe — https://doi.org/10.1093/oso/9780197762042.001.0001</w:t>
      </w:r>
    </w:p>
    <w:p>
      <w:pPr/>
      <w:r>
        <w:rPr>
          <w:b/>
        </w:rPr>
        <w:t>Shared claim-specific concepts:</w:t>
      </w:r>
      <w:r>
        <w:t xml:space="preserve"> climate, union, fossil;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pStyle w:val="Heading2"/>
      </w:pPr>
      <w:r>
        <w:t>627.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r>
        <w:rPr>
          <w:b/>
        </w:rPr>
        <w:t>POSSIBLE 2024:</w:t>
      </w:r>
      <w:r>
        <w:t xml:space="preserve"> Deciphering the variation in cuticular hydrocarbon profiles of six European honey bee subspecies — https://doi.org/10.1186/s12862-024-02325-z</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The Western honey bee (Apis mellifera) subspecies exhibit local adaptive traits that evolved in response to the different environments that characterize their native distribution ranges. An important trait is the cuticular hydrocarbon (CHC) profile, which helps to prevent desiccation and mediate communication. We compared the CHC profiles of six European subspecies (A. m. mellifera, A. m. carnica, A. m. ligustica, A. m. macedonica, A. m. iberiensis, and A. m. ruttneri) and investigated potential factors shaping their composition. We did not find evidence of adaptation of the CHC profiles of the subspecies to the climatic conditions in their distribution range. Subspecies-specific differences in CHC composition might be explained by phylogenetic constraints or genetic drift. The CHC profiles of foragers were more subspecies-specific than those of nurse bees, while the latter showed more variation in their CHC profiles, likely due to the lower desiccation stress exerted by the controlled environment inside the hive. The strongest profile differences appeared between nurse bees and foragers among all subspecies, suggesting an adaptation to social task and a role in communication. Foragers also showed an increase in the relative amount of alkanes in their profiles compared to nurses, indicating adaptation to climatic conditions.</w:t>
      </w:r>
    </w:p>
    <w:p>
      <w:pPr/>
      <w:r>
        <w:rPr>
          <w:b/>
        </w:rPr>
        <w:t>POSSIBLE 2024:</w:t>
      </w:r>
      <w:r>
        <w:t xml:space="preserve"> Multifaceted Conscription: A Comparative Study of Six European Countries — https://doi.org/10.31374/sjms.166</w:t>
      </w:r>
    </w:p>
    <w:p>
      <w:pPr/>
      <w:r>
        <w:rPr>
          <w:b/>
        </w:rPr>
        <w:t>Shared claim-specific concepts:</w:t>
      </w:r>
      <w:r>
        <w:t xml:space="preserve"> six, different, differ;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2023:</w:t>
      </w:r>
      <w:r>
        <w:t xml:space="preserve"> Expert-Based Assessment of the Potential of Non-Wood Forest Products to Diversify Forest Bioeconomy in Six European Regions — https://doi.org/10.3390/f14020420</w:t>
      </w:r>
    </w:p>
    <w:p>
      <w:pPr/>
      <w:r>
        <w:rPr>
          <w:b/>
        </w:rPr>
        <w:t>Shared claim-specific concepts:</w:t>
      </w:r>
      <w:r>
        <w:t xml:space="preserve"> six, different, potential, differ, role, categories; EU scope visible. This is a provisional connection, not an outcome finding.</w:t>
      </w:r>
    </w:p>
    <w:p>
      <w:pPr>
        <w:pStyle w:val="SourceNote"/>
      </w:pPr>
      <w:r>
        <w:rPr>
          <w:b/>
        </w:rPr>
        <w:t>Available abstract (not full text):</w:t>
      </w:r>
      <w:r>
        <w:t xml:space="preserve"> The forest-based sector plays a significant role in supporting Europe on its pathway towards a more integrated and bio-based circular economy. Beyond the supply of timber, forest ecosystems offer a wide range of products and services beneficial to human wellbeing. Non-wood forest products (NWFPs) play an integral role in provisioning forest ecosystem services and constitute a huge portfolio of species from various taxonomic kingdoms. As diverse as the resources themselves is the list of end-products that may be derived from raw non-wood materials. Multiple value-chains of NWFPs provide benefits to actors across all stages of the supply chain. Forest management has not yet directed full attention towards NWFPs, since timber production remains the main management objective, although multi-purpose management is recognised as a key principle of the sector’s sustainability paradigm. Lack of knowledge of the socio-economic relevance of NWFPs for European societies and diverse property rights frameworks increase the complexity in forest-based decision making additionally. In this study, the future potential of 38 NWFPs for diversifying the forest bioeconomy is investigated by means of multi-criteria analysis, including stakeholder interaction and expert involvement. The results for six case studies in different biogeographical zones in Europe indicate the latent opportunities NWFPs pr</w:t>
      </w:r>
    </w:p>
    <w:p>
      <w:pPr/>
      <w:r>
        <w:rPr>
          <w:b/>
        </w:rPr>
        <w:t>POSSIBLE 2023:</w:t>
      </w:r>
      <w:r>
        <w:t xml:space="preserve"> A review of growth and development of oncology nursing in six European countries — https://doi.org/10.21037/apm-23-82</w:t>
      </w:r>
    </w:p>
    <w:p>
      <w:pPr/>
      <w:r>
        <w:rPr>
          <w:b/>
        </w:rPr>
        <w:t>Shared claim-specific concepts:</w:t>
      </w:r>
      <w:r>
        <w:t xml:space="preserve"> six, level; EU scope visible. This is a provisional connection, not an outcome finding.</w:t>
      </w:r>
    </w:p>
    <w:p>
      <w:pPr>
        <w:pStyle w:val="SourceNote"/>
      </w:pPr>
      <w:r>
        <w:rPr>
          <w:b/>
        </w:rPr>
        <w:t>Available abstract (not full text):</w:t>
      </w:r>
      <w:r>
        <w:t xml:space="preserve"> Oncology nursing consists of a branch of nursing specialised in the care of people affected by cancer. Despite its essential contribution in the field of oncology, there is lack or poor recognition as a specialty across Europe. The aim of this paper is to review the development and growth of oncology nursing in 6 diverse countries in Europe. The paper has been developed by drawing on the relevant national and European literature (e.g., in local language and English language) available in the participating countries. European and international literature has been used complementarily to contextualised the findings to the wider field of cancer nursing across the world. Furthermore, this literature has been utilised to demonstrate how the implications of the paper's outcomes can be relevant to other cancer nursing contexts. The paper discusses the pathways of the development and growth of oncology nursing in France, Cyprus, UK, Croatia, Norway, and Spain. This paper will further contribute to raising the awareness on the extent and level of contribution that oncology nurses are making to improve cancer care on a global scale. This also needs to be in accordance to the policy frameworks on a national, European and global context so that the recognition of the vital contribution of oncology nurses is complemented with its full recognition as a distinct specialty.</w:t>
      </w:r>
    </w:p>
    <w:p>
      <w:pPr/>
      <w:r>
        <w:rPr>
          <w:b/>
        </w:rPr>
        <w:t>POSSIBLE 2023:</w:t>
      </w:r>
      <w:r>
        <w:t xml:space="preserve"> Interim 2022/23 influenza vaccine effectiveness: six European studies, October 2022 to January 2023 — https://doi.org/10.2807/1560-7917.es.2023.28.21.2300116</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BackgroundBetween October 2022 and January 2023, influenza A(H1N1)pdm09, A(H3N2) and B/Victoria viruses circulated in Europe with different influenza (sub)types dominating in different areas.AimTo provide interim 2022/23 influenza vaccine effectiveness (VE) estimates from six European studies, covering 16 countries in primary care, emergency care and hospital inpatient settings.MethodsAll studies used the test-negative design, but with differences in other study characteristics, such as data sources, patient selection, case definitions and included age groups. Overall and influenza (sub)type-specific VE was estimated for each study using logistic regression adjusted for potential confounders.ResultsThere were 20,477 influenza cases recruited across the six studies, of which 16,589 (81%) were influenza A. Among all ages and settings, VE against influenza A ranged from 27 to 44%. Against A(H1N1)pdm09 (all ages and settings), VE point estimates ranged from 28% to 46%, higher among children (&lt; 18 years) at 49-77%. Against A(H3N2), overall VE ranged from 2% to 44%, also higher among children (62-70%). Against influenza B/Victoria, overall and age-specific VE were ≥ 50% (87-95% among children &lt; 18 years).ConclusionsInterim results from six European studies during the 2022/23 influenza season indicate a ≥ 27% and ≥ 50% reduction in disease occurrence among all-age influenza vaccine re</w:t>
      </w:r>
    </w:p>
    <w:p>
      <w:pPr/>
      <w:r>
        <w:rPr>
          <w:b/>
        </w:rPr>
        <w:t>POSSIBLE 2022:</w:t>
      </w:r>
      <w:r>
        <w:t xml:space="preserve"> Ticks on the move—climate change-induced range shifts of three tick species in Europe: current and future habitat suitability for Ixodes ricinus in comparison with Dermacentor reticulatus and Dermacentor marginatus — https://doi.org/10.1007/s00436-022-07556-x</w:t>
      </w:r>
    </w:p>
    <w:p>
      <w:pPr/>
      <w:r>
        <w:rPr>
          <w:b/>
        </w:rPr>
        <w:t>Shared claim-specific concepts:</w:t>
      </w:r>
      <w:r>
        <w:t xml:space="preserve"> six, different, potential, required; EU scope visible. This is a provisional connection, not an outcome finding.</w:t>
      </w:r>
    </w:p>
    <w:p>
      <w:pPr>
        <w:pStyle w:val="SourceNote"/>
      </w:pPr>
      <w:r>
        <w:rPr>
          <w:b/>
        </w:rPr>
        <w:t>Available abstract (not full text):</w:t>
      </w:r>
      <w:r>
        <w:t xml:space="preserve"> Tick-borne diseases are a major health problem worldwide and could become even more important in Europe in the future. Due to changing climatic conditions, ticks are assumed to be able to expand their ranges in Europe towards higher latitudes and altitudes, which could result in an increased occurrence of tick-borne diseases.There is a great interest to identify potential (new) areas of distribution of vector species in order to assess the future infection risk with vector-borne diseases, improve surveillance, to develop more targeted monitoring program, and, if required, control measures.Based on an ecological niche modelling approach we project the climatic suitability for the three tick species Ixodes ricinus, Dermacentor reticulatus and Dermacentor marginatus under current and future climatic conditions in Europe. These common tick species also feed on humans and livestock and are vector competent for a number of pathogens.For niche modelling, we used a comprehensive occurrence data set based on several databases and publications and six bioclimatic variables in a maximum entropy approach. For projections, we used the most recent IPCC data on current and future climatic conditions including four different scenarios of socio-economic developments.Our models clearly support the assumption that the three tick species will benefit from climate change with projected range expans</w:t>
      </w:r>
    </w:p>
    <w:p>
      <w:pPr>
        <w:pStyle w:val="Heading2"/>
      </w:pPr>
      <w:r>
        <w:t>628.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2024:</w:t>
      </w:r>
      <w:r>
        <w:t xml:space="preserve"> Boris Zingerman. Letters to the Teachers (Publication, Introductory Article and Comments) — https://doi.org/10.51678/2226-0072-2024-4-312-331</w:t>
      </w:r>
    </w:p>
    <w:p>
      <w:pPr/>
      <w:r>
        <w:rPr>
          <w:b/>
        </w:rPr>
        <w:t>Shared claim-specific concepts:</w:t>
      </w:r>
      <w:r>
        <w:t xml:space="preserve"> article, after, introductory, two; EU scope not established. This is a provisional connection, not an outcome finding.</w:t>
      </w:r>
    </w:p>
    <w:p>
      <w:pPr>
        <w:pStyle w:val="SourceNote"/>
      </w:pPr>
      <w:r>
        <w:rPr>
          <w:b/>
        </w:rPr>
        <w:t>Available abstract (not full text):</w:t>
      </w:r>
      <w:r>
        <w:t xml:space="preserve"> The letters of Boris Zingerman (1928–2000) to the older generation of theatre critics, Grigory Boyadzhiev (1909–1974) and Boris Alpers (1894–1974), were written at different times and on different occasions. What unites the two letters is that they were addressed to Zingerman’s teachers at the State Institute of Theatre Arts (GITIS), where he studied at the theatre studies department (1945–1950) and then did a postgraduate course (1950–1954). However, he had not only happy memories of those times. The end of the ‘luxurious hothouse’, as Zingerman saw GITIS, came after the editorial article in the Pravda newspaper of January 28, 1949 entitled “On One Anti-patriotic Group of Theatre Critics”. In February 1949, a two-day meeting of the GITIS Academic Council was held, where Vs.N. Vsevolodsky-Gerngross, B.V. Alpers, N.M. Tarabukin, S.S. Mokulsky, G.N. Boyadzhiev, and S.S. Danilov were exposed as ‘enemies of the Soviet culture’. Students and postgraduates were then forced to attend the civil execution of the teachers. Some were frightened by it, others used it to advance in their careers. Yet others formed the generation of the sixties: B.I. Zingerman, V.M. Gaevsky, I.N. Solovieva, N.A. Krymova, Yu.S. Rybakov, M.I. Turovskaya, N.M. Zorkaya, T.I. Bachelis, and K.L. Rudnitsky. The memory of 1949 remained with them forever, having become a ‘family trauma’. The plots of professional the</w:t>
      </w:r>
    </w:p>
    <w:p>
      <w:pPr/>
      <w:r>
        <w:rPr>
          <w:b/>
        </w:rPr>
        <w:t>POSSIBLE 2024:</w:t>
      </w:r>
      <w:r>
        <w:t xml:space="preserve"> INTRODUCTORY PREFACE: Publication Patterns of the Central European Public Administration Review – A Bibliometric Analysis — https://doi.org/10.17573/cepar.2024.1.01</w:t>
      </w:r>
    </w:p>
    <w:p>
      <w:pPr/>
      <w:r>
        <w:rPr>
          <w:b/>
        </w:rPr>
        <w:t>Shared claim-specific concepts:</w:t>
      </w:r>
      <w:r>
        <w:t xml:space="preserve"> article, introductory, two; EU scope visible. This is a provisional connection, not an outcome finding.</w:t>
      </w:r>
    </w:p>
    <w:p>
      <w:pPr>
        <w:pStyle w:val="SourceNote"/>
      </w:pPr>
      <w:r>
        <w:rPr>
          <w:b/>
        </w:rPr>
        <w:t>Available abstract (not full text):</w:t>
      </w:r>
      <w:r>
        <w:t xml:space="preserve"> On the 20th anniversary of the Central European Public Administration Review (CEPAR), this study underscores the significance of the journal’s inclusion in indexing. Employing scient metrics, bibliometric techniques, and knowledge mapping, the analysis offers a comprehensive overview of CEPAR’s evolution over the past two decades, the challenges encountered following the journal’s indexing in Web of Science, and the distinctivecharacteristics of authorship patterns. The data used in bibliometric analysis was extracted from Web of Science and covers the period 2018– 2023 (103 papers), while the data for authoring analysis was collectedfrom the archives of journal volumes covering the period 2003–2023 (425 papers). Over its 21 years of existence, CEPAR has published a total of 425 articles with an average of 20 articles per year. These contributions represent the collaborative efforts of 684 authors from different countries, with the average article written by 1.61 authors. The trend in annual citations is positive, with citations increasing tenfold following indexation in Web of Science. The publications in the sample (bibliometric analysis) were written by 175 authors affiliated with 75 institutions, of which 84% contributed a single article to CEPAR’s evolution. In the five years since its indexing in Web of Science, CEPAR has garnered about 200 citations, approximately 33 per</w:t>
      </w:r>
    </w:p>
    <w:p>
      <w:pPr/>
      <w:r>
        <w:rPr>
          <w:b/>
        </w:rPr>
        <w:t>POSSIBLE 2024:</w:t>
      </w:r>
      <w:r>
        <w:t xml:space="preserve"> Śvetāśvatara-Upaniṣad 1.1-16 / Translation from Sanskrit, Introductory Article and Commentaries by Yu. Zavhorodnii — https://doi.org/10.15407/orientw2024.03.292</w:t>
      </w:r>
    </w:p>
    <w:p>
      <w:pPr/>
      <w:r>
        <w:rPr>
          <w:b/>
        </w:rPr>
        <w:t>Shared claim-specific concepts:</w:t>
      </w:r>
      <w:r>
        <w:t xml:space="preserve"> article, introductory, developed; EU scope visible. This is a provisional connection, not an outcome finding.</w:t>
      </w:r>
    </w:p>
    <w:p>
      <w:pPr>
        <w:pStyle w:val="SourceNote"/>
      </w:pPr>
      <w:r>
        <w:rPr>
          <w:b/>
        </w:rPr>
        <w:t>Available abstract (not full text):</w:t>
      </w:r>
      <w:r>
        <w:t xml:space="preserve"> The reader is offered a Ukrainian translation of the first chapter of the Śvetāśvatara-Upaniṣad. The Upaniṣads are a late Vedic genre of ancient Indian literature that completes the formation of the Vedic corpus of sacred texts. The first texts of the Upaniṣads appear around the 8th century BC. It is difficult to overestimate the importance of the Upaniṣads for the study of the origins of Indian religious and philosophical thought. Leading Indian philosophers developed the ideas of the Upaniṣads, quoted them in their own works, and, starting with Gauḍapāda, wrote their own commentaries on them. They are the first component of the triple canon (prasthānatrayī) of the Vedānta philosophical school. For more than a century, not only in world Indological circles, but also among much wider intellectual circles of various countries, primarily in Europe and North America, there has been a steady interest in the Upaniṣads. The Śvetāśvatara-Upaniṣad is one of the most authoritative and well-known Upaniṣads. It received its high recognition not only in Hindu, but also in scientific circles. And although its studies and translations have a long history, there are still many controversial and unresolved issues. Our publication is intended to renew the existing Ukrainian academic interest in the Upaniṣads, which was interrupted by the Soviet authorities in the 1920s and 1930s, and to draw at</w:t>
      </w:r>
    </w:p>
    <w:p>
      <w:pPr/>
      <w:r>
        <w:rPr>
          <w:b/>
        </w:rPr>
        <w:t>POSSIBLE 2024:</w:t>
      </w:r>
      <w:r>
        <w:t xml:space="preserve"> Supranational responses to democratic backsliding: norm contestation and discursive polarisation in the European Parliament — https://doi.org/10.1080/13501763.2024.2320270</w:t>
      </w:r>
    </w:p>
    <w:p>
      <w:pPr/>
      <w:r>
        <w:rPr>
          <w:b/>
        </w:rPr>
        <w:t>Shared claim-specific concepts:</w:t>
      </w:r>
      <w:r>
        <w:t xml:space="preserve"> article, polarisation, two, democratic; EU scope visible. This is a provisional connection, not an outcome finding.</w:t>
      </w:r>
    </w:p>
    <w:p>
      <w:pPr>
        <w:pStyle w:val="SourceNote"/>
      </w:pPr>
      <w:r>
        <w:rPr>
          <w:b/>
        </w:rPr>
        <w:t>Available abstract (not full text):</w:t>
      </w:r>
      <w:r>
        <w:t xml:space="preserve"> The European Parliament (EP) has repeatedly been criticised for its slow, insufficient response to democratic backsliding in several member states.At the same time, it is the arena where we find some of the most vigorous defences of the EU's fundamental values and appeals to safeguard the rule of law across the Union.Leveraging an original dataset of MEP statements from plenary debates over the last two EP terms (2009)(2010)(2011)(2012)(2013)(2014)(2015)(2016)(2017)(2018)(2019), this article examines the dynamics of norm contestation in the EP's responses to democratic backsliding.We observe a discursive polarisation primarily along ideological lines, with a notable slippage among European People's Party legislators who shift from scepticism towards EU intervention in rule of law matters to overt support.We show how Eurosceptic MEPs and those from backsliding countries seek to appeal to domestic voters by invoking negative partisanship and anti-Western resentment to discredit EU criticism.In contrast, pro-intervention MEPs situate their discourse at the supranational level and focus on defending European unity and the rule of law as shared identity.Overall, the growing contestation over the nature of fundamental values by Eurosceptics has crystallized a more vocal and differentiated engagement of Europhile MEPs in democratic backsliding debates.</w:t>
      </w:r>
    </w:p>
    <w:p>
      <w:pPr/>
      <w:r>
        <w:rPr>
          <w:b/>
        </w:rPr>
        <w:t>POSSIBLE 2023:</w:t>
      </w:r>
      <w:r>
        <w:t xml:space="preserve"> Polarisation Development at the European Spallation Source — https://doi.org/10.1051/epjconf/202328603004</w:t>
      </w:r>
    </w:p>
    <w:p>
      <w:pPr/>
      <w:r>
        <w:rPr>
          <w:b/>
        </w:rPr>
        <w:t>Shared claim-specific concepts:</w:t>
      </w:r>
      <w:r>
        <w:t xml:space="preserve"> polarisation, two, polarised; EU scope visible. This is a provisional connection, not an outcome finding.</w:t>
      </w:r>
    </w:p>
    <w:p>
      <w:pPr>
        <w:pStyle w:val="SourceNote"/>
      </w:pPr>
      <w:r>
        <w:rPr>
          <w:b/>
        </w:rPr>
        <w:t>Available abstract (not full text):</w:t>
      </w:r>
      <w:r>
        <w:t xml:space="preserve"> To meet the ever-increasing user demand, eleven of the fifteen European Spallation Source (ESS) instruments under construction aim to offer polarised neutrons for user experiments. They include an imaging instrument, a SANS instruments, two reflectometers, three diffractometers, and four spectrometers. In conjunction with in-kind contributions and instrumentation grants, the ESS Polarisation Project will support the incorporation of polarisation analysis on eight of the eleven instruments. The project aims to deliver polarised neutrons for first-science experiments as instruments enter operation. Different polariser and polarisation analyser techniques will be available to accommodate the specifics of experiments on a given instrument. Polarised 3He neutron spin filter using either Metastable Optical Pumping (MEOP) or Spin-Exchange Optical Pumping (SEOP) techniques will provide shared-use equipment among many instruments, with SEOP’s main application being in situ beam-polarisation. Several instruments will also use polarising-supermirror devices. To provide wide-bandwidth spin-flipping capability to the time-of-flight instruments, Adiabatic Fast Passage (AFP) neutron spin flippers, also known as gradient-field radiofrequency spin flippers will be the main method of choice. Devices based on the same AFP principle will also be used to flip 3He nuclear spins. We are constructing </w:t>
      </w:r>
    </w:p>
    <w:p>
      <w:pPr/>
      <w:r>
        <w:rPr>
          <w:b/>
        </w:rPr>
        <w:t>POSSIBLE 2022:</w:t>
      </w:r>
      <w:r>
        <w:t xml:space="preserve"> Transport policies and business practices during COVID-19 and their impact on the management of new transport mobility systems – introductory part — https://doi.org/10.3846/bm.2022.890</w:t>
      </w:r>
    </w:p>
    <w:p>
      <w:pPr/>
      <w:r>
        <w:rPr>
          <w:b/>
        </w:rPr>
        <w:t>Shared claim-specific concepts:</w:t>
      </w:r>
      <w:r>
        <w:t xml:space="preserve"> article, introductory, developed; EU scope visible. This is a provisional connection, not an outcome finding.</w:t>
      </w:r>
    </w:p>
    <w:p>
      <w:pPr>
        <w:pStyle w:val="SourceNote"/>
      </w:pPr>
      <w:r>
        <w:rPr>
          <w:b/>
        </w:rPr>
        <w:t>Available abstract (not full text):</w:t>
      </w:r>
      <w:r>
        <w:t xml:space="preserve"> The COVID-19 pandemic has had a profound effect on global economies. Transport was a particular sector of the economy that was particularly exposed to the spread of the virus. This has led to many changes in the management and the implementation of various types of business practices in the new mobility companies during the pandemic and post-pandemic periods. The work aimed to analyze the policies in the field of transport in pandemic times and the practices implemented and provided by enterprises in the field of new mobility, including companies sharing vehicles, e.g., car-sharing, bike-sharing, scooter-sharing, and ride-sharing. Furthermore, the article was used to indicate the changes that have occurred in the management of new mobility enterprises in companies operating in Asia, Europe, and America. The work is based on secondary data research and own research. The developed results indicate which operators made the most changes and which continents proposed the most changes to transport policies. The article supports the development of both new policies for the post-pandemic period and new business practices for companies in the new mobility services industry.</w:t>
      </w:r>
    </w:p>
    <w:p>
      <w:pPr/>
      <w:r>
        <w:rPr>
          <w:b/>
        </w:rPr>
        <w:t>POSSIBLE 2022:</w:t>
      </w:r>
      <w:r>
        <w:t xml:space="preserve"> Must Introductory Genetics Start with Mendel? — https://doi.org/10.1007/s11191-022-00361-z</w:t>
      </w:r>
    </w:p>
    <w:p>
      <w:pPr/>
      <w:r>
        <w:rPr>
          <w:b/>
        </w:rPr>
        <w:t>Shared claim-specific concepts:</w:t>
      </w:r>
      <w:r>
        <w:t xml:space="preserve"> introductory, two, developed; EU scope not established. This is a provisional connection, not an outcome finding.</w:t>
      </w:r>
    </w:p>
    <w:p>
      <w:pPr>
        <w:pStyle w:val="SourceNote"/>
      </w:pPr>
      <w:r>
        <w:rPr>
          <w:b/>
        </w:rPr>
        <w:t>Available abstract (not full text):</w:t>
      </w:r>
      <w:r>
        <w:t xml:space="preserve"> Abstract It is 157 years since Mendel presented his results on hybridisation in peas to the Brünn Society for Natural Science. The discipline of genetics has dramatically changed since then, with technological advancements revealing multifactorial causation and trait variability. Whilst none of this complexity featured in the discovery of classical genetics, Mendel and his peas still dominate teaching today. Must genetics always start from such a simplistic, determinist perspective? A number of recent studies (e.g. Donovan, 2021; Dougherty, 2010; Jamieson &amp; Radick, 2013) have made the case for emphasising the complexity of genetics from the beginning. In this study, I will examine the origins and fate of two earlier attempts at reform, from the 1970s and 1980s. One was from Steven Rose, a biochemist in London and founder of the British Society for Social Responsibility in Science, who developed a genetics course for distance teaching at the Open University. The other was from Garland Allen, a historian of science and influential writer of biology textbooks, including four editions of Study of Biology . Both tried to depart from the standard start-with-Mendel script, in ways that aimed to help students better appreciate not only the complexities of genetics but also embedding genetics—and genetic knowledge—in society. Both met significant resistance, with concerns varying from t</w:t>
      </w:r>
    </w:p>
    <w:p>
      <w:pPr/>
      <w:r>
        <w:rPr>
          <w:b/>
        </w:rPr>
        <w:t>POSSIBLE 2022:</w:t>
      </w:r>
      <w:r>
        <w:t xml:space="preserve"> Populism Put to the Polarisation Test: The 2019–20 Election Cycle in Italy — https://doi.org/10.4324/9781003317012-11</w:t>
      </w:r>
    </w:p>
    <w:p>
      <w:pPr/>
      <w:r>
        <w:rPr>
          <w:b/>
        </w:rPr>
        <w:t>Shared claim-specific concepts:</w:t>
      </w:r>
      <w:r>
        <w:t xml:space="preserve"> article, after, polarisation, two; EU scope visible. This is a provisional connection, not an outcome finding.</w:t>
      </w:r>
    </w:p>
    <w:p>
      <w:pPr>
        <w:pStyle w:val="SourceNote"/>
      </w:pPr>
      <w:r>
        <w:rPr>
          <w:b/>
        </w:rPr>
        <w:t>Available abstract (not full text):</w:t>
      </w:r>
      <w:r>
        <w:t xml:space="preserve"> One year after the birth of an unprecedented government characterised by the strong populist stance of both coalition partners (M5S and the Lega) and amid a growing polarisation in party positions on a number of political issues, the European and regional elections of 2019–20 marked an important test for Italy. After presenting the results of the 2019–20 election cycle, the article investigates the most salient lines of party competition and the varying degrees of polarisation. Our analysis shows two kinds of polarisation: the first being the intra-coalitional polarisation which characterised the first Conte government; while the second, affecting the party system as a whole, is driven by the electoral rise of far-right parties.</w:t>
      </w:r>
    </w:p>
    <w:p>
      <w:pPr>
        <w:pStyle w:val="Heading2"/>
      </w:pPr>
      <w:r>
        <w:t>629.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2024:</w:t>
      </w:r>
      <w:r>
        <w:t xml:space="preserve"> Internship Report at the EMCDDA 's Public Health Unit - Insights into the Medical Use of Psychedelic Substances in the EU: regulatory frameworks, public health challenges and future directions. — https://doi.org/10.34626/0gxt-rw14</w:t>
      </w:r>
    </w:p>
    <w:p>
      <w:pPr/>
      <w:r>
        <w:rPr>
          <w:b/>
        </w:rPr>
        <w:t>Shared claim-specific concepts:</w:t>
      </w:r>
      <w:r>
        <w:t xml:space="preserve"> emcdda, monitoring, challenges, health; EU scope visible. This is a provisional connection, not an outcome finding.</w:t>
      </w:r>
    </w:p>
    <w:p>
      <w:pPr>
        <w:pStyle w:val="SourceNote"/>
      </w:pPr>
      <w:r>
        <w:rPr>
          <w:b/>
        </w:rPr>
        <w:t>Available abstract (not full text):</w:t>
      </w:r>
      <w:r>
        <w:t xml:space="preserve"> Avanços recentes na aplicação médica de substâncias psicodélicas para uma série de transtornos de saúde mental e cuidados paliativos despertaram um interesse substancial em todo o mundo. Este interesse acrescido está enraizado no reconhecimento do potencial terapêutico de substâncias psicadélicas específicas e é alimentado pela necessidade de opções de tratamento eficazes para perturbações mentais complexas. Como resultado, surgiram quadros regulamentares diversos e em evolução em todo o mundo, levantando importantes desafios de saúde pública. Uma preocupação fundamental gira em torno do estabelecimento de quadros regulamentares robustos e da adaptação de políticas para garantir a utilização segura e equitativa de substâncias psicadélicas em ambientes médicos, minimizando assim os riscos potenciais. Este esforço implica navegar em intrincados cenários éticos e legais. Além disso, a supervisão regulamentar é indispensável para conter a proliferação de práticas psicadélicas não licenciadas ou ilícitas, que podem pôr em perigo os indivíduos que procuram tratamento. Para abordar estes cenários em evolução, o European Monitoring Centre for Drugs and Drug Addiction (EMCDDA) iniciou vários projetos destinados, em primeiro lugar, a melhorar a compreensão da utilização médica destas substâncias, incluindo investigação sobre a eficácia, os danos potenciais, os quadros regulamentares e as</w:t>
      </w:r>
    </w:p>
    <w:p>
      <w:pPr/>
      <w:r>
        <w:rPr>
          <w:b/>
        </w:rPr>
        <w:t>POSSIBLE 2024:</w:t>
      </w:r>
      <w:r>
        <w:t xml:space="preserve"> European Homicide Monitor: Research, New Developments, and Future — https://doi.org/10.1177/10439862241253386</w:t>
      </w:r>
    </w:p>
    <w:p>
      <w:pPr/>
      <w:r>
        <w:rPr>
          <w:b/>
        </w:rPr>
        <w:t>Shared claim-specific concepts:</w:t>
      </w:r>
      <w:r>
        <w:t xml:space="preserve"> approach, challenges; EU scope visible. This is a provisional connection, not an outcome finding.</w:t>
      </w:r>
    </w:p>
    <w:p>
      <w:pPr>
        <w:pStyle w:val="SourceNote"/>
      </w:pPr>
      <w:r>
        <w:rPr>
          <w:b/>
        </w:rPr>
        <w:t>Available abstract (not full text):</w:t>
      </w:r>
      <w:r>
        <w:t xml:space="preserve"> Homicide as the most serious form of lethal violence has always represented an important research focus in criminology. Much of the existing research, however, is based on aggregated homicide data and is limited to macrolevel analyses. The European Homicide Monitor (EHM) is an initiative promoting standardized international data collection, with the aim of collecting disaggregated and detailed data on homicide. Originally developed by researchers from the Netherlands, Sweden, and Finland, the EHM coding scheme is currently applied in several European countries. In this article, we take stock of the use of the EHM approach by describing its key principles and aims. We also review research conducted within the EHM framework and identify the most significant developments in its use, such as expanding to the Global South, to the historical past, and to more accurate measurement of drug-related incidents. We conclude this investigation by discussing the challenges facing future research in this domain.</w:t>
      </w:r>
    </w:p>
    <w:p>
      <w:pPr/>
      <w:r>
        <w:rPr>
          <w:b/>
        </w:rPr>
        <w:t>POSSIBLE 2024:</w:t>
      </w:r>
      <w:r>
        <w:t xml:space="preserve"> Progress and challenges in the elimination of hepatitis C among people who inject drugs in Germany: results of a pilot study for a national monitoring system, 10 years after the first data collection — https://doi.org/10.1186/s12954-024-01119-2</w:t>
      </w:r>
    </w:p>
    <w:p>
      <w:pPr/>
      <w:r>
        <w:rPr>
          <w:b/>
        </w:rPr>
        <w:t>Shared claim-specific concepts:</w:t>
      </w:r>
      <w:r>
        <w:t xml:space="preserve"> piloted, monitoring, system, help, challenges, health; EU scope visible. This is a provisional connection, not an outcome finding.</w:t>
      </w:r>
    </w:p>
    <w:p>
      <w:pPr>
        <w:pStyle w:val="SourceNote"/>
      </w:pPr>
      <w:r>
        <w:rPr>
          <w:b/>
        </w:rPr>
        <w:t>Available abstract (not full text):</w:t>
      </w:r>
      <w:r>
        <w:t xml:space="preserve"> BACKGROUND: People who inject drugs (PWID) are at high risk of blood-borne infections, and injection drug use contributes significantly to hepatitis C virus (HCV) transmission. The WHO has therefore set targets of reducing HCV incidence and prevalence among PWID and increasing treatment coverage to eliminate HCV by 2030. The DRUCK study (2011-2014) found high HCV prevalence and low treatment coverage among PWID in Germany. To assess progress in the elimination of HCV among PWID, we conducted a cross-sectional study in two German federal states that piloted a future monitoring. METHODS: PWID aged 16 + who injected drugs (previous 12 months) were recruited in low-threshold drug services and opioid agonist treatment (OAT) practices in Berlin and Bavaria between June 2021 and April 2022. Participants completed a questionnaire on sociodemographics, behaviours and access to care, and were tested for hepatitis B virus (HBV) and HCV, and HIV. Data was analysed regarding HCV prevalence, history of treatment, and risk and prevention behaviours. Results were compared with the DRUCK study. RESULTS: A total of 588 PWID, with a median age of 39 (range: 17-66) years and 68% (399/587) male, were included in the analysis. Of the participants, 61% (353/574) reported receiving OAT and 14% (66/469) recent use of shared needles/syringes during the last 30 days. History of imprisonment was reported </w:t>
      </w:r>
    </w:p>
    <w:p>
      <w:pPr/>
      <w:r>
        <w:rPr>
          <w:b/>
        </w:rPr>
        <w:t>POSSIBLE 2024:</w:t>
      </w:r>
      <w:r>
        <w:t xml:space="preserve"> Community mobilisation approaches to preventing adolescent multiple risk behaviour: a realist review — https://doi.org/10.1186/s13643-024-02450-2</w:t>
      </w:r>
    </w:p>
    <w:p>
      <w:pPr/>
      <w:r>
        <w:rPr>
          <w:b/>
        </w:rPr>
        <w:t>Shared claim-specific concepts:</w:t>
      </w:r>
      <w:r>
        <w:t xml:space="preserve"> approach, health, analysed; EU scope not established. This is a provisional connection, not an outcome finding.</w:t>
      </w:r>
    </w:p>
    <w:p>
      <w:pPr>
        <w:pStyle w:val="SourceNote"/>
      </w:pPr>
      <w:r>
        <w:rPr>
          <w:b/>
        </w:rPr>
        <w:t>Available abstract (not full text):</w:t>
      </w:r>
      <w:r>
        <w:t xml:space="preserve"> BACKGROUND: Adolescent multiple risk behaviour (MRB) is a global health issue. Most interventions have focused on the proximal causes of adolescent MRB such as peer or family influence, with systematic reviews reporting mixed evidence of effectiveness. There is increasing recognition that community mobilisation approaches could be beneficial for adolescent health. There are gaps in the current literature, theory and implementation that would benefit from a realist approach. We use a theory-driven evidence synthesis to assess how and why community mobilisation interventions work/do not work to prevent adolescent MRB and in what contexts. METHODS: This realist review used a six-stage iterative process, guided by the RAMESES framework. We systematically searched PubMed, MEDLINE, PsycINFO, Web of Science, CINAHL and Sociological Abstracts, from their inception to 2021. Studies were screened for relevance to the programme theory, assessed for rigour and included based on a priori criteria. Two independent reviewers selected, screened and extracted data from included studies. A realist logic of analysis was used to develop context-mechanism-outcome configurations that contributed to our programme theory. FINDINGS: We reviewed 35 documents describing 22 separate community mobilisation intervention studies. Most studies (n = 17) had a quality assessment score of three or four (out of f</w:t>
      </w:r>
    </w:p>
    <w:p>
      <w:pPr/>
      <w:r>
        <w:rPr>
          <w:b/>
        </w:rPr>
        <w:t>POSSIBLE 2023:</w:t>
      </w:r>
      <w:r>
        <w:t xml:space="preserve"> A methodology to explore the road safety impact of fitness to drive solutions for commercial drivers: The PANACEA project — https://doi.org/10.1016/j.trpro.2023.02.241</w:t>
      </w:r>
    </w:p>
    <w:p>
      <w:pPr/>
      <w:r>
        <w:rPr>
          <w:b/>
        </w:rPr>
        <w:t>Shared claim-specific concepts:</w:t>
      </w:r>
      <w:r>
        <w:t xml:space="preserve"> monitoring, system, health, drivers; EU scope visible. This is a provisional connection, not an outcome finding.</w:t>
      </w:r>
    </w:p>
    <w:p>
      <w:pPr>
        <w:pStyle w:val="SourceNote"/>
      </w:pPr>
      <w:r>
        <w:rPr>
          <w:b/>
        </w:rPr>
        <w:t>Available abstract (not full text):</w:t>
      </w:r>
      <w:r>
        <w:t xml:space="preserve"> In Europe, one in four road deaths occurred in an accident involving a goods vehicle in 2018 (ETSC 2020). Commercial drivers are at higher risk for suffering from physiological, psychological and prescribed medication and illicit drug use, including alcohol misuse. Fitness to drive or driver state monitoring systems integrate technologies able to detect altered driver states and provide them feedback. They constitute an emerging phenomenon, and their effects on changing people's behaviour to drive more safely, and in general, their impact on road safety should be better investigated. The scope of this paper is to present a methodology able to simulate different scenarios to understand how a driver state monitoring system can support improving road safety in the European Union. A conceptual framework is presented to support the definition of the impact assessment methodology and is applied to the PANACEA European research project. The project develops an integrated solution for driving ability assessment of commercial drivers, paired with a countermeasure and coaching solution. The PANACEA system uses algorithms and technologies for detecting, monitoring and assessing alcohol consumption, licit (barbituric) and illicit (methadone substitute) drugs, fatigue and cognitive load (Commercial Health Toolkits (CHTs)). It also provides strategic, tactical and operational countermeasures</w:t>
      </w:r>
    </w:p>
    <w:p>
      <w:pPr/>
      <w:r>
        <w:rPr>
          <w:b/>
        </w:rPr>
        <w:t>POSSIBLE 2023:</w:t>
      </w:r>
      <w:r>
        <w:t xml:space="preserve"> Understanding the illegal drug supply chain structure: a value chain analysis of the supply of hashish to Europe — https://doi.org/10.1057/s41599-023-01770-3</w:t>
      </w:r>
    </w:p>
    <w:p>
      <w:pPr/>
      <w:r>
        <w:rPr>
          <w:b/>
        </w:rPr>
        <w:t>Shared claim-specific concepts:</w:t>
      </w:r>
      <w:r>
        <w:t xml:space="preserve"> system, health, implications; EU scope visible. This is a provisional connection, not an outcome finding.</w:t>
      </w:r>
    </w:p>
    <w:p>
      <w:pPr>
        <w:pStyle w:val="SourceNote"/>
      </w:pPr>
      <w:r>
        <w:rPr>
          <w:b/>
        </w:rPr>
        <w:t>Available abstract (not full text):</w:t>
      </w:r>
      <w:r>
        <w:t xml:space="preserve"> Abstract Despite the social, health, law enforcement, and economic importance of illegal drug supply, the lack of information and understanding regarding these supply chains stands out. This paper carries out a disaggregated analysis of the structure of the hashish supply chain from Morocco to Europe to explain the value contributions at each level, the end-price formation, and the supply chain management practices. The methodology adopted is based on a mixed method of data collection where the primary data are gathered from field interviews with cannabis producers and dealers and secondary information is obtained from official statistics, research papers, informational reports, and documentaries. We review supply and value chain frameworks through the lens of cost–benefit analysis. Our main findings show an unequal contribution on the part of the different levels of distribution, with end-user prices increasing by 7000% of the cost of production during the supply chain. The chain also has high variable costs but limited fixed ones, exacerbating the lack of stability and fostering continuous adaptation. We also detect a reluctance to raise end-user prices but a great propensity to change quality. This research may have implications for several stakeholders. In the case of dealers, we find that they have created a supply-push system thanks to their dominant power, leaning on inf</w:t>
      </w:r>
    </w:p>
    <w:p>
      <w:pPr/>
      <w:r>
        <w:rPr>
          <w:b/>
        </w:rPr>
        <w:t>POSSIBLE 2022:</w:t>
      </w:r>
      <w:r>
        <w:t xml:space="preserve"> Interventions to increase linkage to care and adherence to treatment for hepatitis C among people who inject drugs: A systematic review and practical considerations from an expert panel consultation — https://doi.org/10.1016/j.drugpo.2022.103588</w:t>
      </w:r>
    </w:p>
    <w:p>
      <w:pPr/>
      <w:r>
        <w:rPr>
          <w:b/>
        </w:rPr>
        <w:t>Shared claim-specific concepts:</w:t>
      </w:r>
      <w:r>
        <w:t xml:space="preserve"> emcdda, activities, increase, health, areas; EU scope not established. This is a provisional connection, not an outcome finding.</w:t>
      </w:r>
    </w:p>
    <w:p>
      <w:pPr>
        <w:pStyle w:val="SourceNote"/>
      </w:pPr>
      <w:r>
        <w:rPr>
          <w:b/>
        </w:rPr>
        <w:t>Available abstract (not full text):</w:t>
      </w:r>
      <w:r>
        <w:t xml:space="preserve"> BACKGROUND: Following advances in treatment for hepatitis C (HCV), optimizing linkage to care and adherence to treatment of people who inject drugs became of pivotal importance. An ECDC/EMCDDA stakeholders survey in 2018 indicated that two components of the cascade of care, linkage to care and adherence to treatment, were priority areas for inclusion in the updated guidance, planned for publication in 2022. This systematic review was commissioned with the aim to evaluate the effectiveness of interventions on HCV linkage to care and adherence to treatment among people who inject drugs. METHODS: The full study protocol is available at PROSPERO (2020 CRD42020191116). We searched five databases to identify studies published between 2011 and 2020. Studies were included if they had a comparative study design and reported on the primary outcomes for linkage to care (visits, treatment initiation) and/or adherence to treatment (treatment adherence, treatment completion, SVR12) among people who inject drugs/people receiving opioid substitution therapy. Following the risk of bias (EPHPP) and quality of evidence assessment (GRADE), evidence to decision tables were produced and shared for critical review with an expert panel convened by ECDC and EMCDDA. The expert panel provided further considerations on the benefit, acceptability, and transferability of interventions. RESULTS: Fourteen stu</w:t>
      </w:r>
    </w:p>
    <w:p>
      <w:pPr>
        <w:pStyle w:val="Heading2"/>
      </w:pPr>
      <w:r>
        <w:t>630.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2024:</w:t>
      </w:r>
      <w:r>
        <w:t xml:space="preserve"> Overcoming the central planner approach – Bilevel optimization of the European energy transition — https://doi.org/10.1016/j.isci.2024.110168</w:t>
      </w:r>
    </w:p>
    <w:p>
      <w:pPr/>
      <w:r>
        <w:rPr>
          <w:b/>
        </w:rPr>
        <w:t>Shared claim-specific concepts:</w:t>
      </w:r>
      <w:r>
        <w:t xml:space="preserve"> central, energy, system, find; EU scope visible. This is a provisional connection, not an outcome finding.</w:t>
      </w:r>
    </w:p>
    <w:p>
      <w:pPr>
        <w:pStyle w:val="SourceNote"/>
      </w:pPr>
      <w:r>
        <w:rPr>
          <w:b/>
        </w:rPr>
        <w:t>Available abstract (not full text):</w:t>
      </w:r>
      <w:r>
        <w:t xml:space="preserve"> The energy transition is a multinational challenge to mitigate climate change, with a joint reduction target for greenhouse gas emissions. Simultaneously, each country is interested in minimizing its own energy supply cost. Still, most energy system models neglect national interests when identifying cost-optimal transition pathways. We design the European energy system transition until 2050, considering competition between countries in a shared electricity and carbon market using bilevel optimization. We find that national objectives substantially impact the transition pathway: Compared to the model solved using the common centralized optimization, the overall installed capacity increases by just 3% when including national interests. However, the distribution of the installed capacity changes dramatically by more than 40% in most countries. Our results underline the risk of miscalculating the need for national capacity expansion when neglecting stakeholder representation in energy system models and demonstrate the need for cooperation for an efficient energy transition.</w:t>
      </w:r>
    </w:p>
    <w:p>
      <w:pPr/>
      <w:r>
        <w:rPr>
          <w:b/>
        </w:rPr>
        <w:t>POSSIBLE 2024:</w:t>
      </w:r>
      <w:r>
        <w:t xml:space="preserve"> Study of the feasibility of energy transition policies applicable in Colombia based on the analysis of international references. — https://openalex.org/W7133450036</w:t>
      </w:r>
    </w:p>
    <w:p>
      <w:pPr/>
      <w:r>
        <w:rPr>
          <w:b/>
        </w:rPr>
        <w:t>Shared claim-specific concepts:</w:t>
      </w:r>
      <w:r>
        <w:t xml:space="preserve"> based, energy, policies; EU scope not established. This is a provisional connection, not an outcome finding.</w:t>
      </w:r>
    </w:p>
    <w:p>
      <w:pPr>
        <w:pStyle w:val="SourceNote"/>
      </w:pPr>
      <w:r>
        <w:rPr>
          <w:b/>
        </w:rPr>
        <w:t>Available abstract (not full text):</w:t>
      </w:r>
      <w:r>
        <w:t xml:space="preserve"> La transición energética es cada día una realidad más cercana a la nuestra razón por la cual en 2015 se firmó el acuerdo de Paris, el cual, propone llegar a la carbono neutralidad para el año 2050 manteniendo el aumento de la temperatura hasta un nivel máximo de 1.5°C por encima de los niveles preindustriales como su objetivo principal. En la COP 27 realizada el año 2022, 7 años después de la firma del acuerdo los balances realizados por la ONU no muestran resultados alentadores, con la tendencia global actual para el año 2030 se registrarían temperaturas 10% mayores a las registradas en el año 2010. Situación crítica que obliga a intensificar los esfuerzos de manera global, en este orden de ideas y entendiendo que los contextos para llevar a cabo transiciones exitosas son diferentes para cada país, se intentan identificar diferentes estrategias y estructuras que se acomoden al contexto colombiano, partiendo del estudio de referentes internacionales con modelos de transición energética avanzados.</w:t>
      </w:r>
    </w:p>
    <w:p>
      <w:pPr/>
      <w:r>
        <w:rPr>
          <w:b/>
        </w:rPr>
        <w:t>POSSIBLE 2024:</w:t>
      </w:r>
      <w:r>
        <w:t xml:space="preserve"> Impacts of large-scale deployment of vertical bifacial photovoltaics on European electricity market dynamics — https://doi.org/10.1038/s41467-024-50762-7</w:t>
      </w:r>
    </w:p>
    <w:p>
      <w:pPr/>
      <w:r>
        <w:rPr>
          <w:b/>
        </w:rPr>
        <w:t>Shared claim-specific concepts:</w:t>
      </w:r>
      <w:r>
        <w:t xml:space="preserve"> energy, system, policies, introduced; EU scope visible. This is a provisional connection, not an outcome finding.</w:t>
      </w:r>
    </w:p>
    <w:p>
      <w:pPr>
        <w:pStyle w:val="SourceNote"/>
      </w:pPr>
      <w:r>
        <w:rPr>
          <w:b/>
        </w:rPr>
        <w:t>Available abstract (not full text):</w:t>
      </w:r>
      <w:r>
        <w:t xml:space="preserve"> Self-sufficiency, climate change and increasing geopolitical risks have driven energy policies to make renewable energy sources dominant in the power production portfolios. The initial boom in the mid-2000s of global photovoltaic installations demonstrated the feasibility of the ambitious renewable energy targets. However, this rapid scale-up has introduced challenges, including price volatility and system integration issues. This communication calls the attention to these emerging challenges and offers quantitative insights on how rapid adoption of a more diversified photovoltaics deployment strategies can mitigate price volatilities, reduce fossil fuel dependence and steer Europe towards a forward-thinking sustainable energy pathway. The analysis reveals that as innovative bifacial photovoltaic systems are incorporated on a large-scale disruptive scenario, four main patterns emerge: economic value of solar production increases, base-load electricity price decreases, sun-rich countries expand their solar contributions, whereas nations with ample grid interconnections enhance their energy imports from neighbouring countries. It also underscores the importance of maintaining photovoltaics an attractive option for energy investors and traders in the future. Establishing this groundwork is critical since a successful integration of large-scale solar systems contributing to decreas</w:t>
      </w:r>
    </w:p>
    <w:p>
      <w:pPr/>
      <w:r>
        <w:rPr>
          <w:b/>
        </w:rPr>
        <w:t>POSSIBLE 2023:</w:t>
      </w:r>
      <w:r>
        <w:t xml:space="preserve"> “The heat of a multitudinous assembly”: Striking short fiction and the rise of feminist potencia — https://doi.org/10.1111/lic3.12740</w:t>
      </w:r>
    </w:p>
    <w:p>
      <w:pPr/>
      <w:r>
        <w:rPr>
          <w:b/>
        </w:rPr>
        <w:t>Shared claim-specific concepts:</w:t>
      </w:r>
      <w:r>
        <w:t xml:space="preserve"> based, potencia, energy, potential; EU scope not established. This is a provisional connection, not an outcome finding.</w:t>
      </w:r>
    </w:p>
    <w:p>
      <w:pPr>
        <w:pStyle w:val="SourceNote"/>
      </w:pPr>
      <w:r>
        <w:rPr>
          <w:b/>
        </w:rPr>
        <w:t>Available abstract (not full text):</w:t>
      </w:r>
      <w:r>
        <w:t xml:space="preserve"> Abstract This article considers how a recent wave of Latin American short fiction captures with immediate topicality new forms of transversal political subjectivity engendered by the international feminist reinvention of the strike in the 21st century. Drawing on Verónica Gago's theorization of the political cartography of feminist potencia (power), alongside the work of Silvia Federici, Rita Segato and Sayak Valencia, it considers how the short story form facilitates a strategic recognition of interconnected violences perpetrated against women and feminized bodies, “mapping forms of violence based on their organic connection, without losing sight of the singularity of the production of the nexus between them” (Gago, 2020, p. 58). In particular, the article examines two exemplary short story collections, Cars on Fire (2020) by Mónica Ramón Ríos and Things We Lost in the Fire (2017) by Mariana Enríquez, considering how these writers repurpose the potential for socio‐criticism embedded in the fantastical short story by offering a multi‐focal critique of how patriarchy and gender violence interact with the structural inequalities unleashed by neoliberal capitalism. The article also considers how these riotous collections mediate the transversal fabric of communitarian struggle in feminist imaginaries, drawing narrative energy from the localised proliferation of neighbourhood assem</w:t>
      </w:r>
    </w:p>
    <w:p>
      <w:pPr/>
      <w:r>
        <w:rPr>
          <w:b/>
        </w:rPr>
        <w:t>POSSIBLE 2023:</w:t>
      </w:r>
      <w:r>
        <w:t xml:space="preserve"> Energy management in collaborative power electronics-based microgrid integrated with renewable energies — https://doi.org/10.5821/dissertation-2117-399823</w:t>
      </w:r>
    </w:p>
    <w:p>
      <w:pPr/>
      <w:r>
        <w:rPr>
          <w:b/>
        </w:rPr>
        <w:t>Shared claim-specific concepts:</w:t>
      </w:r>
      <w:r>
        <w:t xml:space="preserve"> based, energy, introduced, potential, specifically; EU scope not established. This is a provisional connection, not an outcome finding.</w:t>
      </w:r>
    </w:p>
    <w:p>
      <w:pPr>
        <w:pStyle w:val="SourceNote"/>
      </w:pPr>
      <w:r>
        <w:rPr>
          <w:b/>
        </w:rPr>
        <w:t>Available abstract (not full text):</w:t>
      </w:r>
      <w:r>
        <w:t xml:space="preserve"> (English) This thesis is introduced the research performed on microgrid applications, especially in cooperative operating mode. The research is conducted considering two main challenging aspects of microgrid operation over the last years. The reliable and optimum operation of microgrids is surveyed by focusing on: energy management systems, specifically in collaborative microgrid operation and robust power electronics interfaces. This thesis presents a comprehensive review of optimization methods for individual and community microgrids. In addition, different control strategies applied in microgrid systems are studied. The potential pros and cons of various control strategies are analyzed, and the background studies bring brilliant and smart solutions for optimal control in a networked microgrid. A supervised and unsupervised learning clustering is developed in order to control a networked microgrid consisting of industrial, commercial, and residential microgrids. The clustering algorithms are performed based on the maximum load demand and operating reserve of the microgrid. Furthermore, a component size procedure for dispatchable units in a networked microgrid is presented. The proposed algorithm evaluates the component size considering the operating reserve of microgrids. To diminish the adverse effect of component size reduction on microgrids’ reliability, the proposed reduc</w:t>
      </w:r>
    </w:p>
    <w:p>
      <w:pPr/>
      <w:r>
        <w:rPr>
          <w:b/>
        </w:rPr>
        <w:t>POSSIBLE 2023:</w:t>
      </w:r>
      <w:r>
        <w:t xml:space="preserve"> Analysis of European-policies and incentives for microgrids — https://doi.org/10.24084/reepqj23.209</w:t>
      </w:r>
    </w:p>
    <w:p>
      <w:pPr/>
      <w:r>
        <w:rPr>
          <w:b/>
        </w:rPr>
        <w:t>Shared claim-specific concepts:</w:t>
      </w:r>
      <w:r>
        <w:t xml:space="preserve"> based, energy, introduced; EU scope visible. This is a provisional connection, not an outcome finding.</w:t>
      </w:r>
    </w:p>
    <w:p>
      <w:pPr>
        <w:pStyle w:val="SourceNote"/>
      </w:pPr>
      <w:r>
        <w:rPr>
          <w:b/>
        </w:rPr>
        <w:t>Available abstract (not full text):</w:t>
      </w:r>
      <w:r>
        <w:t xml:space="preserve"> One of the best solutions to face the problems in the current European electric systems is based on the implementation of microgrids as a way of increasing the consumption from renewable energy (RE) sources, improving energy efficiency, decreasing GHG emissions and, as a consequence, complying with European Commission (EC) 2020 targets.In this line, different EU regulations have been established but the particularities of each member state regulatory framework could appear as a barrier.For this reason, it is important to study how member states are carrying out the tasks associated with the penetration of microgrids, studying how European directives are transposed and incentives introduced.Besides, representative projects and demonstration cases for microgrids are shown, in order to determine the feasibility of the introduction of this novel concept in real situations.</w:t>
      </w:r>
    </w:p>
    <w:p>
      <w:pPr/>
      <w:r>
        <w:rPr>
          <w:b/>
        </w:rPr>
        <w:t>POSSIBLE 2023:</w:t>
      </w:r>
      <w:r>
        <w:t xml:space="preserve"> Evolution of digital activism on social media: opportunities and challenges — https://doi.org/10.3145/epi.2023.may.03</w:t>
      </w:r>
    </w:p>
    <w:p>
      <w:pPr/>
      <w:r>
        <w:rPr>
          <w:b/>
        </w:rPr>
        <w:t>Shared claim-specific concepts:</w:t>
      </w:r>
      <w:r>
        <w:t xml:space="preserve"> based, evolution, assumption; EU scope not established. This is a provisional connection, not an outcome finding.</w:t>
      </w:r>
    </w:p>
    <w:p>
      <w:pPr>
        <w:pStyle w:val="SourceNote"/>
      </w:pPr>
      <w:r>
        <w:rPr>
          <w:b/>
        </w:rPr>
        <w:t>Available abstract (not full text):</w:t>
      </w:r>
      <w:r>
        <w:t xml:space="preserve"> The social media revolution has affected all areas, including activism. However, there is scepticism about its emancipatory capacity, and it is considered by some to be a distorted form of activism. This article presents a review of the existing literature on digital activism, starting with the concept itself, and examines its impact on the organisation of activists and citizen participation. Likewise, based on the platformisation of these spaces and the evolution of their affordances, we observe a growth in individual, strategic and low-commitment participation, the accentuation of the role of emotions in media that promote virality, and the assumption of playful forms of politainment by activists –especially on TikTok–. On the other hand, the strategies carried out by organisations to promote activism in relation to their causes are investigated, such as the generation of arguments provided by the interest group and the involvement in an action of dissemination, co-creation and replication of activists. Finally, the main challenges of digital activism are indicated: the growing inequality in terms of access to algorithmic visibility between activists and brands, influencers and interest groups; the desirability of complementing playful activism with work in alternative digital media that allows for more stable forms of collaboration; and the need to protect activists against </w:t>
      </w:r>
    </w:p>
    <w:p>
      <w:pPr/>
      <w:r>
        <w:rPr>
          <w:b/>
        </w:rPr>
        <w:t>POSSIBLE 2022:</w:t>
      </w:r>
      <w:r>
        <w:t xml:space="preserve"> Existing tools, user needs and required model adjustments for energy demand modelling of a carbon-neutral Europe — https://doi.org/10.1016/j.erss.2022.102662</w:t>
      </w:r>
    </w:p>
    <w:p>
      <w:pPr/>
      <w:r>
        <w:rPr>
          <w:b/>
        </w:rPr>
        <w:t>Shared claim-specific concepts:</w:t>
      </w:r>
      <w:r>
        <w:t xml:space="preserve"> based, energy, further, policies; EU scope visible. This is a provisional connection, not an outcome finding.</w:t>
      </w:r>
    </w:p>
    <w:p>
      <w:pPr>
        <w:pStyle w:val="SourceNote"/>
      </w:pPr>
      <w:r>
        <w:rPr>
          <w:b/>
        </w:rPr>
        <w:t>Available abstract (not full text):</w:t>
      </w:r>
      <w:r>
        <w:t xml:space="preserve"> To achieve the European Union's target for climate neutrality by 2050 reduced energy demand will make the transition process faster and cheaper. The role of policies that support energy efficiency measures and demand-side management practices will be critical and to ensure that energy demand models are relevant to policymakers and other end-users, understanding how to further improve the models and whether they are tailored to user needs to support efficient decision-making processes is crucial. So far though, no scientific studies have examined the key user needs for energy demand modelling in the context of the climate neutrality targets. In this article we address this gap using a multi-method approach based on empirical and desk research. Through survey and stakeholder meetings and workshops we identify user needs of different stakeholder groups, and we highlight the direction in which energy demand models need to be improved to be relevant to their users. Through a detailed review of existing energy demand models, we provide a full understanding of the key characteristics and capabilities of existing tools, and we identify their limitations and gaps. Our findings show that classical demand-related questions remain important to model users, while most of the existing models can answer these questions. Furthermore, we show that some of the user needs related to sectoral dema</w:t>
      </w:r>
    </w:p>
    <w:p>
      <w:pPr/>
      <w:r>
        <w:rPr>
          <w:b/>
        </w:rPr>
        <w:t>POSSIBLE 2022:</w:t>
      </w:r>
      <w:r>
        <w:t xml:space="preserve"> A high-performance electromagnetic vibration energy harvester based on ring magnets with Halbach configuration: design, optimization, and applications — https://doi.org/10.5821/dissertation-2117-377146</w:t>
      </w:r>
    </w:p>
    <w:p>
      <w:pPr/>
      <w:r>
        <w:rPr>
          <w:b/>
        </w:rPr>
        <w:t>Shared claim-specific concepts:</w:t>
      </w:r>
      <w:r>
        <w:t xml:space="preserve"> based, potencia, energy, system, further, potential; EU scope not established. This is a provisional connection, not an outcome finding.</w:t>
      </w:r>
    </w:p>
    <w:p>
      <w:pPr>
        <w:pStyle w:val="SourceNote"/>
      </w:pPr>
      <w:r>
        <w:rPr>
          <w:b/>
        </w:rPr>
        <w:t>Available abstract (not full text):</w:t>
      </w:r>
      <w:r>
        <w:t xml:space="preserve"> Electromagnetic vibration energy harvesting is a relatively modern technology that has received relevant attention in the last decade from the research community and industry as a potential complement or alternative to the inconvenient employment of batteries for powering ultra-low-power devices, microelectromechanical systems, and wireless sensor networks. However, there are still many flaws in this technology that require to be addressed to develop truly practical, reliable, and cost-effective electromagnetic generators, without which industries can still not avoid relying primarily on batteries for powering wireless devices. This dissertation is mainly concerned with developing a high-power, compact, and yet simplified electromagnetic vibration energy harvester capable of reaching high power density levels without the necessity of a complex design, which is generally accompanied by an increment in fabrication costs. For this purpose, a ring-shaped magnet structure consisting of three ring magnets in a linear Halbach configuration is proposed in the present thesis. This particular structure is also compared, in terms of their output performance, with several ring magnet arrangements that include single magnets, double magnet arrays, and an alternative Halbach configuration to determine the actual benefits of the employed Halbach array within the proposed architecture. Also, t</w:t>
      </w:r>
    </w:p>
    <w:p>
      <w:pPr>
        <w:pStyle w:val="Heading2"/>
      </w:pPr>
      <w:r>
        <w:t>631.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2025:</w:t>
      </w:r>
      <w:r>
        <w:t xml:space="preserve"> Decadal Prediction for the European Energy Sector — https://doi.org/10.1002/met.70054</w:t>
      </w:r>
    </w:p>
    <w:p>
      <w:pPr/>
      <w:r>
        <w:rPr>
          <w:b/>
        </w:rPr>
        <w:t>Shared claim-specific concepts:</w:t>
      </w:r>
      <w:r>
        <w:t xml:space="preserve"> power, sector, share, electricity, wind, climate; EU scope visible. This is a provisional connection, not an outcome finding.</w:t>
      </w:r>
    </w:p>
    <w:p>
      <w:pPr>
        <w:pStyle w:val="SourceNote"/>
      </w:pPr>
      <w:r>
        <w:rPr>
          <w:b/>
        </w:rPr>
        <w:t>Available abstract (not full text):</w:t>
      </w:r>
      <w:r>
        <w:t xml:space="preserve"> ABSTRACT The timescale of decadal climate predictions, from a year‐ahead up to a decade, is an important planning horizon for stakeholders in the energy sector. With power systems transitioning towards a greater share of renewable energy sources, these systems become more sensitive to the variability of weather and climate, thus necessitating the provision of long‐range climate predictions to ensure effective planning and operation. As decadal predictions sample both the internal variability of the climate and the externally forced response, these forecasts potentially provide useful information for the upcoming decade. Here, we show for the first time that it is possible to make skillful decadal predictions for a range of energy sector relevant climate variables over the European region. We apply post‐processing techniques and identify skill in certain regions during both summer and winter for temperature, solar irradiance, and precipitation. We also show significant skill for 850 hPa zonal wind speed and the North Atlantic Oscillation during the extended winter period (October–March). We demonstrate how these forecasts can be used for important energy indicators, such as offshore wind capacity factors, comparing the skill of direct model output (using forecast variables directly) and pattern‐based approaches (e.g., using the NAO index). We find significant skill for predictio</w:t>
      </w:r>
    </w:p>
    <w:p>
      <w:pPr/>
      <w:r>
        <w:rPr>
          <w:b/>
        </w:rPr>
        <w:t>POSSIBLE 2025:</w:t>
      </w:r>
      <w:r>
        <w:t xml:space="preserve"> Decoupling carbon emissions from power sector growth in Indonesia — https://doi.org/10.1007/s44274-025-00426-0</w:t>
      </w:r>
    </w:p>
    <w:p>
      <w:pPr/>
      <w:r>
        <w:rPr>
          <w:b/>
        </w:rPr>
        <w:t>Shared claim-specific concepts:</w:t>
      </w:r>
      <w:r>
        <w:t xml:space="preserve"> power, sector, electricity, energy; EU scope not established. This is a provisional connection, not an outcome finding.</w:t>
      </w:r>
    </w:p>
    <w:p>
      <w:pPr>
        <w:pStyle w:val="SourceNote"/>
      </w:pPr>
      <w:r>
        <w:rPr>
          <w:b/>
        </w:rPr>
        <w:t>Available abstract (not full text):</w:t>
      </w:r>
      <w:r>
        <w:t xml:space="preserve"> Abstract As a major emitter in Indonesia’s fossil fuel–dominated energy system, the electricity sector plays a pivotal role in driving the country’s low-carbon transition. Thus, this paper examined the decoupling status and driving factors of CO₂ emissions in Indonesia from 2001 to 2023 by developing a comprehensive framework that integrates the Tapio decoupling model with the LMDI decomposition technique. Strong decoupling occurred only in a few periods (e.g., 2008–2009, 2015–2016, 2017–2018), while most years exhibited either relative decoupling or no decoupling. Further analysis reveals that electricity output is the primary driver of carbon emission growth, while improvements in energy intensity are the most significant factor in reducing emissions. The contributions of power generation structure and energy mix to emission mitigation remain relatively modest, while the influence of emission factors is negligible. These findings underscore the urgent need for Indonesia to improve energy efficiency, accelerate renewable energy deployment, and establish a more stable and systematic decarbonization framework for its power sector.</w:t>
      </w:r>
    </w:p>
    <w:p>
      <w:pPr/>
      <w:r>
        <w:rPr>
          <w:b/>
        </w:rPr>
        <w:t>POSSIBLE 2024:</w:t>
      </w:r>
      <w:r>
        <w:t xml:space="preserve"> What pace for direct electrification? Insights from co-optimised pathways in the European chemical and power sector — https://doi.org/10.1016/j.ecmx.2024.100839</w:t>
      </w:r>
    </w:p>
    <w:p>
      <w:pPr/>
      <w:r>
        <w:rPr>
          <w:b/>
        </w:rPr>
        <w:t>Shared claim-specific concepts:</w:t>
      </w:r>
      <w:r>
        <w:t xml:space="preserve"> power, sector, decarbonised, climate, energy; EU scope visible. This is a provisional connection, not an outcome finding.</w:t>
      </w:r>
    </w:p>
    <w:p>
      <w:pPr>
        <w:pStyle w:val="SourceNote"/>
      </w:pPr>
      <w:r>
        <w:rPr>
          <w:b/>
        </w:rPr>
        <w:t>Available abstract (not full text):</w:t>
      </w:r>
      <w:r>
        <w:t xml:space="preserve"> • Analysis of the chemical sector electrification using a novel supply-chain model. • Integrated sector-coupling with a power sector investment model. • Disregarding co-optimization could result in above 3% net present cost underestimation. • A carbon price &gt; 200 EUR/tCO2 by 2050 is needed to achieve climate neutrality. • Doubling of the chemical sector power consumption is likely. Decision makers and private investors impacted by the evolution of the carbon price should limit risks associated with investments in decarbonised options, notably for electrified options. This research demonstrates that considering only static future power prices and carbon content might be insufficient when accelerated sectoral electrification effort is foreseen. To illustrate the phenomenon, this research focuses on the conditions and the extent of electrification in decarbonising the chemical sector in Central-West Europe. Specifically, energy transition pathways until 2050 are considered for the power and the chemical sectors using a novel co-optimisation model, minimising the net present cost of both sectors and considering different carbon price scenarios and deployment rates. The findings indicate that not accounting for the power sector constraints when assessing the chemical sector’s transition pathways overestimates greenhouse gas (GHG) reduction potential and underestimates the net presen</w:t>
      </w:r>
    </w:p>
    <w:p>
      <w:pPr/>
      <w:r>
        <w:rPr>
          <w:b/>
        </w:rPr>
        <w:t>POSSIBLE 2024:</w:t>
      </w:r>
      <w:r>
        <w:t xml:space="preserve"> Analysis of the power sector in Bangladesh: current trends, challenges, and future perspectives — https://doi.org/10.11591/eei.v13i6.7503</w:t>
      </w:r>
    </w:p>
    <w:p>
      <w:pPr/>
      <w:r>
        <w:rPr>
          <w:b/>
        </w:rPr>
        <w:t>Shared claim-specific concepts:</w:t>
      </w:r>
      <w:r>
        <w:t xml:space="preserve"> power, sector, electricity, energy; EU scope not established. This is a provisional connection, not an outcome finding.</w:t>
      </w:r>
    </w:p>
    <w:p>
      <w:pPr>
        <w:pStyle w:val="SourceNote"/>
      </w:pPr>
      <w:r>
        <w:rPr>
          <w:b/>
        </w:rPr>
        <w:t>Available abstract (not full text):</w:t>
      </w:r>
      <w:r>
        <w:t xml:space="preserve"> Bangladesh’s economic development is largely dependent on the power sector, which promotes sustainability and growth. The country’s future energy security, however, is seriously threatened by the natural gas reserves running out by 2028. As a result, the current energy mix has to be modified right away to ensure Bangladesh’s sustained economic growth. This research paper offers a thorough analysis of Bangladesh’s power sector’s current state. With a focus on important metrics like installed capacity, electricity generation, and distribution infrastructure, the study seeks to provide insights into the sector’s opportunities, challenges, and strengths. The research highlighting the importance of energy security and forecasting the projected energy demand in Bangladesh. The study also looks at current projects and advancements that have shaped Bangladesh’s power industry. This research also provides an ideal energy option that supports Bangladesh's sustainable growth. This analysis offers significant insights into the dynamics of the power industry in Bangladesh, elucidating it is present trajectory, the challenges it encounters, and the potential avenues for achieving a more sustainable and resilient energy future.</w:t>
      </w:r>
    </w:p>
    <w:p>
      <w:pPr/>
      <w:r>
        <w:rPr>
          <w:b/>
        </w:rPr>
        <w:t>POSSIBLE 2024:</w:t>
      </w:r>
      <w:r>
        <w:t xml:space="preserve"> Environmental Violations in the Power Sector: Accountability and Community Welfare — https://doi.org/10.67929/ecgi-fin-1019-2024</w:t>
      </w:r>
    </w:p>
    <w:p>
      <w:pPr/>
      <w:r>
        <w:rPr>
          <w:b/>
        </w:rPr>
        <w:t>Shared claim-specific concepts:</w:t>
      </w:r>
      <w:r>
        <w:t xml:space="preserve"> power, sector, electricity; EU scope not established. This is a provisional connection, not an outcome finding.</w:t>
      </w:r>
    </w:p>
    <w:p>
      <w:pPr>
        <w:pStyle w:val="SourceNote"/>
      </w:pPr>
      <w:r>
        <w:rPr>
          <w:b/>
        </w:rPr>
        <w:t>Available abstract (not full text):</w:t>
      </w:r>
      <w:r>
        <w:t xml:space="preserve"> This study examines how U.S. power sector firms respond to environmental regulation violations, focusing on facilities flagged by the EPA for non-compliance. In response, these plants implement various strategies to reduce air pollution and prevent future violations, including cutting electricity generation, improving fuel quality, reducing coal use, installing scrubbers, enhancing pollution controls, and investing in energy-efficient generators. Organizational efficiencies and government subsidies further strengthen these efforts. While these actions aid environmental recovery, the costs of compliance are often passed on to local communities through higher electricity prices, raising concerns about social equity. Following a violation, firms generally experience increases in assets, capital expenditures, debt, revenues, and electricity prices, yet operating income remains unaffected. Our findings highlight that while market competition and government subsidies can help alleviate some of the financial burden on consumers, these subsidies often fall short in promoting the long-term investments in advanced technologies necessary for sustained environmental progress.</w:t>
      </w:r>
    </w:p>
    <w:p>
      <w:pPr>
        <w:pStyle w:val="Heading2"/>
      </w:pPr>
      <w:r>
        <w:t>632.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2024:</w:t>
      </w:r>
      <w:r>
        <w:t xml:space="preserve"> Women’s Leadership in Organizations as a Pathway to Ukraine’s European Integration — https://doi.org/10.32983/2222-4459-2024-11-377-386</w:t>
      </w:r>
    </w:p>
    <w:p>
      <w:pPr/>
      <w:r>
        <w:rPr>
          <w:b/>
        </w:rPr>
        <w:t>Shared claim-specific concepts:</w:t>
      </w:r>
      <w:r>
        <w:t xml:space="preserve"> pathway, all, also; EU scope visible. This is a provisional connection, not an outcome finding.</w:t>
      </w:r>
    </w:p>
    <w:p>
      <w:pPr>
        <w:pStyle w:val="SourceNote"/>
      </w:pPr>
      <w:r>
        <w:rPr>
          <w:b/>
        </w:rPr>
        <w:t>Available abstract (not full text):</w:t>
      </w:r>
      <w:r>
        <w:t xml:space="preserve">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gradual, use, also;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pStyle w:val="Heading2"/>
      </w:pPr>
      <w:r>
        <w:t>633.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r>
        <w:rPr>
          <w:b/>
        </w:rPr>
        <w:t>POSSIBLE 2025:</w:t>
      </w:r>
      <w:r>
        <w:t xml:space="preserve"> A Multiple Linear Regression–Based Algorithm to Correct for Cosmic Rays in Raman Images — https://doi.org/10.1002/cem.70000</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pPr/>
      <w:r>
        <w:rPr>
          <w:b/>
        </w:rPr>
        <w:t>POSSIBLE 2024:</w:t>
      </w:r>
      <w:r>
        <w:t xml:space="preserve"> A used sailboat pricing model based on multiple linear regression — https://doi.org/10.54254/2755-2721/68/20241449</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The value of sailboats varies depending on the region and market conditions. Brokers need a better understanding of the sailboat market and make informed decisions to mitigate potential risks. To address these issues, this paper employs methods of multiple linear regression analysis and the grey correlation forecasting method. By utilizing data analysis techniques, a commonly used sailboat pricing model is established. Specifically, we first preprocess the given dataset and encode the processed data for subsequent model use. Additionally, the paper selects the three most influential factors on the pricing model: length, make, and year, and employs the method of independent weighting coefficients for multiple linear regression analysis calculation. Furthermore, we analyze the regional impact on listing prices of used sailboats. Based on these analyses, the proposed model can provide data analysis and sales recommendation reports for brokers. Lastly, the model proposed in this paper demonstrates strong accuracy and robustness, making it easy to implement with other datasets.</w:t>
      </w:r>
    </w:p>
    <w:p>
      <w:pPr/>
      <w:r>
        <w:rPr>
          <w:b/>
        </w:rPr>
        <w:t>POSSIBLE 2024:</w:t>
      </w:r>
      <w:r>
        <w:t xml:space="preserve"> Price prediction of polyester yarn based on multiple linear regression model — https://doi.org/10.1371/journal.pone.0310355</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China's polyester textile industry is one of the notable contributors to national economy. This paper takes polyester yarn, core raw material in polyester textile industry chain, as research object, and deeply explores its price indicators and risk hedging mechanisms through multiple linear regression models and Holt-Winters approaches. It is worth mentioning that with continuous development of digital technology, digital transformation of production lines and warehouses has become an important development feature in various industries. This study also actively complies with this trend, and innovatively incorporates the upstream and downstream production line start-up rates into price prediction model. Through this initiative, we can more comprehensively consider the impact of supply and demand changes on price of polyester yarn, thus making prediction results more closely reflect the actual market situation. This quantitative analysis method undoubtedly provides new ideas for enterprises to better grasp market dynamics in digital era.</w:t>
      </w:r>
    </w:p>
    <w:p>
      <w:pPr/>
      <w:r>
        <w:rPr>
          <w:b/>
        </w:rPr>
        <w:t>POSSIBLE 2024:</w:t>
      </w:r>
      <w:r>
        <w:t xml:space="preserve"> Enterprise Value Valuation—BYD as an Example Based on SWOT Model and Multiple Regression Model — https://doi.org/10.17265/2328-2185/2024.04.001</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BYD is one of the largest new energy vehicle companies in China.Analyzing its scenario and the factors that affect its value helps to understand and identify development opportunities and potential problems.On one hand, this paper makes a qualitative analysis of BYD, using SWOT model to study the internal capability and external environment of BYD.On the other hand, the multiple regression model is used for quantitative analysis of BYD's enterprise value, and the model is established based on three factors: enterprise fundamentals, investor behavior and psychology, and macroeconomic policy uncertainty, and the stepwise regression is carried out.The results show that the increase of institutional investors' shareholding ratio, the increase of investor sentiment index, and the increase of M2 growth rate will increase the overall enterprise value, while the increase of economic policy uncertainty will decrease the enterprise value.</w:t>
      </w:r>
    </w:p>
    <w:p>
      <w:pPr/>
      <w:r>
        <w:rPr>
          <w:b/>
        </w:rPr>
        <w:t>POSSIBLE 2023:</w:t>
      </w:r>
      <w:r>
        <w:t xml:space="preserve"> Estimation of Cloudiness Data Based on Multiple Linear Regression Model — https://doi.org/10.31466/kfbd.1150879</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This study estimates cloudiness data using meteorological parameters which include climatic variables and air quality index. Daily average observed values of all meteorological parameters used in this study were transformed to monthly mean data for 1990-2015 period. The monthly mean values of cloudiness were estimated by using the other climatic elements and the value air quality index at urban area in Kayseri. Multiple Linear Regression model was built to determine the mathematical relationships for predicting cloudiness. It has been shown that meteorological parameters affect cloudiness the most in May and October, and the least in September and January. Additionally, according to the estimated models, air quality index value has effect on cloudiness data on January, July, October and November as statistically significant.</w:t>
      </w:r>
    </w:p>
    <w:p>
      <w:pPr/>
      <w:r>
        <w:rPr>
          <w:b/>
        </w:rPr>
        <w:t>POSSIBLE 2023:</w:t>
      </w:r>
      <w:r>
        <w:t xml:space="preserve"> Biosafety management strategy based on multiple linear regression model — https://doi.org/10.2478/amns.2023.1.00362</w:t>
      </w:r>
    </w:p>
    <w:p>
      <w:pPr/>
      <w:r>
        <w:rPr>
          <w:b/>
        </w:rPr>
        <w:t>Shared claim-specific concepts:</w:t>
      </w:r>
      <w:r>
        <w:t xml:space="preserve"> based, multiple, regression, major; EU scope not established. This is a provisional connection, not an outcome finding.</w:t>
      </w:r>
    </w:p>
    <w:p>
      <w:pPr>
        <w:pStyle w:val="SourceNote"/>
      </w:pPr>
      <w:r>
        <w:rPr>
          <w:b/>
        </w:rPr>
        <w:t>Available abstract (not full text):</w:t>
      </w:r>
      <w:r>
        <w:t xml:space="preserve"> Abstract With the rise of artificial intelligence technology in the context of digital development of big data and information, the biosafety management method under the traditional model can hardly fit the development requirements of the times, and the biosafety management under the traditional model has various problems such as slow manual efficiency, tedious management work, and humanization of work. This paper focuses on studying a biosafety management strategy based on a multiple regression model, then analyzes and compares the two methods of the one-dimensional linear regression model and the multiple linear regression model. The study is conducted under the three indicators of biosafety management weight score. Arithmetic means to score and significance of 100 enterprises (schools, pharmaceutical companies, hospitals, and other types of these four major types) under the multiple linear regression model. The results show schools topped the list with a biosafety management weight score of 0.793. The arithmetic mean scores of the four categories of enterprises were ranked in descending order: schools, hospitals, pharmaceutical plants, and other categories. The size of the enterprise has a significant and positive effect on biosafety management, which means that the larger the size of the enterprise, the more resources the enterprise has under its control, and then the imple</w:t>
      </w:r>
    </w:p>
    <w:p>
      <w:pPr/>
      <w:r>
        <w:rPr>
          <w:b/>
        </w:rPr>
        <w:t>POSSIBLE 2023:</w:t>
      </w:r>
      <w:r>
        <w:t xml:space="preserve"> Development of Multiple Linear Regression Models for Predicting Chronic Iron Toxicity to Aquatic Organisms — https://doi.org/10.1002/etc.5623</w:t>
      </w:r>
    </w:p>
    <w:p>
      <w:pPr/>
      <w:r>
        <w:rPr>
          <w:b/>
        </w:rPr>
        <w:t>Shared claim-specific concepts:</w:t>
      </w:r>
      <w:r>
        <w:t xml:space="preserve"> based, multiple, regression, approach; EU scope visible. This is a provisional connection, not an outcome finding.</w:t>
      </w:r>
    </w:p>
    <w:p>
      <w:pPr>
        <w:pStyle w:val="SourceNote"/>
      </w:pPr>
      <w:r>
        <w:rPr>
          <w:b/>
        </w:rPr>
        <w:t>Available abstract (not full text):</w:t>
      </w:r>
      <w:r>
        <w:t xml:space="preserve"> Abstract We developed multiple linear regression (MLR) models for predicting iron (Fe) toxicity to aquatic organisms for use in deriving site-specific water quality guidelines (WQGs). The effects of dissolved organic carbon (DOC), hardness, and pH on Fe toxicity to three representative taxa (Ceriodaphnia dubia, Pimephales promelas, and Raphidocelis subcapitata) were evaluated. Both DOC and pH were identified as toxicity-modifying factors (TMFs) for P. promelas and R. subcapitata, whereas only DOC was a TMF for C. dubia. The MLR models based on effective concentration 10% and 20% values were developed and performed reasonably well, with adjusted R2 of 0.68–0.89 across all species and statistical endpoints. Differences among species in the MLR models precluded development of a pooled model. Instead, the species-specific models were assumed to be representative of invertebrates, fish, and algae and were applied accordingly to normalize toxicity data. The species sensitivity distribution (SSD) included standard laboratory toxicity data and effects data from mesocosm experiments on aquatic insects, with aquatic insects being the predominant taxa in the lowest quartile of the SSD. Using the European Union approach for deriving WQGs, application of MLR models to this SSD resulted in WQGs ranging from 114 to 765 μg l−1 Fe across the TMF conditions evaluated (DOC: 0.5–10 mg l−1; pH: 6.0</w:t>
      </w:r>
    </w:p>
    <w:p>
      <w:pPr/>
      <w:r>
        <w:rPr>
          <w:b/>
        </w:rPr>
        <w:t>POSSIBLE 2023:</w:t>
      </w:r>
      <w:r>
        <w:t xml:space="preserve"> Calculation and Analysis of Green GDP based on EWM and Multiple Linear Regression Model — https://doi.org/10.54097/hbem.v12i.8383</w:t>
      </w:r>
    </w:p>
    <w:p>
      <w:pPr/>
      <w:r>
        <w:rPr>
          <w:b/>
        </w:rPr>
        <w:t>Shared claim-specific concepts:</w:t>
      </w:r>
      <w:r>
        <w:t xml:space="preserve"> based, multiple, regression, scale; EU scope not established. This is a provisional connection, not an outcome finding.</w:t>
      </w:r>
    </w:p>
    <w:p>
      <w:pPr>
        <w:pStyle w:val="SourceNote"/>
      </w:pPr>
      <w:r>
        <w:rPr>
          <w:b/>
        </w:rPr>
        <w:t>Available abstract (not full text):</w:t>
      </w:r>
      <w:r>
        <w:t xml:space="preserve"> With the acceleration of the industrialization process, global problems such as resource shortage and ecological environment deterioration have become increasingly prominent. To uphold the concept of sustainable development, a real, feasible and scientific indicator: green GDP needs to be established urgently. But it is still difficult to promote green GDP on a global scale due to a lack of ideas and technology. In order to calculate and predict GGDP, resource and environmental factors are taken into account. Based on entropy weight method (EWM) and multiple linear regression, an improved global GGDP accounting method is constructed. The future development should pay attention to pollution prevention and ecological environment protection.</w:t>
      </w:r>
    </w:p>
    <w:p>
      <w:pPr/>
      <w:r>
        <w:rPr>
          <w:b/>
        </w:rPr>
        <w:t>POSSIBLE 2023:</w:t>
      </w:r>
      <w:r>
        <w:t xml:space="preserve"> Investment Demand Forecast for Grid Companies Based on Multiple Linear Regression Analysis — https://doi.org/10.4108/eai.19-5-2023.2334303</w:t>
      </w:r>
    </w:p>
    <w:p>
      <w:pPr/>
      <w:r>
        <w:rPr>
          <w:b/>
        </w:rPr>
        <w:t>Shared claim-specific concepts:</w:t>
      </w:r>
      <w:r>
        <w:t xml:space="preserve"> based, multiple, regression, population; EU scope not established. This is a provisional connection, not an outcome finding.</w:t>
      </w:r>
    </w:p>
    <w:p>
      <w:pPr>
        <w:pStyle w:val="SourceNote"/>
      </w:pPr>
      <w:r>
        <w:rPr>
          <w:b/>
        </w:rPr>
        <w:t>Available abstract (not full text):</w:t>
      </w:r>
      <w:r>
        <w:t xml:space="preserve"> Grid investment demand refers to the investment made by provincial power companies to ensure that strategic projects and decisions are steadily promoted, while building a safe and reliable grid according to the needs of social and economic development. First, the role of population, GDP, total energ</w:t>
      </w:r>
    </w:p>
    <w:p>
      <w:pPr>
        <w:pStyle w:val="Heading2"/>
      </w:pPr>
      <w:r>
        <w:t>634.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2022:</w:t>
      </w:r>
      <w:r>
        <w:t xml:space="preserve"> Internet User Trackers and Where to Find Them — https://doi.org/10.2478/acss-2022-0008</w:t>
      </w:r>
    </w:p>
    <w:p>
      <w:pPr/>
      <w:r>
        <w:rPr>
          <w:b/>
        </w:rPr>
        <w:t>Shared claim-specific concepts:</w:t>
      </w:r>
      <w:r>
        <w:t xml:space="preserve"> find, track, well; EU scope not established. This is a provisional connection, not an outcome finding.</w:t>
      </w:r>
    </w:p>
    <w:p>
      <w:pPr>
        <w:pStyle w:val="SourceNote"/>
      </w:pPr>
      <w:r>
        <w:rPr>
          <w:b/>
        </w:rPr>
        <w:t>Available abstract (not full text):</w:t>
      </w:r>
      <w:r>
        <w:t xml:space="preserve"> Abstract In the modern online world, users are often asked for a permission to track their actions as a permission to “allow cookies”. The gathered information could be very valuable for a potential advertiser. However, online tracking is not only a benefit for a user but also a threat to the user’s privacy. This information combined with a targeted advertisement on a mass scale has potential to alter behaviour of large groups. This study summarises previous academic work on online user tracking and anti-tracking measures. As a result, it describes the current mechanisms used to track a user, as well as some methods that can be applied to reduce tracking. The study concludes that government legislation and open dialog between Internet users and advertisers might be the only way to ensure online privacy.</w:t>
      </w:r>
    </w:p>
    <w:p>
      <w:pPr>
        <w:pStyle w:val="Heading2"/>
      </w:pPr>
      <w:r>
        <w:t>635.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2022:</w:t>
      </w:r>
      <w:r>
        <w:t xml:space="preserve"> The Rise of Three Rs Centres and Platforms in Europe* — https://doi.org/10.1177/02611929221099165</w:t>
      </w:r>
    </w:p>
    <w:p>
      <w:pPr/>
      <w:r>
        <w:rPr>
          <w:b/>
        </w:rPr>
        <w:t>Shared claim-specific concepts:</w:t>
      </w:r>
      <w:r>
        <w:t xml:space="preserve"> three, but, role, all; EU scope visible. This is a provisional connection, not an outcome finding.</w:t>
      </w:r>
    </w:p>
    <w:p>
      <w:pPr>
        <w:pStyle w:val="SourceNote"/>
      </w:pPr>
      <w:r>
        <w:rPr>
          <w:b/>
        </w:rPr>
        <w:t>Available abstract (not full text):</w:t>
      </w:r>
      <w:r>
        <w:t xml:space="preserve"> Public awareness and discussion about animal experiments and replacement methods has greatly increased in recent years. The term ‘the Three Rs’, which stands for the Replacement, Reduction and Refinement of animal experiments, is inseparably linked in this context. A common goal within the Three Rs scientific community is to develop predictive non-animal models and to better integrate all available data from in vitro, in silico and omics technologies into regulatory decision-making processes regarding, for example, the toxicity of chemicals, drugs or food ingredients. In addition, it is a general concern to implement (human) non-animal methods in basic research. Toward these efforts, there has been an ever-increasing number of Three Rs centres and platforms established over recent years — not only to develop novel methods, but also to disseminate knowledge and help to implement the Three Rs principles in policies and education. The adoption of Directive 2010/63/EU on the protection of animals used for scientific purposes gave a strong impetus to the creation of Three Rs initiatives, in the form of centres and platforms. As the first of a series of papers, this article gives an overview of the European Three Rs centres and platforms, and their historical development. The subsequent articles, to be published over the course of ATLA’s 50th Anniversary year, will summarise the curr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application, looks, one;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2021:</w:t>
      </w:r>
      <w:r>
        <w:t xml:space="preserve"> European Union/United Kingdom — https://doi.org/10.1093/law/9780198849155.003.0063</w:t>
      </w:r>
    </w:p>
    <w:p>
      <w:pPr/>
      <w:r>
        <w:rPr>
          <w:b/>
        </w:rPr>
        <w:t>Shared claim-specific concepts:</w:t>
      </w:r>
      <w:r>
        <w:t xml:space="preserve"> application, looks, three, role; EU scope visible. This is a provisional connection, not an outcome finding.</w:t>
      </w:r>
    </w:p>
    <w:p>
      <w:pPr>
        <w:pStyle w:val="SourceNote"/>
      </w:pPr>
      <w:r>
        <w:rPr>
          <w:b/>
        </w:rPr>
        <w:t>Available abstract (not full text):</w:t>
      </w:r>
      <w:r>
        <w:t xml:space="preserve"> Abstract This chapter evaluates international environmental law (IEL) in the courts of the European Union (EU) and the United Kingdom. This topic potentially covers many different kinds of courts, considering that the EU comprises many member states, each with its own court system, and the United Kingdom itself is a system of devolved government with different court systems. To draw out some key themes, the chapter focuses on decisions of the EU courts and the UK courts in England and Wales, as well as particularly notable decisions of other EU member state courts (available in English). The different experiences of IEL in these three sets of courts demonstrate that the doctrines of different legal systems and their legal cultures are critical to the experiences of their courts in implementing IEL. The chapter examines the reception and application of IEL in these different courts in two steps. It first looks at cases in which IEL has been directly applied by courts, considering the complex EU law in this area, and the EU's special role in implementing IEL in member states. The chapter then addresses cases where IEL applies indirectly in judicial reasoning.</w:t>
      </w:r>
    </w:p>
    <w:p>
      <w:pPr/>
      <w:r>
        <w:rPr>
          <w:b/>
        </w:rPr>
        <w:t>POSSIBLE 2021:</w:t>
      </w:r>
      <w:r>
        <w:t xml:space="preserve"> Complex Projects and Transition-Driven Evaluation: The Case of the easyRights European Project — https://doi.org/10.3390/su13042343</w:t>
      </w:r>
    </w:p>
    <w:p>
      <w:pPr/>
      <w:r>
        <w:rPr>
          <w:b/>
        </w:rPr>
        <w:t>Shared claim-specific concepts:</w:t>
      </w:r>
      <w:r>
        <w:t xml:space="preserve"> application, looks, three; EU scope visible. This is a provisional connection, not an outcome finding.</w:t>
      </w:r>
    </w:p>
    <w:p>
      <w:pPr>
        <w:pStyle w:val="SourceNote"/>
      </w:pPr>
      <w:r>
        <w:rPr>
          <w:b/>
        </w:rPr>
        <w:t>Available abstract (not full text):</w:t>
      </w:r>
      <w:r>
        <w:t xml:space="preserve"> More and more, the evaluation of complex projects is being related to the capacity of the project to deal with crucial social, economic, and environmental issues that society is responsible for and with the activation of systemic changes. Within this “mission” perspective, growing attention is given to learning in action. This paper aims at (i) conceptualizing a methodological framework for complex project evaluation within the context of the Triple-Loop Learning mechanism and (ii) showing its application in a European project as well as including the toolbox developed in coherence with the elaborated framework. It does so by looking at the case of an ongoing Horizon 2020 project aiming to develop language-oriented technologies supporting the inclusion of migrants in Europe. In particular, the paper looks at Triple-Loop Learning as pushed by the reflection on three dimensions: the “what”, the “how”, and the “why” of collective actions in complex projects. The consequent learning process is expected to have transformational potentials at the individual, institutional/organizational, and (in the long term) up to the societal scale. By exploring the opportunities offered by the evaluation tools in the easyRights project, the study highlights the potential of nurturing a wider, arguably neglected as yet, learning space for understanding, engaging, and transforming real contexts and</w:t>
      </w:r>
    </w:p>
    <w:p>
      <w:pPr>
        <w:pStyle w:val="Heading2"/>
      </w:pPr>
      <w:r>
        <w:t>636.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2023:</w:t>
      </w:r>
      <w:r>
        <w:t xml:space="preserve"> A Short Review about Predicting the Dew Point Pressure for Gas Condensate Reservoirs by Empirical Correlations — https://doi.org/10.5281/zenodo.8195449</w:t>
      </w:r>
    </w:p>
    <w:p>
      <w:pPr/>
      <w:r>
        <w:rPr>
          <w:b/>
        </w:rPr>
        <w:t>Shared claim-specific concepts:</w:t>
      </w:r>
      <w:r>
        <w:t xml:space="preserve"> about, predicting, best, different; EU scope not established. This is a provisional connection, not an outcome finding.</w:t>
      </w:r>
    </w:p>
    <w:p>
      <w:pPr>
        <w:pStyle w:val="SourceNote"/>
      </w:pPr>
      <w:r>
        <w:rPr>
          <w:b/>
        </w:rPr>
        <w:t>Available abstract (not full text):</w:t>
      </w:r>
      <w:r>
        <w:t xml:space="preserve"> Abstract: The following essay compiles different correlations found in the literature to determine the dew point pressure of gas condensate reservoirs. An evaluation and comparison study of these methods is performed for 150 gas samples from different regions and literature sources. The tested models were: Shokir, Nemeth-Kennedy, Elsharkawy, Ahmadi, Kamari and Okpo Nnadozie. The before mentioned models were chosen because they are function of reservoir temperature, gas composition, molecular weight, and specific gravity of the heavy component (C7+). The best model representing the dew points pressures of the 150 gases samples in this study was statistically determined. Keywords: Reservoir temperature, dew point pressure, gas composition, molecular weight, specific gravity, retrograde condensation, gas condensate, heavy components. Title: A Short Review about Predicting the Dew Point Pressure for Gas Condensate Reservoirs by Empirical Correlations Author: Alaa Zeinab, Timur-Vasile Chis, Alejandro Osorio Pozo International Journal of Engineering Research and Reviews ISSN 2348-697X (Online) Vol. 11, Issue 3, July 2023 - September 2023 Page No: 31-40 Research Publish Journals Website: www.researchpublish.com Published Date: 29-July-2023 DOI: https://doi.org/10.5281/zenodo.8195450 Paper Download Link (Source) https://www.researchpublish.com/papers/a-short-review-about-predicting-the</w:t>
      </w:r>
    </w:p>
    <w:p>
      <w:pPr/>
      <w:r>
        <w:rPr>
          <w:b/>
        </w:rPr>
        <w:t>POSSIBLE 2023:</w:t>
      </w:r>
      <w:r>
        <w:t xml:space="preserve"> The Why, When, What, and How About Predictive Continuous Integration: A Simulation-Based Investigation — https://doi.org/10.1109/tse.2023.3330510</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Continuous Integration (CI) enables developers to detect defects early and thus reduce lead time. However, the high frequency and long duration of executing CI have a detrimental effect on this practice. Existing studies have focused on using CI outcome predictors to reduce frequency. Since there is no reported project using predictive CI, it is difficult to evaluate its economic impact. This research aims to investigate predictive CI from a process perspective, including why and when to adopt predictors, what predictors to be used, and how to practice predictive CI in real projects. We innovatively employ Software Process Simulation to simulate a predictive CI process with a Discrete-Event Simulation (DES) model and conduct simulation-based experiments. We develop the Rollback-based Identification of Defective Commits (RIDEC) method to account for the negative effects of false predictions in simulations. Experimental results show that: 1) using predictive CI generally improves the effectiveness of CI, reducing time costs by up to 36.8% and the average waiting time before executing CI by 90.5%; 2) the time-saving varies across projects, with higher commit frequency projects benefiting more; and 3) predictor performance does not strongly correlate with time savings, but the precision of both failed and passed predictions should be paid more attention. Simulation-based evaluation</w:t>
      </w:r>
    </w:p>
    <w:p>
      <w:pPr/>
      <w:r>
        <w:rPr>
          <w:b/>
        </w:rPr>
        <w:t>POSSIBLE 2023:</w:t>
      </w:r>
      <w:r>
        <w:t xml:space="preserve"> Physicians' perception about predictors of opioid abuse in patients with chronic non-cancer pain: a Delphi study — https://doi.org/10.3389/fpain.2023.1269018</w:t>
      </w:r>
    </w:p>
    <w:p>
      <w:pPr/>
      <w:r>
        <w:rPr>
          <w:b/>
        </w:rPr>
        <w:t>Shared claim-specific concepts:</w:t>
      </w:r>
      <w:r>
        <w:t xml:space="preserve"> not, about, developing; EU scope not established. This is a provisional connection, not an outcome finding.</w:t>
      </w:r>
    </w:p>
    <w:p>
      <w:pPr>
        <w:pStyle w:val="SourceNote"/>
      </w:pPr>
      <w:r>
        <w:rPr>
          <w:b/>
        </w:rPr>
        <w:t>Available abstract (not full text):</w:t>
      </w:r>
      <w:r>
        <w:t xml:space="preserve"> Background: Opioids are being prescribed widely, and increasingly, for the treatment of chronic non-cancer pain (CNCP). However, several side effects are associated with mid- and long-term opioid use and, for certain patients, with the risk of problematic opioid use. The aim of this study is to know the perception of the physicians about which variables could be associated with increased risk of patients with CNCP developing a problem of abuse or misuse of the prescribed opioid medication. Methods: Twenty-nine physicians with experience in CNCP pain management and opioids prescription participated in a two-round Delphi study focused on the risk factors for opioid misuse and abuse. Results: The variables that reached consensus regarding their relationship with the increased risk of suffering a problem of opioid abuse or misuse were: (1) Experiencing pain on a daily basis, (2) previous use of high-dose opioids, (3) generalized anxiety, (4) hopelessness, (5) benzodiazepine intake, (6) use of opioids for reasons other than pain, (7) family problems, family instability or family breakdown, and (8) having access to several opioid prescribers. The only variable that reached consensus regarding it not being associated to a possible risk of abuse or misuse was having mild pain intensity (0-4 on a NRS-11). Conclusions: This study provides useful information that could help make decisions</w:t>
      </w:r>
    </w:p>
    <w:p>
      <w:pPr/>
      <w:r>
        <w:rPr>
          <w:b/>
        </w:rPr>
        <w:t>POSSIBLE 2022:</w:t>
      </w:r>
      <w:r>
        <w:t xml:space="preserve"> ‘Confused about Predicting whether This Kid is Good or Not’ — https://doi.org/10.53088/eej.v1i2.556</w:t>
      </w:r>
    </w:p>
    <w:p>
      <w:pPr/>
      <w:r>
        <w:rPr>
          <w:b/>
        </w:rPr>
        <w:t>Shared claim-specific concepts:</w:t>
      </w:r>
      <w:r>
        <w:t xml:space="preserve"> not, about, predicting; EU scope not established. This is a provisional connection, not an outcome finding.</w:t>
      </w:r>
    </w:p>
    <w:p>
      <w:pPr>
        <w:pStyle w:val="SourceNote"/>
      </w:pPr>
      <w:r>
        <w:rPr>
          <w:b/>
        </w:rPr>
        <w:t>Available abstract (not full text):</w:t>
      </w:r>
      <w:r>
        <w:t xml:space="preserve"> Backgrounds: The study analyzed the evaluation of social attitudes in the primary schools in Karanganyar Regency, Indonesia: honesty, discipline, responsibility, and tolerance. Methods: A qualitative descriptive technique with a case study design was employed in this investigation. There were eight recruits made up of both instructors and pupils. Observation and interview were the approaches utilized in this investigation. Data is evaluated through data reduction, presenting of data, and formulation of conclusions. Technical triangulation and source triangulation were evaluation procedures to evaluate the veracity of the data. Results: This study showed evaluations carried out; there were two evaluations for students and an evaluation for parents at Dabin I RA Kartini Elementary School. The obstacles that were complained about by the teachers were mostly about time constraints. Implications: The results of this study can be a reference for authors, teachers, and school principals in evaluating the assessment of social attitudes correctly Novelty: The present study revealed the evaluation of social attitudes assessment in primary school comprehensively.</w:t>
      </w:r>
    </w:p>
    <w:p>
      <w:pPr/>
      <w:r>
        <w:rPr>
          <w:b/>
        </w:rPr>
        <w:t>POSSIBLE 2021:</w:t>
      </w:r>
      <w:r>
        <w:t xml:space="preserve"> What big data in health care can teach us about predictive policing — https://doi.org/10.4324/9780429265365-6</w:t>
      </w:r>
    </w:p>
    <w:p>
      <w:pPr/>
      <w:r>
        <w:rPr>
          <w:b/>
        </w:rPr>
        <w:t>Shared claim-specific concepts:</w:t>
      </w:r>
      <w:r>
        <w:t xml:space="preserve"> about, forefront, come; EU scope not established. This is a provisional connection, not an outcome finding.</w:t>
      </w:r>
    </w:p>
    <w:p>
      <w:pPr>
        <w:pStyle w:val="SourceNote"/>
      </w:pPr>
      <w:r>
        <w:rPr>
          <w:b/>
        </w:rPr>
        <w:t>Available abstract (not full text):</w:t>
      </w:r>
      <w:r>
        <w:t xml:space="preserve"> The chapter examines how the established use of predictive analytics in one field—policing—can offer insights for its newer application in another—health care—and vice versa. Predictive policing has now been around for decades, employed by police departments across the United States and studied by scholars and policymakers alike. The use of predictive analytics in health care, by contrast, is only now starting to come to the forefront of the profession. Placing the fields side-by-side reveals substantial and important areas of overlap: the balance between privacy and innovation; how professional roles must adapt to new technologies; when reliance on big data changes from blessing to curse; how regulatory regimes should evolve; and many more. As we explore, to the degree that lessons can be learned from this dialogue, they go in both directions.</w:t>
      </w:r>
    </w:p>
    <w:p>
      <w:pPr/>
      <w:r>
        <w:rPr>
          <w:b/>
        </w:rPr>
        <w:t>POSSIBLE 2021:</w:t>
      </w:r>
      <w:r>
        <w:t xml:space="preserve"> Communication processes about predictive genetic testing within high-risk breast cancer families: a two-phase study design — https://doi.org/10.1038/s41598-021-98737-8</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Abstract Background: The detection of a pathogenic variant in the BRCA1 or BRCA2 gene has medical and psychological consequences for both, affected mutation carriers and their relatives. This study analyzed the psychological impact of genetic testing and mutation-positive test result as well as associated family communication processes from the perspective of BRCA1 or BRCA2 mutation carriers and their family members.Methods: We conducted a two-phase study with explanatory sequential mixed methods design to understand the perspective of psychological process regarding genetic testing more efficiently. First, we analyzed a survey data of 79 carriers of a BRCA1 or BRCA2 mutation. Second, we conducted focus group interviews of 10 family members to deepen understanding of communication processes in high-risk families.Results: The average age of the BRCA1 or BRCA2 mutation carriers was 48 years, 58% had a history of cancer. The majority (64.6%) had general psychological distress independent of cancer diagnosis in the patients’ history. The point prevalence of depression was 16.9%. The main motives for undergoing genetic testing were desire for safety, prevention and risk assessment for the own children. The mutation carriers were satisfied with the decision to undergo genetic testing. Contrary to their subjective perception, the respondents' knowledge about those mutations was modera</w:t>
      </w:r>
    </w:p>
    <w:p>
      <w:pPr>
        <w:pStyle w:val="Heading2"/>
      </w:pPr>
      <w:r>
        <w:t>637.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2023:</w:t>
      </w:r>
      <w:r>
        <w:t xml:space="preserve"> The bioeconomy in Germany: A failing political project? — https://doi.org/10.1016/j.ecolecon.2023.107783</w:t>
      </w:r>
    </w:p>
    <w:p>
      <w:pPr/>
      <w:r>
        <w:rPr>
          <w:b/>
        </w:rPr>
        <w:t>Shared claim-specific concepts:</w:t>
      </w:r>
      <w:r>
        <w:t xml:space="preserve"> three, failing; EU scope visible. This is a provisional connection, not an outcome finding.</w:t>
      </w:r>
    </w:p>
    <w:p>
      <w:pPr>
        <w:pStyle w:val="SourceNote"/>
      </w:pPr>
      <w:r>
        <w:rPr>
          <w:b/>
        </w:rPr>
        <w:t>Available abstract (not full text):</w:t>
      </w:r>
      <w:r>
        <w:t xml:space="preserve"> Almost two decades ago, the OECD and the EU kickstarted the development of bioeconomy strategies. In Germany, like in many other countries, policy development gained momentum in the 2010s, resulting in three consecutive policy strategies to date. And yet the bioeconomy concept remains largely unknown to a wider public and there are hardly any tangible outcomes in terms of transforming the economy towards sustainability as proposed in these strategies. Against this background, the German bioeconomy is characterized in this article as a political project aiming at a technological fix to problems like supply security and climate change in order to stabilize the social order of neoliberalized capitalism. Evaluating the different dimensions of the project's characteristics as well as its impacts, however, we find that the bioeconomy neither succeeds in universalizing its ideas and attracting a broader range of societal actors to them, nor in delivering the promised pathway to a socio-ecological transformation. Still, the analysis also reveals successes of certain actors in securing funds and advancing their agendas related to the bioeconomy. It can be argued that the bioeconomy succeeded in this way in stabilizing the existing unsustainable social order.</w:t>
      </w:r>
    </w:p>
    <w:p>
      <w:pPr/>
      <w:r>
        <w:rPr>
          <w:b/>
        </w:rPr>
        <w:t>POSSIBLE 2022:</w:t>
      </w:r>
      <w:r>
        <w:t xml:space="preserve"> Why is emotional data failing to produce more humane cities? Urban governance and the (interdisciplinary) problem of wellbeing — https://doi.org/10.1080/02723638.2021.2003589</w:t>
      </w:r>
    </w:p>
    <w:p>
      <w:pPr/>
      <w:r>
        <w:rPr>
          <w:b/>
        </w:rPr>
        <w:t>Shared claim-specific concepts:</w:t>
      </w:r>
      <w:r>
        <w:t xml:space="preserve"> failing, policies; EU scope not established. This is a provisional connection, not an outcome finding.</w:t>
      </w:r>
    </w:p>
    <w:p>
      <w:pPr>
        <w:pStyle w:val="SourceNote"/>
      </w:pPr>
      <w:r>
        <w:rPr>
          <w:b/>
        </w:rPr>
        <w:t>Available abstract (not full text):</w:t>
      </w:r>
      <w:r>
        <w:t xml:space="preserve"> The city is often highlighted as the key space in which our emotions and personal mental health can be shaped. Globally, place-based approaches to promoting urban health and happiness have become commonplace. Initiatives and policies improving urban and regional wellbeing operate at a range of scales, from global alliances of NGOs and supranational health bodies, to regional, local, and community action. This paper critically reviews the spatial imaginaries and limited discipline-specific definitions of the urban and wellbeing present in data-driven approaches to urban emotions and wellbeing, and the potential effectiveness of the policy solutions which are proposed as a result. Responding to the very specific forms of interdisciplinarity advanced to date, the paper outlines how a dialogue between humanities perspectives on emotional cultures, and political economies of place-based wellbeing interventions can be advanced to address these limitations.</w:t>
      </w:r>
    </w:p>
    <w:p>
      <w:pPr/>
      <w:r>
        <w:rPr>
          <w:b/>
        </w:rPr>
        <w:t>POSSIBLE 2021:</w:t>
      </w:r>
      <w:r>
        <w:t xml:space="preserve"> Early Detection of Failing Automotive Batteries Using Gas Sensors — https://doi.org/10.3390/batteries7020025</w:t>
      </w:r>
    </w:p>
    <w:p>
      <w:pPr/>
      <w:r>
        <w:rPr>
          <w:b/>
        </w:rPr>
        <w:t>Shared claim-specific concepts:</w:t>
      </w:r>
      <w:r>
        <w:t xml:space="preserve"> produced, failing, case; EU scope not established. This is a provisional connection, not an outcome finding.</w:t>
      </w:r>
    </w:p>
    <w:p>
      <w:pPr>
        <w:pStyle w:val="SourceNote"/>
      </w:pPr>
      <w:r>
        <w:rPr>
          <w:b/>
        </w:rPr>
        <w:t>Available abstract (not full text):</w:t>
      </w:r>
      <w:r>
        <w:t xml:space="preserve"> Safety for automotive lithium-ion battery (LIB) applications is of crucial importance, especially for electric vehicle applications using batteries with high capacity and high energy density. In case of a defect inside or outside the cell, serious safety risks are possible including extensive heat generation, toxic and flammable gas generation, and consequently fire and explosion. New regulations (GB 38031-2020) require a warning for passengers at least five minutes before serious incidents. This regulation can hardly be fulfilled with state-of-the-art battery monitoring. In this study, gases produced during battery failure before and during a thermal runaway (TR) are investigated in detail and the use of different gas sensors as early detectors of battery incidents is tested and proposed. The response of several commercially available gas sensors is tested in four battery failure cases: unwanted electrolysis of voltage carrying parts, electrolyte vapor, first venting of the cell and the TR. The experiments show that battery failure detection with gas sensors is possible but depends highly on the failure case. The chosen gas sensor can detect H2 produced by unwanted electrolysis and electrolyte vapor and gases produced by degassing of state-of-the-art LIBs. The results may contribute significantly to failure detection and improvement of battery safety.</w:t>
      </w:r>
    </w:p>
    <w:p>
      <w:pPr/>
      <w:r>
        <w:rPr>
          <w:b/>
        </w:rPr>
        <w:t>POSSIBLE 2021:</w:t>
      </w:r>
      <w:r>
        <w:t xml:space="preserve"> Influence of Aging on the Failing Behavior of Automotive Lithium-Ion Batteries — https://doi.org/10.3390/batteries7020023</w:t>
      </w:r>
    </w:p>
    <w:p>
      <w:pPr/>
      <w:r>
        <w:rPr>
          <w:b/>
        </w:rPr>
        <w:t>Shared claim-specific concepts:</w:t>
      </w:r>
      <w:r>
        <w:t xml:space="preserve"> three, produced, failing; EU scope not established. This is a provisional connection, not an outcome finding.</w:t>
      </w:r>
    </w:p>
    <w:p>
      <w:pPr>
        <w:pStyle w:val="SourceNote"/>
      </w:pPr>
      <w:r>
        <w:rPr>
          <w:b/>
        </w:rPr>
        <w:t>Available abstract (not full text):</w:t>
      </w:r>
      <w:r>
        <w:t xml:space="preserve"> Lithium-ion batteries (LIBs) are a dominant state-of-the-art energy storage system and have importance in the automotive sector. Still, LIBs suffer from aging effects and serious hazards from failing batteries are possible. These failures can lead to exothermic chemical reactions inside the cell, ending up in thermal runaway (TR). TR has caused most electric vehicle (EV) fires. Since statistically most accidents with EVs happen after about one year of vehicle usage, in particular, the failing behavior of aged cells needs to be investigated. Little information is available in open literature about the influence of aging paths on the failing behavior and especially on the degassing behavior of large automotive LIBs. Therefore, this study investigates the influence of three different aging paths (cyclic at −10 °C and at 45 °C and calendric at 60 °C) on the thermal behavior, the vent gas emission, and the vent gas composition. The results show a clear effect of aging on the failing behavior. The aged cells showed a less violent failing reaction, reduced maximal temperatures, lower amount of produced gas, significantly lower amount of CO in the vent gas, and lower mass loss than fresh cells in the same overtemperature experiments. The results are valuable for the scientific and industrial community dealing with LIBs.</w:t>
      </w:r>
    </w:p>
    <w:p>
      <w:pPr/>
      <w:r>
        <w:rPr>
          <w:b/>
        </w:rPr>
        <w:t>POSSIBLE 2021:</w:t>
      </w:r>
      <w:r>
        <w:t xml:space="preserve"> Failure and failing, an ethos of the (self) exiled? The case of the playwright William Saroyan — https://doi.org/10.4000/agon.8325</w:t>
      </w:r>
    </w:p>
    <w:p>
      <w:pPr/>
      <w:r>
        <w:rPr>
          <w:b/>
        </w:rPr>
        <w:t>Shared claim-specific concepts:</w:t>
      </w:r>
      <w:r>
        <w:t xml:space="preserve"> failing, case, status; EU scope not established. This is a provisional connection, not an outcome finding.</w:t>
      </w:r>
    </w:p>
    <w:p>
      <w:pPr>
        <w:pStyle w:val="SourceNote"/>
      </w:pPr>
      <w:r>
        <w:rPr>
          <w:b/>
        </w:rPr>
        <w:t>Available abstract (not full text):</w:t>
      </w:r>
      <w:r>
        <w:t xml:space="preserve"> This article discusses the authorial persona of American novelist and playwright William Saroyan. It is argued that his approach to failure was an essential element of his ethos and a means of endorsing his role and his social status as a writer, reflecting his disapproval of utilitarianism and conventional definitions of success, equated with wealth and celebrity.</w:t>
      </w:r>
    </w:p>
    <w:p>
      <w:pPr>
        <w:pStyle w:val="Heading2"/>
      </w:pPr>
      <w:r>
        <w:t>638.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used, regional, climate, simulations, euro-cordex, rcp8;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Regional climate projections using a deep-learning–based model-ranking and downscaling framework: application to European climate zones — https://doi.org/10.1007/s11356-025-36872-9</w:t>
      </w:r>
    </w:p>
    <w:p>
      <w:pPr/>
      <w:r>
        <w:rPr>
          <w:b/>
        </w:rPr>
        <w:t>Shared claim-specific concepts:</w:t>
      </w:r>
      <w:r>
        <w:t xml:space="preserve"> regional, climate, present; EU scope visible. This is a provisional connection, not an outcome finding.</w:t>
      </w:r>
    </w:p>
    <w:p>
      <w:pPr>
        <w:pStyle w:val="SourceNote"/>
      </w:pPr>
      <w:r>
        <w:rPr>
          <w:b/>
        </w:rPr>
        <w:t>Available abstract (not full text):</w:t>
      </w:r>
      <w:r>
        <w:t xml:space="preserve"> Abstract Accurate regional climate projection calls for high-resolution downscaling of Global Climate Models (GCMs). This work presents a deep-learning-based multi-model evaluation and downscaling framework ranking 32 Coupled Model Intercomparison Project Phase 6 (CMIP6) models using a Deep Learning-TOPSIS (DL-TOPSIS) mechanism and refines outputs using advanced deep-learning models. Using nine performance criteria, five Köppen-Geiger climate zones—Tropical, Arid, Temperate, Continental, and Polar—are investigated over four seasons. While TaiESM1 and CMCC-CM2-SR5 show notable biases, ranking results show that NorESM2-LM, GISS-E2-1-G, and HadGEM3-GC31-LL outperform other models. Four models contribute to downscaling the top-ranked GCMs to 0.1 $$^\circ $$ ∘ resolution (Vision Transformer (ViT), Geospatial Spatiotemporal Transformer with Attention and Imbalance-Aware Network (GeoSTANet), CNN-LSTM, CNN-Long Short-Term Memory (ConvLSTM)). Effectively capturing temperature extremes (TXx, TNn), GeoSTANet achieves the highest accuracy (Root Mean Square Error (RMSE) = 1.57 $$^\circ $$ ∘ C, Kling-Gupta Efficiency (KGE) = 0.89, Nash-Sutcliffe Efficiency (NSE) = 0.85, Correlation (r) = 0.92), so reducing RMSE by 20% over ConvLSTM. CNN-LSTM and ConvLSTM do well in Continental and Temperate zones; ViT finds fine-scale temperature fluctuations difficult. These results confirm that multi-crite</w:t>
      </w:r>
    </w:p>
    <w:p>
      <w:pPr/>
      <w:r>
        <w:rPr>
          <w:b/>
        </w:rPr>
        <w:t>POSSIBLE 2025:</w:t>
      </w:r>
      <w:r>
        <w:t xml:space="preserve"> Local Climate Risks in sight of realistic climate targets: Projecting Co-occurrence of Heat Extremes in Central Europe Using Downscaled CMIP6 and Regional Scenarios — https://doi.org/10.5194/ems2025-241</w:t>
      </w:r>
    </w:p>
    <w:p>
      <w:pPr/>
      <w:r>
        <w:rPr>
          <w:b/>
        </w:rPr>
        <w:t>Shared claim-specific concepts:</w:t>
      </w:r>
      <w:r>
        <w:t xml:space="preserve"> regional, climate, warming, levels, case; EU scope visible. This is a provisional connection, not an outcome finding.</w:t>
      </w:r>
    </w:p>
    <w:p>
      <w:pPr>
        <w:pStyle w:val="SourceNote"/>
      </w:pPr>
      <w:r>
        <w:rPr>
          <w:b/>
        </w:rPr>
        <w:t>Available abstract (not full text):</w:t>
      </w:r>
      <w:r>
        <w:t xml:space="preserve"> Humanity will face the challenge of adapting to the impacts of global warming besides those that have already occurred, even if political ambitions are realized. Challenges differ regionally and include a wide range of weather extremes, which means not only the increasing frequency of dangerous “usual” climatic events but also unprecedented impacts outside of the climate system's natural variability. Many regions globally, including Central Europe, have already experienced changes in climate extremes higher than the internal variability of the climate system. The signal is shown to be especially robust in case of heat extremes, such as warm days or warm nights, with signals reflecting unusual or even unfamiliar conditions. Our analysis focuses on heat-related extreme events, including their co-occurrence. We use a targeted subset of CMIP6 models known for their robust performance over Europe, supplemented by high-resolution regional climate scenarios. We employed different downscaling techniques, including convection-permitting regional climate simulation, to evaluate the sensitivity of results to methodological choices and to better capture regional-to-local-scale climate signals. Rather than focusing on specific emissions scenario pathways, we analyse projections at different levels of global warming. This approach allows us to explore the manifestation of heat-related extrem</w:t>
      </w:r>
    </w:p>
    <w:p>
      <w:pPr/>
      <w:r>
        <w:rPr>
          <w:b/>
        </w:rPr>
        <w:t>POSSIBLE 2024:</w:t>
      </w:r>
      <w:r>
        <w:t xml:space="preserve"> High-resolution LGM climate of Europe and the Alpine region using the regional climate model WRF — https://doi.org/10.5194/cp-20-449-2024</w:t>
      </w:r>
    </w:p>
    <w:p>
      <w:pPr/>
      <w:r>
        <w:rPr>
          <w:b/>
        </w:rPr>
        <w:t>Shared claim-specific concepts:</w:t>
      </w:r>
      <w:r>
        <w:t xml:space="preserve"> used, regional, climate, case, between, present;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2024:</w:t>
      </w:r>
      <w:r>
        <w:t xml:space="preserve"> Assessing the effects of heat and droughts on forest-climate interactions in Europe using a regional climate model with an interactively coupled vegetation module — https://doi.org/10.5194/egusphere-egu24-10675</w:t>
      </w:r>
    </w:p>
    <w:p>
      <w:pPr/>
      <w:r>
        <w:rPr>
          <w:b/>
        </w:rPr>
        <w:t>Shared claim-specific concepts:</w:t>
      </w:r>
      <w:r>
        <w:t xml:space="preserve"> regional, climate, simulations, euro-cordex, between; EU scope visible. This is a provisional connection, not an outcome finding.</w:t>
      </w:r>
    </w:p>
    <w:p>
      <w:pPr>
        <w:pStyle w:val="SourceNote"/>
      </w:pPr>
      <w:r>
        <w:rPr>
          <w:b/>
        </w:rPr>
        <w:t>Available abstract (not full text):</w:t>
      </w:r>
      <w:r>
        <w:t xml:space="preserve"> Forests play a pivotal role in the climate system by exchanging energy, water, and gases with the atmosphere. Through biogeochemical processes such as photosynthesis, respiration, and transpiration, forests heavily influence the carbon and water cycles. In particular, their capacity to sequester carbon through photosynthesis demonstrates their role as carbon sinks. Further, through biogeophysical processes forests influence the local and regional climate by determining local temperature and humidity distributions. However, forests not only influence the climate - they are also affected by it. Their vulnerability to climate extremes, particularly to heat and droughts, raises substantial challenges. Droughts induce water stress, affecting both biogeochemical and biogeophysical processes, at the soil-forest-atmosphere interface. Within the EU Horizon project OptFor-EU and in collaboration with the Euro-CORDEX Flagship Pilot Study LUCAS, we employ numerical models to assess the climate-forest interactions and to evaluate forest resilience in a changing climate. In this study, we examine the effects of heat and droughts on European forests and their climatic feedbacks in simulations using the regional climate model REMO2020 coupled with its interactive, mosaic-based vegetation module iMOVE. The coupling enables the exchange of crucial parameters on model timestep level, and therefor</w:t>
      </w:r>
    </w:p>
    <w:p>
      <w:pPr/>
      <w:r>
        <w:rPr>
          <w:b/>
        </w:rPr>
        <w:t>POSSIBLE 2024:</w:t>
      </w:r>
      <w:r>
        <w:t xml:space="preserve"> Assessing the effects of heat and droughts on forest-climate interactions in Europe using a regional climate model with an interactively coupled vegetation module — https://doi.org/10.5281/zenodo.20128050</w:t>
      </w:r>
    </w:p>
    <w:p>
      <w:pPr/>
      <w:r>
        <w:rPr>
          <w:b/>
        </w:rPr>
        <w:t>Shared claim-specific concepts:</w:t>
      </w:r>
      <w:r>
        <w:t xml:space="preserve"> regional, climate, simulations, euro-cordex, between; EU scope visible. This is a provisional connection, not an outcome finding.</w:t>
      </w:r>
    </w:p>
    <w:p>
      <w:pPr>
        <w:pStyle w:val="SourceNote"/>
      </w:pPr>
      <w:r>
        <w:rPr>
          <w:b/>
        </w:rPr>
        <w:t>Available abstract (not full text):</w:t>
      </w:r>
      <w:r>
        <w:t xml:space="preserve"> Forests play a pivotal role in the climate system by exchanging energy, water, and gases with the atmosphere. Through biogeochemical processes such as photosynthesis, respiration, and transpiration, forests heavily influence the carbon and water cycles. In particular, their capacity to sequester carbon through photosynthesis demonstrates their role as carbon sinks. Further, through biogeophysical processes forests influence the local and regional climate by determining local temperature and humidity distributions. However, forests not only influence the climate - they are also affected by it. Their vulnerability to climate extremes, particularly to heat and droughts, raises substantial challenges. Droughts induce water stress, affecting both biogeochemical and biogeophysical processes, at the soil-forest-atmosphere interface. Within the EU Horizon project OptFor-EU and in collaboration with the Euro-CORDEX Flagship Pilot Study LUCAS, we employ numerical models to assess the climate-forest interactions and to evaluate forest resilience in a changing climate. In this study, we examine the effects of heat and droughts on European forests and their climatic feedbacks in simulations using the regional climate model REMO2020 coupled with its interactive, mosaic-based vegetation module iMOVE. The coupling enables the exchange of crucial parameters on model timestep level, and therefor</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regional, climate, simulations, between;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regional, climate, simulations;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Did the Bronze Age deforestation of Europe affect its climate? A regional climate model study using pollen-based land cover reconstructions — https://doi.org/10.5194/cp-19-1507-2023</w:t>
      </w:r>
    </w:p>
    <w:p>
      <w:pPr/>
      <w:r>
        <w:rPr>
          <w:b/>
        </w:rPr>
        <w:t>Shared claim-specific concepts:</w:t>
      </w:r>
      <w:r>
        <w:t xml:space="preserve"> used, regional, climate, simulations, representing, between; EU scope visible. This is a provisional connection, not an outcome finding.</w:t>
      </w:r>
    </w:p>
    <w:p>
      <w:pPr>
        <w:pStyle w:val="SourceNote"/>
      </w:pPr>
      <w:r>
        <w:rPr>
          <w:b/>
        </w:rPr>
        <w:t>Available abstract (not full text):</w:t>
      </w:r>
      <w:r>
        <w:t xml:space="preserve"> Abstract. This paper studies the impact of land use and land-cover change (LULCC) on the climate around 2 500 years ago (2.5 ka), a period of rapid transitions across the European landscape. One global climate model was used to force two regional climate models (RCMs). The RCMs used two land cover descriptions. The first was from a dynamical vegetation model representing potential land cover; the second a land cover description reconstructed from pollen data by statistical interpolation. The two different land covers enable us to study the impact of land cover on climate conditions. Since the difference in landscape openness between potential and reconstructed land cover is mostly due to LULCC, this can be taken as a measure of early anthropogenic effects on climate. The use of two RCMs enables us to study how sensitive climate models can be to land-cover changes. The results show that the simulated 2.5 ka climate was warmer than the simulated pre-industrial (PI) climate. The largest differences are seen in northern Europe, where the 2.5 ka climate is 2–4 °C warmer than PI. In summer, the difference between the simulated 2.5 ka and PI climates is smaller (0–3 °C), with the smallest differences in southern Europe. Differences in seasonal precipitation are mostly within ±10 %. In parts of northern Europe, the 2.5 ka climate is up to 30 % wetter in winter than that of PI. In summe</w:t>
      </w:r>
    </w:p>
    <w:p>
      <w:pPr/>
      <w:r>
        <w:rPr>
          <w:b/>
        </w:rPr>
        <w:t>POSSIBLE 2023:</w:t>
      </w:r>
      <w:r>
        <w:t xml:space="preserve"> Review of "High resolution LGM climate over Europe and the Alpine region using the regional climate model WRF" by E. Russo and coauthors — https://doi.org/10.5194/egusphere-2023-1197-rc2</w:t>
      </w:r>
    </w:p>
    <w:p>
      <w:pPr/>
      <w:r>
        <w:rPr>
          <w:b/>
        </w:rPr>
        <w:t>Shared claim-specific concepts:</w:t>
      </w:r>
      <w:r>
        <w:t xml:space="preserve"> used, regional, climate, case, between, present;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2023:</w:t>
      </w:r>
      <w:r>
        <w:t xml:space="preserve"> Supplementary material to "High resolution LGM climate over Europe and the Alpine region using the regional climate model WRF" — https://doi.org/10.5194/egusphere-2023-1197-supplement</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Unavailable</w:t>
      </w:r>
    </w:p>
    <w:p>
      <w:pPr>
        <w:pStyle w:val="Heading2"/>
      </w:pPr>
      <w:r>
        <w:t>639.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2024:</w:t>
      </w:r>
      <w:r>
        <w:t xml:space="preserve"> Human trafficking and forced prostitution under article 4 of the European convention on human rights — https://doi.org/10.1017/glj.2023.98</w:t>
      </w:r>
    </w:p>
    <w:p>
      <w:pPr/>
      <w:r>
        <w:rPr>
          <w:b/>
        </w:rPr>
        <w:t>Shared claim-specific concepts:</w:t>
      </w:r>
      <w:r>
        <w:t xml:space="preserve"> abstract, article, comprehensive, also; EU scope visible. This is a provisional connection, not an outcome finding.</w:t>
      </w:r>
    </w:p>
    <w:p>
      <w:pPr>
        <w:pStyle w:val="SourceNote"/>
      </w:pPr>
      <w:r>
        <w:rPr>
          <w:b/>
        </w:rPr>
        <w:t>Available abstract (not full text):</w:t>
      </w:r>
      <w:r>
        <w:t xml:space="preserve"> Abstract We discuss the issue of bringing human trafficking and forced prostitution within the purview of Article 4 of the European Convention on Human Rights. The judgment of the European Court of Human Rights in Rantsev v. Cyprus and Russia marked a turning point by classifying forced prostitution through human trafficking under Article 4. However, in the judgment in S.M. v. Croatia, the ECtHR further reinforced its view that human trafficking and forced prostitution constitute a violation of Article 4. We explain human trafficking and forced prostitution both theoretically and through a number of international legal acts. We then explain Article 4 of the Convention and provide a comprehensive analysis of the material and procedural guarantees against human trafficking and forced prostitution. We also comment on the positive obligations that the ECtHR set for Member States. The authors believe that, despite numerous criticisms, the ECtHR’s position is correct and that both human trafficking and forced prostitution violate the principles of democratic society. Therefore, victims must enjoy the protection afforded by Article 4 of the Human Rights Convention and other conventions if their life situation falls within their scope.</w:t>
      </w:r>
    </w:p>
    <w:p>
      <w:pPr/>
      <w:r>
        <w:rPr>
          <w:b/>
        </w:rPr>
        <w:t>POSSIBLE 2024:</w:t>
      </w:r>
      <w:r>
        <w:t xml:space="preserve"> Early Marriage: A European Perspective — https://doi.org/10.1007/978-3-031-71598-3_12</w:t>
      </w:r>
    </w:p>
    <w:p>
      <w:pPr/>
      <w:r>
        <w:rPr>
          <w:b/>
        </w:rPr>
        <w:t>Shared claim-specific concepts:</w:t>
      </w:r>
      <w:r>
        <w:t xml:space="preserve"> abstract, article, provides, overview; EU scope visible. This is a provisional connection, not an outcome finding.</w:t>
      </w:r>
    </w:p>
    <w:p>
      <w:pPr>
        <w:pStyle w:val="SourceNote"/>
      </w:pPr>
      <w:r>
        <w:rPr>
          <w:b/>
        </w:rPr>
        <w:t>Available abstract (not full text):</w:t>
      </w:r>
      <w:r>
        <w:t xml:space="preserve"> Abstract This article provides an overview and comparison of the findings of the contributions in this chapter and an outlook on possible European improvements. To protect the persons involved, the article argues against symbolic law-making and emphatically proposes a case-by-case approach.</w:t>
      </w:r>
    </w:p>
    <w:p>
      <w:pPr/>
      <w:r>
        <w:rPr>
          <w:b/>
        </w:rPr>
        <w:t>POSSIBLE 2023:</w:t>
      </w:r>
      <w:r>
        <w:t xml:space="preserve"> Contesting Europe: Eurosceptic Dissent and Integration Polarization in the European Parliament — https://doi.org/10.1111/jcms.13448</w:t>
      </w:r>
    </w:p>
    <w:p>
      <w:pPr/>
      <w:r>
        <w:rPr>
          <w:b/>
        </w:rPr>
        <w:t>Shared claim-specific concepts:</w:t>
      </w:r>
      <w:r>
        <w:t xml:space="preserve"> abstract, article, provides, comprehensive; EU scope visible. This is a provisional connection, not an outcome finding.</w:t>
      </w:r>
    </w:p>
    <w:p>
      <w:pPr>
        <w:pStyle w:val="SourceNote"/>
      </w:pPr>
      <w:r>
        <w:rPr>
          <w:b/>
        </w:rPr>
        <w:t>Available abstract (not full text):</w:t>
      </w:r>
      <w:r>
        <w:t xml:space="preserve"> Abstract This article provides a comprehensive analysis of Eurosceptic contestation within the legislative arena of the European Parliament (EP) from 2009 to 2019. Under what conditions do Eurosceptics vote differently from their Europhile peers? The literatures on European integration, party competition and policy types lead us to expect variation in Eurosceptic contestation across policy areas. Drawing on roll‐call votes in the EP, we introduce two new measures of such contestation: Eurosceptic dissent, that is, the extent to which Eurosceptics diverge from the Europhile plurality, and integration polarization, that is, the extent to which Eurosceptics and Europhiles oppose each other as cohesive camps. Our two indicators show that Eurosceptic contestation is particularly pronounced when the EP votes on cultural, distributive and constituent issues. When voting on redistributive policies, in contrast, dissent and polarization are curbed by national and ideological diversity.</w:t>
      </w:r>
    </w:p>
    <w:p>
      <w:pPr/>
      <w:r>
        <w:rPr>
          <w:b/>
        </w:rPr>
        <w:t>POSSIBLE 2023:</w:t>
      </w:r>
      <w:r>
        <w:t xml:space="preserve"> Selective European Solidarity: How Recipient Country Characteristics Shape Support for International Redistribution in Europe — https://doi.org/10.1111/jcms.13506</w:t>
      </w:r>
    </w:p>
    <w:p>
      <w:pPr/>
      <w:r>
        <w:rPr>
          <w:b/>
        </w:rPr>
        <w:t>Shared claim-specific concepts:</w:t>
      </w:r>
      <w:r>
        <w:t xml:space="preserve"> abstract, article, union, also; EU scope visible. This is a provisional connection, not an outcome finding.</w:t>
      </w:r>
    </w:p>
    <w:p>
      <w:pPr>
        <w:pStyle w:val="SourceNote"/>
      </w:pPr>
      <w:r>
        <w:rPr>
          <w:b/>
        </w:rPr>
        <w:t>Available abstract (not full text):</w:t>
      </w:r>
      <w:r>
        <w:t xml:space="preserve"> Abstract This article analyses how the characteristics of recipient countries shape individual support for international redistribution in Europe. Whilst a growing body of research has looked into the determinants of support for international redistribution, we argue that individuals may not be willing to redistribute in equal measure to any foreign country. We use data from a survey asking respondents in 14 European countries whether they think their governments should provide financial help to 35 [European Union (EU) and non‐EU] foreign countries in the event of a major crisis. We show that individuals are more likely to support helping foreign countries that speak the same language, are geographically close, have deeper trade links, are poorer than their own and are also EU members. Individuals who are more sceptical towards international redistribution are more likely to discriminate amongst foreign countries in their support for redistribution across borders.</w:t>
      </w:r>
    </w:p>
    <w:p>
      <w:pPr/>
      <w:r>
        <w:rPr>
          <w:b/>
        </w:rPr>
        <w:t>POSSIBLE 2022:</w:t>
      </w:r>
      <w:r>
        <w:t xml:space="preserve"> Two Ways of Completing the European Fundamental Rights Union: Amendment to vs. Reinterpretation of Article 51 of the EU Charter of Fundamental Rights — https://doi.org/10.1017/cel.2022.5</w:t>
      </w:r>
    </w:p>
    <w:p>
      <w:pPr/>
      <w:r>
        <w:rPr>
          <w:b/>
        </w:rPr>
        <w:t>Shared claim-specific concepts:</w:t>
      </w:r>
      <w:r>
        <w:t xml:space="preserve"> abstract, article, union, law, also; EU scope visible. This is a provisional connection, not an outcome finding.</w:t>
      </w:r>
    </w:p>
    <w:p>
      <w:pPr>
        <w:pStyle w:val="SourceNote"/>
      </w:pPr>
      <w:r>
        <w:rPr>
          <w:b/>
        </w:rPr>
        <w:t>Available abstract (not full text):</w:t>
      </w:r>
      <w:r>
        <w:t xml:space="preserve"> Abstract The aim of this Article is to show that the enforcement of Article 2 of the Treaty on European Union (‘TEU’) values vis-à-vis Member States could benefit from the application of the EU Charter of Fundamental Rights (‘CFR’) also in instances where the current interpretation of Article 51(1) CFR prevents this. This would be the case if the CFR were also applicable to purely domestic cases, eg—but not only—with regard to fundamental rights-relevant violations related to the values enshrined in Article 2 TEU. In this case, the European Court of Justice, which has already partly taken this path recently, could prevent the violation of core EU values. The most important historical challenge to those values in Europe today is the systematic dismantling of the rule of law and democracy in certain Member States. It is the very purpose of fundamental rights to provide answers to such dangers. When one speaks of the rule of law and democracy, one necessarily also means fundamental rights. This Article thus advocates an EU which perceives itself as a complete fundamental rights union. While the traditional interpretation of Article 51(1) CFR had a balanced division of competence between the EU and its Member States in mind, the disregard of Article 2 TEU values triggers a clausula rebus sic stantibus: the neat federal balance can only be upheld if both ends stick to the original p</w:t>
      </w:r>
    </w:p>
    <w:p>
      <w:pPr/>
      <w:r>
        <w:rPr>
          <w:b/>
        </w:rPr>
        <w:t>POSSIBLE 2022:</w:t>
      </w:r>
      <w:r>
        <w:t xml:space="preserve"> Wind erosion in European agricultural landscapes: More than physics — https://doi.org/10.1002/pan3.10418</w:t>
      </w:r>
    </w:p>
    <w:p>
      <w:pPr/>
      <w:r>
        <w:rPr>
          <w:b/>
        </w:rPr>
        <w:t>Shared claim-specific concepts:</w:t>
      </w:r>
      <w:r>
        <w:t xml:space="preserve"> abstract, article, climate; EU scope visible. This is a provisional connection, not an outcome finding.</w:t>
      </w:r>
    </w:p>
    <w:p>
      <w:pPr>
        <w:pStyle w:val="SourceNote"/>
      </w:pPr>
      <w:r>
        <w:rPr>
          <w:b/>
        </w:rPr>
        <w:t>Available abstract (not full text):</w:t>
      </w:r>
      <w:r>
        <w:t xml:space="preserve"> Abstract Wind erosion from agricultural land is an underrated and understudied environmental challenge in Europe. Its societal and policy relevance will likely increase in the near future due to climate change and associated increases in the frequency, severity and patterns of atmospheric events such as droughts. We review the research on this issue and find it to be fragmented, siloed and dominated by natural sciences, leaving important research gaps. The most important gaps that circumscribe a research agenda for the future include specific effects of future climate change on wind erosion, the relevance of wind erosion for public health and ecosystem functioning, farmers' behaviour affecting erosion risk and feedback between land management and environmental change, and appropriate policy approaches to address wind erosion risks. Social science contributions are thus required to make wind erosion research relevant for addressing the related societally most pressing questions. We provide a social–environmental systems perspective to highlight the potential of inter‐ and transdisciplinary research into wind erosion in times of climate change and the increasingly recognized need to transform agriculture towards more sustainability and climate resilience. Read the free Plain Language Summary for this article on the Journal blog.</w:t>
      </w:r>
    </w:p>
    <w:p>
      <w:pPr/>
      <w:r>
        <w:rPr>
          <w:b/>
        </w:rPr>
        <w:t>POSSIBLE 2022:</w:t>
      </w:r>
      <w:r>
        <w:t xml:space="preserve"> European Union Litigation — https://doi.org/10.1515/ercl-2022-2049</w:t>
      </w:r>
    </w:p>
    <w:p>
      <w:pPr/>
      <w:r>
        <w:rPr>
          <w:b/>
        </w:rPr>
        <w:t>Shared claim-specific concepts:</w:t>
      </w:r>
      <w:r>
        <w:t xml:space="preserve"> abstract, article, provides, overview, union, law;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European Union Litigation — https://doi.org/10.1515/ercl-2022-2038</w:t>
      </w:r>
    </w:p>
    <w:p>
      <w:pPr/>
      <w:r>
        <w:rPr>
          <w:b/>
        </w:rPr>
        <w:t>Shared claim-specific concepts:</w:t>
      </w:r>
      <w:r>
        <w:t xml:space="preserve"> abstract, article, provides, overview, union, law;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2021:</w:t>
      </w:r>
      <w:r>
        <w:t xml:space="preserve"> The Integrated Carbon Observation System in Europe — https://doi.org/10.1175/bams-d-19-0364.1</w:t>
      </w:r>
    </w:p>
    <w:p>
      <w:pPr/>
      <w:r>
        <w:rPr>
          <w:b/>
        </w:rPr>
        <w:t>Shared claim-specific concepts:</w:t>
      </w:r>
      <w:r>
        <w:t xml:space="preserve"> abstract, article, provides, climate, also; EU scope visible. This is a provisional connection, not an outcome finding.</w:t>
      </w:r>
    </w:p>
    <w:p>
      <w:pPr>
        <w:pStyle w:val="SourceNote"/>
      </w:pPr>
      <w:r>
        <w:rPr>
          <w:b/>
        </w:rPr>
        <w:t>Available abstract (not full text):</w:t>
      </w:r>
      <w:r>
        <w:t xml:space="preserve"> Abstract Since 1750, land-use change and fossil fuel combustion has led to a 46% increase in the atmospheric carbon dioxide (CO2) concentrations, causing global warming with substantial societal consequences. The Paris Agreement aims to limit global temperature increases to well below 2°C above preindustrial levels. Increasing levels of CO2 and other greenhouse gases (GHGs), such as methane (CH4) and nitrous oxide (N2O), in the atmosphere are the primary cause of climate change. Approximately half of the carbon emissions to the atmosphere are sequestered by ocean and land sinks, leading to ocean acidification but also slowing the rate of global warming. However, there are significant uncertainties in the future global warming scenarios due to uncertainties in the size, nature, and stability of these sinks. Quantifying and monitoring the size and timing of natural sinks and the impact of climate change on ecosystems are important information to guide policy-makers’ decisions and strategies on reductions in emissions. Continuous, long-term observations are required to quantify GHG emissions, sinks, and their impacts on Earth systems. The Integrated Carbon Observation System (ICOS) was designed as the European in situ observation and information system to support science and society in their efforts to mitigate climate change. It provides standardized and open data currently from </w:t>
      </w:r>
    </w:p>
    <w:p>
      <w:pPr/>
      <w:r>
        <w:rPr>
          <w:b/>
        </w:rPr>
        <w:t>POSSIBLE 2021:</w:t>
      </w:r>
      <w:r>
        <w:t xml:space="preserve"> European Union Litigation — https://doi.org/10.1515/ercl-2021-2028</w:t>
      </w:r>
    </w:p>
    <w:p>
      <w:pPr/>
      <w:r>
        <w:rPr>
          <w:b/>
        </w:rPr>
        <w:t>Shared claim-specific concepts:</w:t>
      </w:r>
      <w:r>
        <w:t xml:space="preserve"> abstract, article, provides, overview, union, law;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Pandemic Politics: The European Union in Times of the Coronavirus Emergency — https://doi.org/10.1111/jcms.13303</w:t>
      </w:r>
    </w:p>
    <w:p>
      <w:pPr/>
      <w:r>
        <w:rPr>
          <w:b/>
        </w:rPr>
        <w:t>Shared claim-specific concepts:</w:t>
      </w:r>
      <w:r>
        <w:t xml:space="preserve"> abstract, article, provides, union, law; EU scope visible. This is a provisional connection, not an outcome finding.</w:t>
      </w:r>
    </w:p>
    <w:p>
      <w:pPr>
        <w:pStyle w:val="SourceNote"/>
      </w:pPr>
      <w:r>
        <w:rPr>
          <w:b/>
        </w:rPr>
        <w:t>Available abstract (not full text):</w:t>
      </w:r>
      <w:r>
        <w:t xml:space="preserve"> Abstract This article provides an assessment of the EU institutions' response to the coronavirus pandemic. By building on a synthesis of the new intergovernmentalism and the emergency politics approach it contends that the effectiveness and legitimacy of de novo bodies like the European Stability Mechanism (ESM) and the European Investment Bank (EIB) have fallen prey to its intergovernmental decision‐making structure, whereas the ECB has proven to be more resilient. The European Commission as the traditional engine of European integration was able to fill the gap with its large‐scale recovery instrument termed ‘Next Generation EU’ and via the creation of a temporary loan‐based instrument to support national short‐term work schemes (SURE). The historic July 2020 European Council produced policy outputs such as the ‘emergency brake’ and the diluted ‘rule of law mechanism’ that have the potential to deepen the rift between polarized member states.</w:t>
      </w:r>
    </w:p>
    <w:p>
      <w:pPr>
        <w:pStyle w:val="Heading2"/>
      </w:pPr>
      <w:r>
        <w:t>640.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2024:</w:t>
      </w:r>
      <w:r>
        <w:t xml:space="preserve"> Unequal geographies of gender-affirming care: A comparative typology of trans-specific healthcare systems across Europe — https://doi.org/10.1016/j.socscimed.2024.117145</w:t>
      </w:r>
    </w:p>
    <w:p>
      <w:pPr/>
      <w:r>
        <w:rPr>
          <w:b/>
        </w:rPr>
        <w:t>Shared claim-specific concepts:</w:t>
      </w:r>
      <w:r>
        <w:t xml:space="preserve"> between, overall, healthcare, based; EU scope visible. This is a provisional connection, not an outcome finding.</w:t>
      </w:r>
    </w:p>
    <w:p>
      <w:pPr>
        <w:pStyle w:val="SourceNote"/>
      </w:pPr>
      <w:r>
        <w:rPr>
          <w:b/>
        </w:rPr>
        <w:t>Available abstract (not full text):</w:t>
      </w:r>
      <w:r>
        <w:t xml:space="preserve"> RATIONALE: Gender-affirming healthcare can carry significant benefits for trans people. However, there are substantial geographical inequalities in the provision of and access to trans-specific healthcare across Europe. Comparative healthcare systems research has typically focused on universal services, neglecting provision which serves specific groups within populations (e.g., trans people). OBJECTIVE: This study aimed to develop a comparative typology of trans-specific healthcare systems across 28 European countries (the EU 27 plus the UK), and to examine country-level correlates which may influence or be influenced by these systems. METHODS: Using hierarchical and k-means cluster analysis, countries were classified into four types based on measures of trans-specific healthcare provision, regulation and access. Possible country-level correlates (including socio-political climate, medical outcomes, and the general healthcare system) were investigated. RESULTS AND DISCUSSION: The cluster analysis identified four clusters of trans-specific healthcare systems in Europe, characterized as: 1) Centralized conservative (highly centralized, extensive range of treatments, few trans-specific government policies); 2) Centralized reformist (highly centralized, extensive range of treatments, multiple trans-specific government policies); 3) Decentralized marketized (highly decentralized, mo</w:t>
      </w:r>
    </w:p>
    <w:p>
      <w:pPr/>
      <w:r>
        <w:rPr>
          <w:b/>
        </w:rPr>
        <w:t>POSSIBLE 2024:</w:t>
      </w:r>
      <w:r>
        <w:t xml:space="preserve"> A survey-based assessment of attitudes and needs regarding tinnitus healthcare among patients and healthcare professionals in Europe — https://doi.org/10.3389/fauot.2024.1347283</w:t>
      </w:r>
    </w:p>
    <w:p>
      <w:pPr/>
      <w:r>
        <w:rPr>
          <w:b/>
        </w:rPr>
        <w:t>Shared claim-specific concepts:</w:t>
      </w:r>
      <w:r>
        <w:t xml:space="preserve"> between, overall, healthcare, based; EU scope visible. This is a provisional connection, not an outcome finding.</w:t>
      </w:r>
    </w:p>
    <w:p>
      <w:pPr>
        <w:pStyle w:val="SourceNote"/>
      </w:pPr>
      <w:r>
        <w:rPr>
          <w:b/>
        </w:rPr>
        <w:t>Available abstract (not full text):</w:t>
      </w:r>
      <w:r>
        <w:t xml:space="preserve"> Despite good agreement of national guidelines for the assessment and treatment of tinnitus, there is still substantial variation regarding tinnitus-related healthcare across Europe. In contrast to previous work, which has mainly focussed on the perspective of healthcare professionals, we here report the results of separate web-based surveys conducted with clinicians and researchers as well as tinnitus patients. These surveys were devised to obtain information about their respective attitudes and needs with respect to tinnitus healthcare, and to reveal possible interdisciplinary inconsistencies among clinicians and researchers. We mainly targeted participants from Germany, Cyprus, and Greece, the countries in which the institutions of the researchers involved in this project are based. Results showed, firstly, that the treatment satisfaction of the patients was overall more negative than that of the clinicians and researchers, and that the patients' treatment satisfaction did not depend on the number of different treatments they had received. Secondly, patients as well as clinicians and researchers indicated that they were interested in learning more about a variety of tinnitus-related topics, especially treatment strategies, with no marked differences between clinicians from different professional disciplines. This suggests similar tinnitus-specific educational needs in patient</w:t>
      </w:r>
    </w:p>
    <w:p>
      <w:pPr/>
      <w:r>
        <w:rPr>
          <w:b/>
        </w:rPr>
        <w:t>POSSIBLE 2023:</w:t>
      </w:r>
      <w:r>
        <w:t xml:space="preserve"> Racism against racialized migrants in healthcare in Europe: a scoping review — https://doi.org/10.1186/s12939-023-02014-1</w:t>
      </w:r>
    </w:p>
    <w:p>
      <w:pPr/>
      <w:r>
        <w:rPr>
          <w:b/>
        </w:rPr>
        <w:t>Shared claim-specific concepts:</w:t>
      </w:r>
      <w:r>
        <w:t xml:space="preserve"> between, healthcare, three; EU scope visible. This is a provisional connection, not an outcome finding.</w:t>
      </w:r>
    </w:p>
    <w:p>
      <w:pPr>
        <w:pStyle w:val="SourceNote"/>
      </w:pPr>
      <w:r>
        <w:rPr>
          <w:b/>
        </w:rPr>
        <w:t>Available abstract (not full text):</w:t>
      </w:r>
      <w:r>
        <w:t xml:space="preserve"> BACKGROUND: Racism is frequently mentioned as a social determinant of migrants' health and a barrier to health services. However, in the European context, racism and its impact on racialized migrants' access to healthcare is remarkably under-researched. This scoping review makes a first step toward filling this void by mapping the existing literature on racial and ethnic discrimination against racialized migrants in healthcare in Europe, identifying evidence gaps, and offering recommendations for future research on this topic. METHODS: Following PRISMA guidelines, four databases were searched for empirical studies published in English between 1992 and 2022. Studies were included if they report findings on manifestations, experiences and/or impacts of racial or ethnic discrimination against racialized migrants in a healthcare setting in a European country. They were summarized by study characteristics (geographical scope, study design, research question and measures) and research findings were synthesized. RESULTS: Out of 2365 initial hits, 1724 records were included in the title/abstract-screening, 87 records in the full text-screening, and 38 records in the data extraction. For many country and healthcare contexts, evidence on racism in healthcare is lacking. Most studies apply an explorative qualitative research design; comparability and generalizability of research results a</w:t>
      </w:r>
    </w:p>
    <w:p>
      <w:pPr/>
      <w:r>
        <w:rPr>
          <w:b/>
        </w:rPr>
        <w:t>POSSIBLE 2023:</w:t>
      </w:r>
      <w:r>
        <w:t xml:space="preserve"> Socio-demographic and regional differences in unmet healthcare needs among migrants in Europe — https://doi.org/10.1371/journal.pone.0285886</w:t>
      </w:r>
    </w:p>
    <w:p>
      <w:pPr/>
      <w:r>
        <w:rPr>
          <w:b/>
        </w:rPr>
        <w:t>Shared claim-specific concepts:</w:t>
      </w:r>
      <w:r>
        <w:t xml:space="preserve"> between, overall, healthcare, factors; EU scope visible. This is a provisional connection, not an outcome finding.</w:t>
      </w:r>
    </w:p>
    <w:p>
      <w:pPr>
        <w:pStyle w:val="SourceNote"/>
      </w:pPr>
      <w:r>
        <w:rPr>
          <w:b/>
        </w:rPr>
        <w:t>Available abstract (not full text):</w:t>
      </w:r>
      <w:r>
        <w:t xml:space="preserve"> BACKGROUND: Different barriers that hinder migrants' access to healthcare may have detrimental effect on health but also contribute to health inequalities. Given the lack of evidence on unmet healthcare needs among European migrant population, the study aimed to analyse the demographic, socio-economic and health-related patterning of unmet healthcare needs among migrants in Europe. METHODS: European Health Interview Survey data from 2013-2015 covering 26 countries was used to analyse associations of individual-level factors and unmet healthcare needs among migrants (n = 12,817). Prevalences and 95% confidence intervals for unmet healthcare needs were presented for geographical regions and countries. Associations between unmet healthcare needs and demographic, socio-economic, and health indicators were analysed using Poisson regression models. RESULTS: The overall prevalence of unmet healthcare needs among migrants was 27.8% (95% CI 27.1-28.6) but the estimate varied substantially across geographical regions in Europe. Unmet healthcare needs due to cost or access were patterned by various demographic, socio-economic, and health-related indicators but higher prevalence of UHN were universally found for women, those with the lowest income, and poor health. CONCLUSIONS: While the high level of unmet healthcare needs illustrate migrants' vulnerability to health risks, the regional v</w:t>
      </w:r>
    </w:p>
    <w:p>
      <w:pPr/>
      <w:r>
        <w:rPr>
          <w:b/>
        </w:rPr>
        <w:t>POSSIBLE 2022:</w:t>
      </w:r>
      <w:r>
        <w:t xml:space="preserve"> P1034: HEALTHCARE UTILIZATION OF PATIENTS WITH HYPEREOSINOPHILIC SYNDROME IN EUROPE — https://doi.org/10.1097/01.hs9.0000847004.53726.7b</w:t>
      </w:r>
    </w:p>
    <w:p>
      <w:pPr/>
      <w:r>
        <w:rPr>
          <w:b/>
        </w:rPr>
        <w:t>Shared claim-specific concepts:</w:t>
      </w:r>
      <w:r>
        <w:t xml:space="preserve"> between, overall, healthcare, burden; EU scope visible. This is a provisional connection, not an outcome finding.</w:t>
      </w:r>
    </w:p>
    <w:p>
      <w:pPr>
        <w:pStyle w:val="SourceNote"/>
      </w:pPr>
      <w:r>
        <w:rPr>
          <w:b/>
        </w:rPr>
        <w:t>Available abstract (not full text):</w:t>
      </w:r>
      <w:r>
        <w:t xml:space="preserve"> Background: Hypereosinophilic syndrome (HES) is a rare group of blood disorders characterized by prolonged eosinophilia that can lead to tissue and organ damage. HES was previously considered to be largely idiopathic, but myeloid and lymphocytic variants are also now recognized. The disease may manifest in multiple organ systems, most commonly the heart, nervous system, gastrointestinal tract, skin, and lungs, due to eosinophilic infiltration. Treatment aims to reduce eosinophil counts, and the current standard of care consists of high-dose glucocorticosteroids, despite the risks associated with high doses or long exposure, and antineoplastic agents for those with more severe disease or who do not respond to steroids. Healthcare resource utilization (HCRU) in patients with HES is not well characterized, and data from clinical trials may not be representative of the general disease population encountered in real-world settings. Aims: To describe HES-related HCRU among a real-world cohort of patients with a confirmed diagnosis of HES in Europe. Methods: This retrospective chart review study included patients ≥6 years old with a confirmed diagnosis of HES and ≥1 year of follow-up data from index (first physician encounter: Jan 2015–Dec 2019). Chart review was conducted by physicians in 5 European countries (France, Germany, Italy, Spain, and the United Kingdom [UK]). Data from a s</w:t>
      </w:r>
    </w:p>
    <w:p>
      <w:pPr/>
      <w:r>
        <w:rPr>
          <w:b/>
        </w:rPr>
        <w:t>POSSIBLE 2022:</w:t>
      </w:r>
      <w:r>
        <w:t xml:space="preserve"> Work schedule characteristics associated with sleep disturbance among healthcare professionals in Europe and South Korea: a report from two cross-sectional surveys — https://doi.org/10.1186/s12912-022-00974-3</w:t>
      </w:r>
    </w:p>
    <w:p>
      <w:pPr/>
      <w:r>
        <w:rPr>
          <w:b/>
        </w:rPr>
        <w:t>Shared claim-specific concepts:</w:t>
      </w:r>
      <w:r>
        <w:t xml:space="preserve"> between, overall, healthcare, factors; EU scope visible. This is a provisional connection, not an outcome finding.</w:t>
      </w:r>
    </w:p>
    <w:p>
      <w:pPr>
        <w:pStyle w:val="SourceNote"/>
      </w:pPr>
      <w:r>
        <w:rPr>
          <w:b/>
        </w:rPr>
        <w:t>Available abstract (not full text):</w:t>
      </w:r>
      <w:r>
        <w:t xml:space="preserve"> BACKGROUND: Healthcare professionals worldwide are prone to sleep disturbance. Such sleep disturbance is associated with lower patient safety and quality of care. Therefore, this study aimed to identify the prevalence of sleep disturbance and determine the effect of work schedule characteristics on sleep disturbance among healthcare professionals in Europe and South Korea. METHODS: We used the sixth European Working Conditions Survey and the fifth Korean Working Conditions Survey for analyses. The study included 2285 healthcare professionals aged 18-65 years. Work schedule characteristics included shift work, night work, working hours per week, long work hours (i.e., more than 10 hours per shift), quick return to work, having to come to work on short notice, and changes in work schedules. A multiple logistic regression analysis was performed. RESULTS: The overall prevalence of sleep disturbance was 37.7%. The multivariate logistic regression model indicated that long work hours, quick return to, having to come to work on short notice, and changes in work schedules were significant factors associated with sleep disturbance among healthcare professionals. CONCLUSION: The findings revealed that several work schedule-related factors were associated with sleep disturbances in healthcare professionals in Europe and Korea. Institutions and policymakers should implement strategies and </w:t>
      </w:r>
    </w:p>
    <w:p>
      <w:pPr/>
      <w:r>
        <w:rPr>
          <w:b/>
        </w:rPr>
        <w:t>POSSIBLE 2022:</w:t>
      </w:r>
      <w:r>
        <w:t xml:space="preserve"> Sex differences in the association between social capital and healthcare use—Results from the Survey of Health, Ageing and Retirement in Europe (SHARE) — https://doi.org/10.1111/hsc.13889</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Females and males frequently report substantial differences in social capital indicators and may use healthcare distinctly. Nevertheless, the potential effect of sex on the relation between social capital and healthcare use remains unclear. This study aims to quantify the association between different indicators of individuals' social capital and healthcare use, according to sex. Data were retrieved from the Sixth Wave of the Survey of Health, Ageing and Retirement in Europe (SHARE), which was conducted in 2015, and included 68,188 participants from 18 countries. Adjusted odds ratios (AOR) and 95% confidence intervals (95%CI) were computed using logistic regression. Overall, males and females with smaller social networks, those who live alone or with any other relatives besides their partners, and those whose first close confidant was a family member or a neighbour reported fewer contacts with medical doctors or nurses, as well as with dentists or dental hygienists. Amongst females, participation in educational or training courses (AOR = 1.67, 95%CI:1.40-2.00; p for interaction = 0.035) and sport, social or any other club (AOR = 1.79, 95%CI:1.58-2.02; p for interaction = 0.043) was associated with a more frequent contact with dentists or dental hygienists. Females who participated in volunteer or charity work (AOR = 0.76, 95%CI:0.64-0.91; p for interaction = 0.042) and politica</w:t>
      </w:r>
    </w:p>
    <w:p>
      <w:pPr/>
      <w:r>
        <w:rPr>
          <w:b/>
        </w:rPr>
        <w:t>POSSIBLE 2021:</w:t>
      </w:r>
      <w:r>
        <w:t xml:space="preserve"> Access to healthcare for people aged 50+ in Europe during the COVID-19 outbreak — https://doi.org/10.1007/s10433-021-00631-9</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 40,919) with institutional and epidemic-related country characteristics to investigate healthcare access for Europeans aged 50+ during the outbreak of COVID-19. We use a micro-macro approach to examine whether and to what extent barriers to accessing healthcare measured by reported unmet healthcare needs vary within and between countries. We consider various aspects of barriers and distinguish among: (1) respondents who forewent medical treatment because they were afraid of becoming infected with the Coronavirus; (2) respondents who had pre-scheduled medical appointments postponed by health providers due to the outbreak; and (3) respondents who tried to arrange a medical appointment but were denied one. Limited access to healthcare during the initial outbreak was more common for the occupationally active, women, the more educated and those living in urban areas. A bad economic situation, poor overall health and higher healthcare utilisation were robust predictors of unmet healthcare. People aged 50+ in countries of 'Old' Europe, countries with higher universal health coverage and stricter containment and closure policies were more likely to have medical services postponed. Policymakers should address the healthcare needs of older people with chronic health conditions and a poor socio-economic status who were made more vulnerable by this pandemic. In the aftermath of the healt</w:t>
      </w:r>
    </w:p>
    <w:p>
      <w:pPr/>
      <w:r>
        <w:rPr>
          <w:b/>
        </w:rPr>
        <w:t>POSSIBLE 2021:</w:t>
      </w:r>
      <w:r>
        <w:t xml:space="preserve"> Venture capital healthcare investments and health care sector growth: A panel data analysis of Europe — https://doi.org/10.1016/j.bir.2021.06.008</w:t>
      </w:r>
    </w:p>
    <w:p>
      <w:pPr/>
      <w:r>
        <w:rPr>
          <w:b/>
        </w:rPr>
        <w:t>Shared claim-specific concepts:</w:t>
      </w:r>
      <w:r>
        <w:t xml:space="preserve"> between, overall, healthcare, increase, trends; EU scope visible. This is a provisional connection, not an outcome finding.</w:t>
      </w:r>
    </w:p>
    <w:p>
      <w:pPr>
        <w:pStyle w:val="SourceNote"/>
      </w:pPr>
      <w:r>
        <w:rPr>
          <w:b/>
        </w:rPr>
        <w:t>Available abstract (not full text):</w:t>
      </w:r>
      <w:r>
        <w:t xml:space="preserve"> We examine the effect of venture capital investments on health sector growth, using a macro sample data from EVCA (now Invest Europe), World Bank, OECD and Eurostat databases covering 23 EU/EEA countries between 2000 and 2019. We follow the system GLS fixed effect and random effect approach, posit and find evidence that VC healthcare investments and age of VC industry increase healthcare sector growth in Europe. Life expectancy (one of the proxy variables for health sector growth) shows increasing trends in Europe. We also find that innovation, financial sector development, macroeconomic variables and healthcare infrastructure significantly increase health sector growth. We conjecture that VC investors may enjoy returns on investments which decipher into social returns to health sector outcomes. Our study makes justification for private-public partnership to support health sector growth. We recommend more funding support and inducement policy models tailor-made to reap benefits from overall health sector growth.</w:t>
      </w:r>
    </w:p>
    <w:p>
      <w:pPr/>
      <w:r>
        <w:rPr>
          <w:b/>
        </w:rPr>
        <w:t>POSSIBLE 2021:</w:t>
      </w:r>
      <w:r>
        <w:t xml:space="preserve"> Access to Healthcare for Migrant Patients in Europe: Healthcare Discrimination and Translation Services — https://doi.org/10.3390/ijerph18157901</w:t>
      </w:r>
    </w:p>
    <w:p>
      <w:pPr/>
      <w:r>
        <w:rPr>
          <w:b/>
        </w:rPr>
        <w:t>Shared claim-specific concepts:</w:t>
      </w:r>
      <w:r>
        <w:t xml:space="preserve"> healthcare, three, based, factors; EU scope visible. This is a provisional connection, not an outcome finding.</w:t>
      </w:r>
    </w:p>
    <w:p>
      <w:pPr>
        <w:pStyle w:val="SourceNote"/>
      </w:pPr>
      <w:r>
        <w:rPr>
          <w:b/>
        </w:rPr>
        <w:t>Available abstract (not full text):</w:t>
      </w:r>
      <w:r>
        <w:t xml:space="preserve"> BACKGROUND: Discrimination based on ethnicity and the lack of translation services in healthcare have been identified as main barriers to healthcare access. However, the actual experiences of migrant patients in Europe are rarely present in the literature. OBJECTIVES: The aim of this study was to assess healthcare discrimination as perceived by migrants themselves and the availability of translation services in the healthcare systems of Europe. METHODS: A total of 1407 migrants in 10 European Union countries (consortium members of the Mig-HealthCare project) were surveyed concerning healthcare discrimination, access to healthcare services, and need of translation services using an interviewer-administered questionnaire. Migrants in three countries were excluded from the analysis, due to small sample size, and the new sample consisted of N = 1294 migrants. Descriptive statistics and multivariable regression analyses were conducted to investigate the risk factors on perceived healthcare discrimination for migrants and refugees in the EU. RESULTS: Mean age was 32 (±11) years and 816 (63.26%) participants were males. The majority came from Syria, Afghanistan, Iraq, Nigeria, and Iran. Older migrants reported better treatment experience. Migrants in Italy (0.191; 95% CI [0.029, 0.352]) and Austria (0.167; 95% CI [0.012, 0.323]) scored higher in the Discrimination Scale to Medical Set</w:t>
      </w:r>
    </w:p>
    <w:p>
      <w:pPr>
        <w:pStyle w:val="Heading2"/>
      </w:pPr>
      <w:r>
        <w:t>641.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pStyle w:val="Heading2"/>
      </w:pPr>
      <w:r>
        <w:t>642.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2025:</w:t>
      </w:r>
      <w:r>
        <w:t xml:space="preserve"> ANALYSIS OF CAMPING RESORTS IN EUROPE: A LAYOUT AND INFRASTRUCTURE STUDY — https://doi.org/10.7862/rb.2025.2</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pPr/>
      <w:r>
        <w:rPr>
          <w:b/>
        </w:rPr>
        <w:t>POSSIBLE 2025:</w:t>
      </w:r>
      <w:r>
        <w:t xml:space="preserve"> The Three Seas Initiative as a Component of India–Middle East–Europe Economic Corridor (IMEC) — https://doi.org/10.35757/stp.2025.53.1.11</w:t>
      </w:r>
    </w:p>
    <w:p>
      <w:pPr/>
      <w:r>
        <w:rPr>
          <w:b/>
        </w:rPr>
        <w:t>Shared claim-specific concepts:</w:t>
      </w:r>
      <w:r>
        <w:t xml:space="preserve"> article, presents, three, potential; EU scope visible. This is a provisional connection, not an outcome finding.</w:t>
      </w:r>
    </w:p>
    <w:p>
      <w:pPr>
        <w:pStyle w:val="SourceNote"/>
      </w:pPr>
      <w:r>
        <w:rPr>
          <w:b/>
        </w:rPr>
        <w:t>Available abstract (not full text):</w:t>
      </w:r>
      <w:r>
        <w:t xml:space="preserve"> The article presents the Three Seas Initiative (3SI) as a key component of the India–Middle East–Europe Economic Corridor (IMEC). It analyses the strategic role of transport infrastructure in Central and Eastern Europe amid shifting geopolitical dynamics. The study explores the impact of the pandemic, the war in Ukraine, and supply chain disruptions on the need for alternative trade routes. Special attention is given to Adriatic and Aegean ports such as Koper, Rijeka, and Thessaloniki as potential European endpoints of IMEC, highlighting their links to 3SI infrastructure and the broader TEN-T network. In this article IMEC and 3SI are portrayed not only as a logistics projects, but as a geopolitical tool reshaping regional alliances. The implementation of both may serve as a counterbalance to China’s Belt and Road Initiative by fostering secure and democratic trade connectivity across continents. Furthermore, the 3SI, supported by southern ports and expanding infrastructure along the north–south axis, may significantly improve access to the northernmost EU countries and Scandinavia, enhancing European cohesion and connectivity. This paper also emphasizes the dual-use nature of infrastructure investments, supporting both economic development and military mobility.</w:t>
      </w:r>
    </w:p>
    <w:p>
      <w:pPr/>
      <w:r>
        <w:rPr>
          <w:b/>
        </w:rPr>
        <w:t>POSSIBLE 2025:</w:t>
      </w:r>
      <w:r>
        <w:t xml:space="preserve"> The Silver Economy in the European Perspective — https://doi.org/10.37075/isa.2025.2.04</w:t>
      </w:r>
    </w:p>
    <w:p>
      <w:pPr/>
      <w:r>
        <w:rPr>
          <w:b/>
        </w:rPr>
        <w:t>Shared claim-specific concepts:</w:t>
      </w:r>
      <w:r>
        <w:t xml:space="preserve"> article, presents, three, exit; EU scope visible. This is a provisional connection, not an outcome finding.</w:t>
      </w:r>
    </w:p>
    <w:p>
      <w:pPr>
        <w:pStyle w:val="SourceNote"/>
      </w:pPr>
      <w:r>
        <w:rPr>
          <w:b/>
        </w:rPr>
        <w:t>Available abstract (not full text):</w:t>
      </w:r>
      <w:r>
        <w:t xml:space="preserve"> This article presents a comprehensive interdisciplinary analysis of demographic agеing in Europe through the analytical lens of the so-called ‘silver economy’, a conceptual paradigm that reframes ageing not as a unilateral social challenge but as a strategic economic asset. The study follows the evolving discourse surrounding older adults, shifting from perceptions of dependency and care to recognition of their agency as consumers, innovators, and contributors to productivity in the context of societal development. Drawing on up-to-date demographic indicators and EU-level policy documents, the paper systematizes three core dimensions through which the silver economy intersects with human well-being: late-life labor force participation, integrated social and healthcare services, and the infrastructure for digital and territorial connectivity. The findings suggest that the combination of policies aimed at extending working life – including raising the retirement age, promoting lifelong learning and reducing early exit from the labour market — significantly enhances the active social role of older individuals. Currently, the silver economy acts as a driver of innovation in healthcare, assistive technologies, and digital services, improving the quality of life of older people and opening new markets. The paper concludes that a successful transformation of demographic trends into su</w:t>
      </w:r>
    </w:p>
    <w:p>
      <w:pPr/>
      <w:r>
        <w:rPr>
          <w:b/>
        </w:rPr>
        <w:t>POSSIBLE 2024:</w:t>
      </w:r>
      <w:r>
        <w:t xml:space="preserve"> Artificial Intelligence Across Europe: A Study on Awareness, Attitude and Trust — https://doi.org/10.1109/tai.2024.3461633</w:t>
      </w:r>
    </w:p>
    <w:p>
      <w:pPr/>
      <w:r>
        <w:rPr>
          <w:b/>
        </w:rPr>
        <w:t>Shared claim-specific concepts:</w:t>
      </w:r>
      <w:r>
        <w:t xml:space="preserve"> article, presents, three, poland; EU scope visible. This is a provisional connection, not an outcome finding.</w:t>
      </w:r>
    </w:p>
    <w:p>
      <w:pPr>
        <w:pStyle w:val="SourceNote"/>
      </w:pPr>
      <w:r>
        <w:rPr>
          <w:b/>
        </w:rPr>
        <w:t>Available abstract (not full text):</w:t>
      </w:r>
      <w:r>
        <w:t xml:space="preserve"> This article presents the results of an extensive study investigating the opinions on artificial intelligence (AI) of a sample of 4006 European citizens from eight distinct countries (France, Germany, Italy, Netherlands, Poland, Romania, Spain, and Sweden). The aim of the study is to gain a better understanding of people's views and perceptions within the European context, which is already marked by important policy actions and regulatory processes. To survey the perceptions of the citizens of Europe, we design and validate a new questionnaire (PAICE) structured around three dimensions: people's awareness, attitude, and trust. We observe that while awareness is characterized by a low level of self-assessed competency, the attitude toward AI is very positive for more than half of the population. Reflecting on the collected results, we highlight implicit contradictions and identify trends that may interfere with the creation of an ecosystem of trust and the development of inclusive AI policies. The introduction of rules that ensure legal and ethical standards, along with the activity of high-level educational entities, and the promotion of AI literacy are identified as key factors in supporting a trustworthy AI ecosystem. We make some recommendations for AI governance focused on the European context and conclude with suggestions for future work.</w:t>
      </w:r>
    </w:p>
    <w:p>
      <w:pPr/>
      <w:r>
        <w:rPr>
          <w:b/>
        </w:rPr>
        <w:t>POSSIBLE 2023:</w:t>
      </w:r>
      <w:r>
        <w:t xml:space="preserve"> EU enlargement in wartime Europe: three dimensions and scenarios — https://doi.org/10.1080/21582041.2023.2289661</w:t>
      </w:r>
    </w:p>
    <w:p>
      <w:pPr/>
      <w:r>
        <w:rPr>
          <w:b/>
        </w:rPr>
        <w:t>Shared claim-specific concepts:</w:t>
      </w:r>
      <w:r>
        <w:t xml:space="preserve"> article, presents, three, union;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2023:</w:t>
      </w:r>
      <w:r>
        <w:t xml:space="preserve"> A Lexicographic Practice Map of Europe — https://doi.org/10.1093/ijl/ecad023</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pPr/>
      <w:r>
        <w:rPr>
          <w:b/>
        </w:rPr>
        <w:t>POSSIBLE 2022:</w:t>
      </w:r>
      <w:r>
        <w:t xml:space="preserve"> Abortion: legislation and statistics in Europe — https://doi.org/10.1080/13625187.2022.2057469</w:t>
      </w:r>
    </w:p>
    <w:p>
      <w:pPr/>
      <w:r>
        <w:rPr>
          <w:b/>
        </w:rPr>
        <w:t>Shared claim-specific concepts:</w:t>
      </w:r>
      <w:r>
        <w:t xml:space="preserve"> article, presents, three, union; EU scope visible. This is a provisional connection, not an outcome finding.</w:t>
      </w:r>
    </w:p>
    <w:p>
      <w:pPr>
        <w:pStyle w:val="SourceNote"/>
      </w:pPr>
      <w:r>
        <w:rPr>
          <w:b/>
        </w:rPr>
        <w:t>Available abstract (not full text):</w:t>
      </w:r>
      <w:r>
        <w:t xml:space="preserve"> Objective: The Parliamentary Assembly invited the member states of the Council of Europe to ‘guarantee women's effective exercise of their right of access to a safe and legal abortion’. While abortion legislation and statistics give an impression of the legislative, cultural, and religious views of the societies and the socio-economic health of the female population, only one study conducted in 2011 looked into the current legislation and trends in terminations of pregnancy in the European Union.Materials and Methods: From January 2017 to December 2018, a group of experts, the authors of the present article, liaised with colleagues practising in 32 European countries to collect data on abortion legislation and statistics using three different questionnaires.Results: The article presents the results of this initiative and compares the status quo and recent trends in abortion legislation and statistics across Europe.Conclusions: The European legislations are still very heterogenous and abortion rates vary widely between countries, confirming that laws do not correlate with abortion rates. This compilation of data, also available on a website (www.abort-report.eu), may help to change laws to better meet the needs of women who decided to have an abortion as a solution to the underlying problem of an unwanted pregnancy.</w:t>
      </w:r>
    </w:p>
    <w:p>
      <w:pPr/>
      <w:r>
        <w:rPr>
          <w:b/>
        </w:rPr>
        <w:t>POSSIBLE 2022:</w:t>
      </w:r>
      <w:r>
        <w:t xml:space="preserve"> The Current Status and Work of Three Rs Centres and Platforms in Europe* — https://doi.org/10.1177/02611929221140909</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The adoption of Directive 2010/63/EU on the protection of animals used for scientific purposes has given a major push to the formation of Three Rs initiatives in the form of centres and platforms. These centres and platforms are dedicated to the so-called Three Rs, which are the Replacement, Reduction and Refinement of animal use in experiments. ATLA’s 50th Anniversary year has seen the publication of two articles on European Three Rs centres and platforms. The first of these was about the progressive rise in their numbers and about their founding history; this second part focuses on their current status and activities. This article takes a closer look at their financial and organisational structures, describes their Three Rs focus and core activities (dissemination, education, implementation, scientific quality/translatability, ethics), and presents their areas of responsibility and projects in detail. This overview of the work and diverse structures of the Three Rs centres and platforms is not only intended to bring them closer to the reader, but also to provide role models and show examples of how such Three Rs centres and platforms could be made sustainable. The Three Rs centres and platforms are very important focal points and play an immense role as facilitators of Directive 2010/63/EU ‘on the ground’ in their respective countries. They are also invaluable for the wide di</w:t>
      </w:r>
    </w:p>
    <w:p>
      <w:pPr/>
      <w:r>
        <w:rPr>
          <w:b/>
        </w:rPr>
        <w:t>POSSIBLE 2022:</w:t>
      </w:r>
      <w:r>
        <w:t xml:space="preserve"> The Regional Development Trap in Europe — https://doi.org/10.1080/00130095.2022.2080655</w:t>
      </w:r>
    </w:p>
    <w:p>
      <w:pPr/>
      <w:r>
        <w:rPr>
          <w:b/>
        </w:rPr>
        <w:t>Shared claim-specific concepts:</w:t>
      </w:r>
      <w:r>
        <w:t xml:space="preserve"> article, political;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DESIGNING SPACE IN MUSEUM FACILITIES IN EUROPE — https://doi.org/10.21005/pif.2022.49.b-03</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The article presents research on the conscious shaping of museum spaces in Europe. The research focused on elements of architectural composition and spatial treatments experienced on three levels: pre-narratives, protonarrations and procedural narratives of the unconscious (Dimaggio, Semerari, 2001, 14: 1-23), as based solely on past experiences. sensual user. Selected elements influencing the user were divided into three categories: causing action, focusing attention or causing a reaction, and building awareness of space.</w:t>
      </w:r>
    </w:p>
    <w:p>
      <w:pPr>
        <w:pStyle w:val="Heading2"/>
      </w:pPr>
      <w:r>
        <w:t>643.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2023:</w:t>
      </w:r>
      <w:r>
        <w:t xml:space="preserve"> A Study on Trade Damage and Trade Adjustment Assistance(TAA) — https://doi.org/10.18104/kalc.2023.38.1.31</w:t>
      </w:r>
    </w:p>
    <w:p>
      <w:pPr/>
      <w:r>
        <w:rPr>
          <w:b/>
        </w:rPr>
        <w:t>Shared claim-specific concepts:</w:t>
      </w:r>
      <w:r>
        <w:t xml:space="preserve"> damage, trade, related, but; EU scope not established. This is a provisional connection, not an outcome finding.</w:t>
      </w:r>
    </w:p>
    <w:p>
      <w:pPr>
        <w:pStyle w:val="SourceNote"/>
      </w:pPr>
      <w:r>
        <w:rPr>
          <w:b/>
        </w:rPr>
        <w:t>Available abstract (not full text):</w:t>
      </w:r>
      <w:r>
        <w:t xml:space="preserve"> Purpose: This paper tries to evaluate Korea's Trade Adjustment Assistance (TAA) system and proposes measures to more faithfully implement amendments to the TAA legislation from 2022. Research design, data, and methodology: This paper focuses on the regulations related to the TAA system, and on the problems that may arise from the regulations. Results: TAA support is allowed only when damage caused by the opening of trade is proven and confirmed. But it is very difficult for most small and medium-sized companies to prove trade damage. Conclusions: While the TAA system is designed to support trade-damaged companies, it should also include policies that focus on restructuring the business of a damaged company.</w:t>
      </w:r>
    </w:p>
    <w:p>
      <w:pPr/>
      <w:r>
        <w:rPr>
          <w:b/>
        </w:rPr>
        <w:t>POSSIBLE 2023:</w:t>
      </w:r>
      <w:r>
        <w:t xml:space="preserve"> Trade, Transport Emissions and Multimarket Collusion with Border Adjustments — https://doi.org/10.1007/s10640-023-00799-x</w:t>
      </w:r>
    </w:p>
    <w:p>
      <w:pPr/>
      <w:r>
        <w:rPr>
          <w:b/>
        </w:rPr>
        <w:t>Shared claim-specific concepts:</w:t>
      </w:r>
      <w:r>
        <w:t xml:space="preserve"> damage, trade, but; EU scope not established. This is a provisional connection, not an outcome finding.</w:t>
      </w:r>
    </w:p>
    <w:p>
      <w:pPr>
        <w:pStyle w:val="SourceNote"/>
      </w:pPr>
      <w:r>
        <w:rPr>
          <w:b/>
        </w:rPr>
        <w:t>Available abstract (not full text):</w:t>
      </w:r>
      <w:r>
        <w:t xml:space="preserve"> Abstract We analyze the impact of border adjustment policies on trade, pollution and welfare when firms, located in different countries, sell differentiated products in geographically-separated markets. Transportation of goods not only incurs a cost, but also generates emissions. We compare outcomes under competition and multimarket collusion. Cooperating governments can implement the first-best using appropriate border adjustments regardless of the market structure. When governments set policies non-cooperatively, the border adjustment tariffs exceed the marginal damage from emissions. While it is expected that colluding firms would reduce trade flows relative to competition, trade increases under collusion, resulting in higher welfare. This highlights the possibility of allowing firms to collude and taxing (part of) their profits, which can be redistributed to citizens or used to mitigate the effects of pollution.</w:t>
      </w:r>
    </w:p>
    <w:p>
      <w:pPr/>
      <w:r>
        <w:rPr>
          <w:b/>
        </w:rPr>
        <w:t>POSSIBLE 2022:</w:t>
      </w:r>
      <w:r>
        <w:t xml:space="preserve"> Damage — https://doi.org/10.1093/he/9780198869917.003.0034</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Abstract This chapter examines one element that a claimant must prove to sustain a passing off action: the requirement that they have suffered, or are likely to suffer, damage as a result of the defendant’s misrepresentation. It first considers four types of damage that have been recognized by the courts in connection with misrepresentation: loss of existing trade and profits; loss of potential trade and profits; damage to reputation; and dilution. It then discusses the notion of extended passing off and its three elements: goodwill, misrepresentation, and damage. It also looks at the principles of unfair competition.</w:t>
      </w:r>
    </w:p>
    <w:p>
      <w:pPr/>
      <w:r>
        <w:rPr>
          <w:b/>
        </w:rPr>
        <w:t>POSSIBLE 2022:</w:t>
      </w:r>
      <w:r>
        <w:t xml:space="preserve"> Conflict and Intergroup Trade: Evidence from the 2014 Russia-Ukraine Crisis — https://doi.org/10.1257/aer.20191701</w:t>
      </w:r>
    </w:p>
    <w:p>
      <w:pPr/>
      <w:r>
        <w:rPr>
          <w:b/>
        </w:rPr>
        <w:t>Shared claim-specific concepts:</w:t>
      </w:r>
      <w:r>
        <w:t xml:space="preserve"> trade, after; EU scope not established. This is a provisional connection, not an outcome finding.</w:t>
      </w:r>
    </w:p>
    <w:p>
      <w:pPr>
        <w:pStyle w:val="SourceNote"/>
      </w:pPr>
      <w:r>
        <w:rPr>
          <w:b/>
        </w:rPr>
        <w:t>Available abstract (not full text):</w:t>
      </w:r>
      <w:r>
        <w:t xml:space="preserve"> Does armed conflict reduce trade, even in noncombat areas, through the destruction of intergroup social capital? We analyze Ukrainian trade transactions before and after the 2014 Russia-Ukraine conflict. In a difference-in-differences framework, we find that Ukrainian firms from districts with fewer ethnic Russians experienced a deeper decline in trade with Russia. This decline is economically signifi-cant, persistent, and can be explained by erosion of intergroup trust. Affected Ukrainian firms suffered a decrease in performance and diverted trade to other countries. Our results suggest that, through social effects, conflict can be economically damaging even away from combat areas. (JEL D74, F14, F51, J15, P31, P33, Z13)</w:t>
      </w:r>
    </w:p>
    <w:p>
      <w:pPr/>
      <w:r>
        <w:rPr>
          <w:b/>
        </w:rPr>
        <w:t>POSSIBLE 2021:</w:t>
      </w:r>
      <w:r>
        <w:t xml:space="preserve"> Neural Network in the Forecast of Compensation for Ecological Environment Damage Caused by Trade — https://doi.org/10.25236/ijfs.2021.031313</w:t>
      </w:r>
    </w:p>
    <w:p>
      <w:pPr/>
      <w:r>
        <w:rPr>
          <w:b/>
        </w:rPr>
        <w:t>Shared claim-specific concepts:</w:t>
      </w:r>
      <w:r>
        <w:t xml:space="preserve"> damage, trade, after, but; EU scope not established. This is a provisional connection, not an outcome finding.</w:t>
      </w:r>
    </w:p>
    <w:p>
      <w:pPr>
        <w:pStyle w:val="SourceNote"/>
      </w:pPr>
      <w:r>
        <w:rPr>
          <w:b/>
        </w:rPr>
        <w:t>Available abstract (not full text):</w:t>
      </w:r>
      <w:r>
        <w:t xml:space="preserve"> With the rapid growth of China's trade, the aggravation of environmental damage, research on trade growth and environmental damage forecasting issues is of great significance for the formulation and coordination of trade policies, environmental policies, and industrial policies. This article mainly studies the application of neural network in the prediction of compensation for ecological environment damage caused by trade. In this paper, the neural network model is applied to time series forecasting and panel data forecasting respectively, and the MATLAB tool is used to simulate the model, and the environmental damage compensation caused by trade is predicted. After L = 7613 iteration training, the total error value gradually decreases, and the given total error accuracy is 0.001. At this point, training is complete. After training, the BP neural network has been able to correctly predict these training samples. The prediction accuracy of this study reached 98%. This shows that the BP neural network model established in this paper not only meets the overall classification accuracy, but also has high accuracy in predicting the compensation of the ecological environment damage of each sample data. The research results show that the model is applied to the prediction of compensation for eco-environmental damage caused by trade. It has the advantages of fewer samples, high predicti</w:t>
      </w:r>
    </w:p>
    <w:p>
      <w:pPr/>
      <w:r>
        <w:rPr>
          <w:b/>
        </w:rPr>
        <w:t>POSSIBLE 2021:</w:t>
      </w:r>
      <w:r>
        <w:t xml:space="preserve"> The choice of cap-and-trade and carbon tax regulations in a cap-dependent carbon trading price setting — https://doi.org/10.1108/k-09-2020-0610</w:t>
      </w:r>
    </w:p>
    <w:p>
      <w:pPr/>
      <w:r>
        <w:rPr>
          <w:b/>
        </w:rPr>
        <w:t>Shared claim-specific concepts:</w:t>
      </w:r>
      <w:r>
        <w:t xml:space="preserve"> damage, two, related; EU scope not established. This is a provisional connection, not an outcome finding.</w:t>
      </w:r>
    </w:p>
    <w:p>
      <w:pPr>
        <w:pStyle w:val="SourceNote"/>
      </w:pPr>
      <w:r>
        <w:rPr>
          <w:b/>
        </w:rPr>
        <w:t>Available abstract (not full text):</w:t>
      </w:r>
      <w:r>
        <w:t xml:space="preserve"> Purpose The purpose of this paper is to analyze the operational decisions of a manufacturer who produces multiple products and the government's selection of cap-and-trade and carbon tax regulations. Design/methodology/approach This paper explores the production decisions of a multi-product manufacturer under cap-and-trade and carbon tax regulations in a cap-dependent carbon trading price setting and compares carbon emission, the manufacturer's profits and social welfare under the two regulations. Game theory and extreme value theory are used to analyze our models. Findings First, the authors find that the optimal profit of the manufacturer (the optimal cap) increases and then decreases with the cap (the unit carbon emission of product). Second, if the environmental damage coefficient is moderate, the optimal cap of unit environmental damage coefficient is independent of the product carbon emission or other related product parameters. Ultimately, cap-and-trade regulation always generates more carbon emission than carbon tax regulation. And cap-and-trade regulation (carbon tax regulation) can generate more social welfare if the environmental damage coefficient is low (high), and the social welfare under the two regulations is equal to each other, or otherwise. Originality/value This paper contributes the prior literature by considering the inverse relationship of the allocated ca</w:t>
      </w:r>
    </w:p>
    <w:p>
      <w:pPr>
        <w:pStyle w:val="Heading2"/>
      </w:pPr>
      <w:r>
        <w:t>644.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2021:</w:t>
      </w:r>
      <w:r>
        <w:t xml:space="preserve"> Type 1 diabetes in 2017: global estimates of incident and prevalent cases in children and adults — https://doi.org/10.1007/s00125-021-05571-8</w:t>
      </w:r>
    </w:p>
    <w:p>
      <w:pPr/>
      <w:r>
        <w:rPr>
          <w:b/>
        </w:rPr>
        <w:t>Shared claim-specific concepts:</w:t>
      </w:r>
      <w:r>
        <w:t xml:space="preserve"> estimated, incident, prevalent, cases; EU scope visible. This is a provisional connection, not an outcome finding.</w:t>
      </w:r>
    </w:p>
    <w:p>
      <w:pPr>
        <w:pStyle w:val="SourceNote"/>
      </w:pPr>
      <w:r>
        <w:rPr>
          <w:b/>
        </w:rPr>
        <w:t>Available abstract (not full text):</w:t>
      </w:r>
      <w:r>
        <w:t xml:space="preserve"> AIMS/HYPOTHESIS: Data on type 1 diabetes incidence and prevalence are limited, particularly for adults. This study aims to estimate global numbers of incident and prevalent cases of type 1 diabetes in 2017 for all age groups, by country and areas defined by income and region. METHODS: Incidence rates of type 1 diabetes in children (available from 94 countries) from the IDF Atlas were used and extrapolated to countries without data. Age-specific incidence rates in adults (only known across full age range for fewer than ten countries) were obtained by applying scaling ratios for each adult age group relative to the incidence rate in children. Age-specific incidence rates were applied to population estimates to obtain incident case numbers. Duration of diabetes was estimated from available data and adjusted using differences in childhood mortality rate between countries from United Nations demographic data. Prevalent case numbers were derived by modelling the relationship between prevalence, incidence and disease duration. Sensitivity analyses were performed to quantify the impact of alternative assumptions and model inputs. RESULTS: Global numbers of incident and prevalent cases of type 1 diabetes were estimated to be 234,710 and 9,004,610, respectively, in 2017. High-income countries, with 17% of the global population, accounted for 49% of global incident cases and 52% of preval</w:t>
      </w:r>
    </w:p>
    <w:p>
      <w:pPr/>
      <w:r>
        <w:rPr>
          <w:b/>
        </w:rPr>
        <w:t>POSSIBLE 2021:</w:t>
      </w:r>
      <w:r>
        <w:t xml:space="preserve"> Financial losses for Dutch stakeholders during the 2013 aflatoxin incident in Maize in Europe — https://doi.org/10.1007/s12550-021-00429-9</w:t>
      </w:r>
    </w:p>
    <w:p>
      <w:pPr/>
      <w:r>
        <w:rPr>
          <w:b/>
        </w:rPr>
        <w:t>Shared claim-specific concepts:</w:t>
      </w:r>
      <w:r>
        <w:t xml:space="preserve"> estimated, incident, million; EU scope visible. This is a provisional connection, not an outcome finding.</w:t>
      </w:r>
    </w:p>
    <w:p>
      <w:pPr>
        <w:pStyle w:val="SourceNote"/>
      </w:pPr>
      <w:r>
        <w:rPr>
          <w:b/>
        </w:rPr>
        <w:t>Available abstract (not full text):</w:t>
      </w:r>
      <w:r>
        <w:t xml:space="preserve"> contaminated maize from Eastern Europe that was processed into compound feed, which was fed to dairy cows. Since the contamination was discovered in the downstream stages of the supply chain, multiple countries and parties were involved and recalls of the feed were necessary, resulting into financial losses. The aim of this study was to estimate the direct short-term financial losses related to the 2013 aflatoxin incident for the maize traders, the feed industry, and the dairy sector in the Netherlands. First, the sequence of events of the incident was retrieved. Then, a Monte Carlo simulation model was built to combine the scarce and uncertain data to estimate the direct financial losses for each stakeholder. The estimated total direct financial losses of this incident were estimated to be between 12 and 25 million euros. The largest share, about 60%, of the total losses was endured by the maize traders. About 39% of the total losses were for the feed industry, and less than 1% of the total losses were for the dairy sector. The financial losses estimated in this study should be interpreted cautiously due to limitations associated with the quality of the data used. Furthermore, this incident led to indirect long-term financial effects, identified but not estimated in this study.</w:t>
      </w:r>
    </w:p>
    <w:p>
      <w:pPr/>
      <w:r>
        <w:rPr>
          <w:b/>
        </w:rPr>
        <w:t>POSSIBLE 2021:</w:t>
      </w:r>
      <w:r>
        <w:t xml:space="preserve"> SCORE2-OP risk prediction algorithms: estimating incident cardiovascular event risk in older persons in four geographical risk regions — https://doi.org/10.1093/eurheartj/ehab312</w:t>
      </w:r>
    </w:p>
    <w:p>
      <w:pPr/>
      <w:r>
        <w:rPr>
          <w:b/>
        </w:rPr>
        <w:t>Shared claim-specific concepts:</w:t>
      </w:r>
      <w:r>
        <w:t xml:space="preserve"> estimated, additional, incident; EU scope visible. This is a provisional connection, not an outcome finding.</w:t>
      </w:r>
    </w:p>
    <w:p>
      <w:pPr>
        <w:pStyle w:val="SourceNote"/>
      </w:pPr>
      <w:r>
        <w:rPr>
          <w:b/>
        </w:rPr>
        <w:t>Available abstract (not full text):</w:t>
      </w:r>
      <w:r>
        <w:t xml:space="preserve"> AIMS: The aim of this study was to derive and validate the SCORE2-Older Persons (SCORE2-OP) risk model to estimate 5- and 10-year risk of cardiovascular disease (CVD) in individuals aged over 70 years in four geographical risk regions. METHODS AND RESULTS: Sex-specific competing risk-adjusted models for estimating CVD risk (CVD mortality, myocardial infarction, or stroke) were derived in individuals aged over 65 without pre-existing atherosclerotic CVD from the Cohort of Norway (28 503 individuals, 10 089 CVD events). Models included age, smoking status, diabetes, systolic blood pressure, and total- and high-density lipoprotein cholesterol. Four geographical risk regions were defined based on country-specific CVD mortality rates. Models were recalibrated to each region using region-specific estimated CVD incidence rates and risk factor distributions. For external validation, we analysed data from 6 additional study populations {338 615 individuals, 33 219 CVD validation cohorts, C-indices ranged between 0.63 [95% confidence interval (CI) 0.61-0.65] and 0.67 (0.64-0.69)}. Regional calibration of expected-vs.-observed risks was satisfactory. For given risk factor profiles, there was substantial variation across the four risk regions in the estimated 10-year CVD event risk. CONCLUSIONS: The competing risk-adjusted SCORE2-OP model was derived, recalibrated, and externally validated</w:t>
      </w:r>
    </w:p>
    <w:p>
      <w:pPr/>
      <w:r>
        <w:rPr>
          <w:b/>
        </w:rPr>
        <w:t>POSSIBLE 2021:</w:t>
      </w:r>
      <w:r>
        <w:t xml:space="preserve"> Milk intake and incident stroke and CHD in populations of European descent: a Mendelian randomisation study — https://doi.org/10.1017/s0007114521004244</w:t>
      </w:r>
    </w:p>
    <w:p>
      <w:pPr/>
      <w:r>
        <w:rPr>
          <w:b/>
        </w:rPr>
        <w:t>Shared claim-specific concepts:</w:t>
      </w:r>
      <w:r>
        <w:t xml:space="preserve"> estimated, additional, incident, cases; EU scope visible. This is a provisional connection, not an outcome finding.</w:t>
      </w:r>
    </w:p>
    <w:p>
      <w:pPr>
        <w:pStyle w:val="SourceNote"/>
      </w:pPr>
      <w:r>
        <w:rPr>
          <w:b/>
        </w:rPr>
        <w:t>Available abstract (not full text):</w:t>
      </w:r>
      <w:r>
        <w:t xml:space="preserve"> Abstract Higher milk intake has been associated with a lower stroke risk, but not with risk of CHD. Residual confounding or reverse causation cannot be excluded. Therefore, we estimated the causal association of milk consumption with stroke and CHD risk through instrumental variable (IV) and gene-outcome analyses. IV analysis included 29 328 participants (4611 stroke; 9828 CHD) of the European Prospective Investigation into Cancer and Nutrition (EPIC)-CVD (eight European countries) and European Prospective Investigation into Cancer and Nutrition-Netherlands (EPIC-NL) case-cohort studies. rs4988235, a lactase persistence (LP) SNP which enables digestion of lactose in adulthood was used as genetic instrument. Intake of milk was first regressed on rs4988235 in a linear regression model. Next, associations of genetically predicted milk consumption with stroke and CHD were estimated using Prentice-weighted Cox regression. Gene-outcome analysis included 777 024 participants (50 804 cases) from MEGASTROKE (including EPIC-CVD), UK Biobank and EPIC-NL for stroke, and 483 966 participants (61 612 cases) from CARDIoGRAM, UK Biobank, EPIC-CVD and EPIC-NL for CHD. In IV analyses, each additional LP allele was associated with a higher intake of milk in EPIC-CVD (β = 13·7 g/d; 95 % CI 8·4, 19·1) and EPIC-NL (36·8 g/d; 95 % CI 20·0, 53·5). Genetically predicted milk intake was not associated w</w:t>
      </w:r>
    </w:p>
    <w:p>
      <w:pPr/>
      <w:r>
        <w:rPr>
          <w:b/>
        </w:rPr>
        <w:t>POSSIBLE 2021:</w:t>
      </w:r>
      <w:r>
        <w:t xml:space="preserve"> Risk of Incident Heart Failure in Individuals With Early-Onset Type 2 Diabetes — https://doi.org/10.1210/clinem/dgab620</w:t>
      </w:r>
    </w:p>
    <w:p>
      <w:pPr/>
      <w:r>
        <w:rPr>
          <w:b/>
        </w:rPr>
        <w:t>Shared claim-specific concepts:</w:t>
      </w:r>
      <w:r>
        <w:t xml:space="preserve"> estimated, additional, incident; EU scope visible. This is a provisional connection, not an outcome finding.</w:t>
      </w:r>
    </w:p>
    <w:p>
      <w:pPr>
        <w:pStyle w:val="SourceNote"/>
      </w:pPr>
      <w:r>
        <w:rPr>
          <w:b/>
        </w:rPr>
        <w:t>Available abstract (not full text):</w:t>
      </w:r>
      <w:r>
        <w:t xml:space="preserve"> CONTEXT: Early-onset diabetes has been associated with unfavorable cardiovascular risk but data on heart failure (HF) in this subpopulation are scarce. OBJECTIVE: We aimed to study the risk of, and risk factors for, incident HF in individuals with early-onset type 2 diabetes. METHODS: We studied 606 individuals with type 2 diabetes diagnosed before 40 years of age (early-onset) and 1258 counterparts with diabetes diagnosed from 41 to 65 years of age (usual-onset) with no HF history, at a regional hospital, over a median follow-up period of 7.1 years. Incident HF by European Cardiology Society criteria was determined. RESULTS: A total of 62 and 108 HF events were identified in the early- and usual-onset groups (1.55 and 1.29 per 100 patient-years), respectively. Compared with usual-onset counterparts, individuals with early-onset diabetes had a 1.20-fold unadjusted (95% CI, 0.88-1.63; P = 0.26) and 1.91-fold age-adjusted (95% CI, 1.37-2.66; P &lt; 0.001) hazard ratio (HR) for incident HF. Adjustment for traditional cardiometabolic risk factors only moderately mitigated the hazards (adjusted HR 1.69; 95% CI, 1.19-2.40; P = 0.003). However, additional adjustment for estimated glomerular filtration rate and albuminuria markedly attenuated the association of early-onset age with incident HF (adjusted HR 1.24; 95% CI, 0.87-1.77; P = 0.24). Notably, a long diabetes duration was not signi</w:t>
      </w:r>
    </w:p>
    <w:p>
      <w:pPr/>
      <w:r>
        <w:rPr>
          <w:b/>
        </w:rPr>
        <w:t>POSSIBLE 2021:</w:t>
      </w:r>
      <w:r>
        <w:t xml:space="preserve"> Risk of incident atrial fibrillation with low-to-moderate alcohol consumption is associated with gender, region, alcohol category: a systematic review and meta-analysis — https://doi.org/10.1093/europace/euab266</w:t>
      </w:r>
    </w:p>
    <w:p>
      <w:pPr/>
      <w:r>
        <w:rPr>
          <w:b/>
        </w:rPr>
        <w:t>Shared claim-specific concepts:</w:t>
      </w:r>
      <w:r>
        <w:t xml:space="preserve"> estimated, additional, incident; EU scope not established. This is a provisional connection, not an outcome finding.</w:t>
      </w:r>
    </w:p>
    <w:p>
      <w:pPr>
        <w:pStyle w:val="SourceNote"/>
      </w:pPr>
      <w:r>
        <w:rPr>
          <w:b/>
        </w:rPr>
        <w:t>Available abstract (not full text):</w:t>
      </w:r>
      <w:r>
        <w:t xml:space="preserve"> AIMS: The association between low-to-moderate alcohol consumption and atrial fibrillation (AF) has yet to be fully elucidated. The main purpose of this meta-analysis was to estimate the risk of incident AF related to low-to-moderate alcohol consumption. METHODS AND RESULTS: A meta-analysis was performed on 13 publications discussing the estimated risk for AF with habitual low-to-moderate alcohol intake in 10 266 315 participants. Graphical augmentations to the funnel plots were used to illustrate the potential impact of additional evidence on the current meta-analysis. Thirteen eligible studies were included in this meta-analysis. We found that moderate alcohol consumption was associated with an increased risk of incident AF in males [hazard ratio (HR) 1.09, 95% confidence interval (CI): 1.07-1.11, P &lt; 0.00001], Europeans (HR 1.32, 95% CI: 1.23-1.42, P &lt; 0.00001), and Asians (HR 1.09, 95% CI: 1.07-1.11, P &lt; 0.00001). Moderate beer consumption was associated with an increased risk of developing AF (HR 1.11, 95% CI: 1.02-1.21, P = 0.01). Low alcohol consumption conferred an increased risk of AF in males (HR 1.14, 95% CI: 1.01-1.28, P = 0.04) and Europeans (HR 1.12, 95% CI: 1.07-1.17, P &lt; 0.00001). CONCLUSIONS: This analysis represents the increased risk of incident AF in males, Europeans, and Asians at moderate alcohol consumption levels and in males and Europeans at low alcohol </w:t>
      </w:r>
    </w:p>
    <w:p>
      <w:pPr/>
      <w:r>
        <w:rPr>
          <w:b/>
        </w:rPr>
        <w:t>POSSIBLE 2021:</w:t>
      </w:r>
      <w:r>
        <w:t xml:space="preserve"> Epigenetic Age and the Risk of Incident Atrial Fibrillation — https://doi.org/10.1161/circulationaha.121.056456</w:t>
      </w:r>
    </w:p>
    <w:p>
      <w:pPr/>
      <w:r>
        <w:rPr>
          <w:b/>
        </w:rPr>
        <w:t>Shared claim-specific concepts:</w:t>
      </w:r>
      <w:r>
        <w:t xml:space="preserve"> additional, incident, cases; EU scope not established. This is a provisional connection, not an outcome finding.</w:t>
      </w:r>
    </w:p>
    <w:p>
      <w:pPr>
        <w:pStyle w:val="SourceNote"/>
      </w:pPr>
      <w:r>
        <w:rPr>
          <w:b/>
        </w:rPr>
        <w:t>Available abstract (not full text):</w:t>
      </w:r>
      <w:r>
        <w:t xml:space="preserve"> Background: The most prominent risk factor for atrial fibrillation (AF) is chronological age; however, underlying mechanisms are unexplained. Algorithms using epigenetic modifications to the human genome effectively predict chronological age. Chronological and epigenetic predicted ages may diverge in a phenomenon referred to as epigenetic age acceleration (EAA), which may reflect accelerated biological aging. We sought to evaluate for associations between epigenetic age measures and incident AF. Methods: Measures for 4 epigenetic clocks (Horvath, Hannum, DNA methylation [DNAm] PhenoAge, and DNAm GrimAge) and an epigenetic predictor of PAI-1 (plasminogen activator inhibitor-1) levels (ie, DNAm PAI-1) were determined for study participants from 3 population-based cohort studies. Cox models evaluated for associations with incident AF and results were combined via random-effects meta-analyses. Two-sample summary-level Mendelian randomization analyses evaluated for associations between genetic instruments of the EAA measures and AF. Results: Among 5600 participants (mean age, 65.5 years; female, 60.1%; Black, 50.7%), there were 905 incident AF cases during a mean follow-up of 12.9 years. Unadjusted analyses revealed all 4 epigenetic clocks and the DNAm PAI-1 predictor were associated with statistically significant higher hazards of incident AF, though the magnitudes of their point e</w:t>
      </w:r>
    </w:p>
    <w:p>
      <w:pPr>
        <w:pStyle w:val="Heading2"/>
      </w:pPr>
      <w:r>
        <w:t>645.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r>
        <w:rPr>
          <w:b/>
        </w:rPr>
        <w:t>POSSIBLE 2024:</w:t>
      </w:r>
      <w:r>
        <w:t xml:space="preserve"> Lessons from pond creation and restoration projects in Europe — https://doi.org/10.1111/rec.14342</w:t>
      </w:r>
    </w:p>
    <w:p>
      <w:pPr/>
      <w:r>
        <w:rPr>
          <w:b/>
        </w:rPr>
        <w:t>Shared claim-specific concepts:</w:t>
      </w:r>
      <w:r>
        <w:t xml:space="preserve"> here, contribute, accessible; EU scope visible. This is a provisional connection, not an outcome finding.</w:t>
      </w:r>
    </w:p>
    <w:p>
      <w:pPr>
        <w:pStyle w:val="SourceNote"/>
      </w:pPr>
      <w:r>
        <w:rPr>
          <w:b/>
        </w:rPr>
        <w:t>Available abstract (not full text):</w:t>
      </w:r>
      <w:r>
        <w:t xml:space="preserve">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2021:</w:t>
      </w:r>
      <w:r>
        <w:t xml:space="preserve"> The European Nucleotide Archive in 2021 — https://doi.org/10.1093/nar/gkab1051</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Here, we outline the major updates to ENA's services and infrastructure that have been delivered over the past year.</w:t>
      </w:r>
    </w:p>
    <w:p>
      <w:pPr>
        <w:pStyle w:val="Heading2"/>
      </w:pPr>
      <w:r>
        <w:t>646.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2024:</w:t>
      </w:r>
      <w:r>
        <w:t xml:space="preserve"> Unlocking public infrastructures? State aid and the common European data space — https://doi.org/10.1177/02673231241290675</w:t>
      </w:r>
    </w:p>
    <w:p>
      <w:pPr/>
      <w:r>
        <w:rPr>
          <w:b/>
        </w:rPr>
        <w:t>Shared claim-specific concepts:</w:t>
      </w:r>
      <w:r>
        <w:t xml:space="preserve"> argue, approach, aid; EU scope visible. This is a provisional connection, not an outcome finding.</w:t>
      </w:r>
    </w:p>
    <w:p>
      <w:pPr>
        <w:pStyle w:val="SourceNote"/>
      </w:pPr>
      <w:r>
        <w:rPr>
          <w:b/>
        </w:rPr>
        <w:t>Available abstract (not full text):</w:t>
      </w:r>
      <w:r>
        <w:t xml:space="preserve"> EU state aid rules are part of the EU’s competition policy, a form of soft law developed to nudge states away from public investments in many areas. Rules were used to impose that market competition holds a privileged position, and that enacting social, political, or economic benefits that might stifle competition requires a complicated legal and political negotiation process between the European Commission, Member States, and private companies. Nonetheless, many strategic projects or situations in recent years led to significant state aid. The Commission utilised a variety of means to encourage both private and public investments in EU based digital infrastructure that is critical for public media services and for unified European data space. Despite EU’s balancing act between the private and public interests, business interests are dangerously capturing the development in the media data space. To grasp the social and economic contribution of publicly financed productive activities, we approach public broadcasting systems as producers of public wealth of a peculiar kind whose activities and goals are defined by their public purpose, rather than the imperatives of capital and profitmaking. Unifying data spaces with too many design decisions conceded to capitalist production runs the risk of further neglecting social foundations of member states. We argue that the desired digita</w:t>
      </w:r>
    </w:p>
    <w:p>
      <w:pPr/>
      <w:r>
        <w:rPr>
          <w:b/>
        </w:rPr>
        <w:t>POSSIBLE 2024:</w:t>
      </w:r>
      <w:r>
        <w:t xml:space="preserve"> European social funding and the institutionalisation of food aid : a wicked policy problem — https://doi.org/10.63028/10067/2092390151162165141</w:t>
      </w:r>
    </w:p>
    <w:p>
      <w:pPr/>
      <w:r>
        <w:rPr>
          <w:b/>
        </w:rPr>
        <w:t>Shared claim-specific concepts:</w:t>
      </w:r>
      <w:r>
        <w:t xml:space="preserve"> argue, approach, aid, gaps; EU scope visible. This is a provisional connection, not an outcome finding.</w:t>
      </w:r>
    </w:p>
    <w:p>
      <w:pPr>
        <w:pStyle w:val="SourceNote"/>
      </w:pPr>
      <w:r>
        <w:rPr>
          <w:b/>
        </w:rPr>
        <w:t>Available abstract (not full text):</w:t>
      </w:r>
      <w:r>
        <w:t xml:space="preserve"> This dissertation explores European social funding as a pivotal tool within the EU’s social policy framework, specifically examining its influence on national policies and governance structures. By focusing on EU funds aimed at addressing material deprivation, particularly those supporting food aid, the study unveils the complexities and challenges policymakers face in this area of social policy. Adopting a novel perspective, we analyse the institutionalisation of food aid in Europe through the lens of ‘wicked problems’ (Rittel &amp; Webber, 1973). This framework allows us to better understand the intricate and normative nature of food aid as a policy issue, offering fresh insights into the multifaceted challenges involved. To further our analysis, we employ the ‘Governance Analytical Framework’ (Hufty, 2009) to shed light on often overlooked aspects of EU food aid policy, such as underlying norms and budget trends, especially within the ‘Fund for European Aid to the Most Deprived’ (FEAD) and the ‘European Social Fund Plus’ (ESF+). The study also examines how EU food aid policies contribute to reinforcing social rights and citizenship by applying a resource-based and multi-level approach to social rights (Vandenbroucke, Keune, Ferrera &amp; Corti, 2021). Additionally, the research investigates the extent to which local food aid organisations in Belgium, Lithuania, and Portugal collabor</w:t>
      </w:r>
    </w:p>
    <w:p>
      <w:pPr/>
      <w:r>
        <w:rPr>
          <w:b/>
        </w:rPr>
        <w:t>POSSIBLE 2023:</w:t>
      </w:r>
      <w:r>
        <w:t xml:space="preserve"> The suspension of the Democratic Governance Facility in Uganda: the illusion of “politically smart aid” — https://doi.org/10.1080/09614524.2023.2238915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In 2021, the President of Uganda suspended the “Democratic Governance Facility” (DGF), which is a European basket fund aimed at providing financial support in areas such as democracy, human rights, and rule of law. Paradoxically, the DGF had explicitly adopted a new “politically smart framework”, which is a development approach that promises to deliver aid more effectively and sustainably in contentious environments. This raises the question: what went wrong? Informed by post-development theoretical arguments and through a discursive analysis of the DGF’s implementation of this new aid framework, this paper argues that this framework itself does not allow proper understanding of what makes aid “political”; in casu that it does not allow appreciation of local viewpoints of democracy, representation, and ownership. Then, rather than improving the status quo, this paper argues in favour of making aid “political” through a fundamental reconsideration of the very substance and infrastructure of aid itself.</w:t>
      </w:r>
    </w:p>
    <w:p>
      <w:pPr/>
      <w:r>
        <w:rPr>
          <w:b/>
        </w:rPr>
        <w:t>POSSIBLE 2022:</w:t>
      </w:r>
      <w:r>
        <w:t xml:space="preserve"> China’s Evolving Approach to Foreign Aid — https://doi.org/10.55163/wtnj4163</w:t>
      </w:r>
    </w:p>
    <w:p>
      <w:pPr/>
      <w:r>
        <w:rPr>
          <w:b/>
        </w:rPr>
        <w:t>Shared claim-specific concepts:</w:t>
      </w:r>
      <w:r>
        <w:t xml:space="preserve"> approach, aid; EU scope not established. This is a provisional connection, not an outcome finding.</w:t>
      </w:r>
    </w:p>
    <w:p>
      <w:pPr>
        <w:pStyle w:val="SourceNote"/>
      </w:pPr>
      <w:r>
        <w:rPr>
          <w:b/>
        </w:rPr>
        <w:t>Available abstract (not full text):</w:t>
      </w:r>
      <w:r>
        <w:t xml:space="preserve"> China’s role in foreign aid and, more broadly, in development cooperation on the global stage has grown significantly since it began seven decades ago. Particularly in recent years, through such platforms as the Belt and Road Initiative (BRI), China’s profile and engagement in global governance in foreign aid and related areas has been further enhanced. China’s ambition is taking a more proactive approach in foreign aid and moving towards a model of international development cooperation by linking with the United Nations 2030 Agenda for Sustainable Development and by including the BRI as a major platform to achieve key development goals. This paper provides a timely analysis of the evolution of China’s foreign aid policy in the past seven decades with a particular focus on the developments since 2000. It discusses China’s development finance to Africa and the major sectors receiving Chinese aid. It also analyses recent trends of Chinese foreign aid and identifies some of the challenges that China faces as it becomes a major player in international development financing.</w:t>
      </w:r>
    </w:p>
    <w:p>
      <w:pPr/>
      <w:r>
        <w:rPr>
          <w:b/>
        </w:rPr>
        <w:t>POSSIBLE 2022:</w:t>
      </w:r>
      <w:r>
        <w:t xml:space="preserve"> The European Union's migration management aid: Developing democracies or supporting authoritarianism? — https://doi.org/10.1111/imig.13075</w:t>
      </w:r>
    </w:p>
    <w:p>
      <w:pPr/>
      <w:r>
        <w:rPr>
          <w:b/>
        </w:rPr>
        <w:t>Shared claim-specific concepts:</w:t>
      </w:r>
      <w:r>
        <w:t xml:space="preserve"> argue, aid; EU scope visible. This is a provisional connection, not an outcome finding.</w:t>
      </w:r>
    </w:p>
    <w:p>
      <w:pPr>
        <w:pStyle w:val="SourceNote"/>
      </w:pPr>
      <w:r>
        <w:rPr>
          <w:b/>
        </w:rPr>
        <w:t>Available abstract (not full text):</w:t>
      </w:r>
      <w:r>
        <w:t xml:space="preserve"> Abstract The European Union and its member states have invested billions of euros in migration management programs that purport to promote “good migration governance” around the world. But what is the impact of migration management aid on governance outside of the EU? In this article, we theorise the impact of migration management aid on governance in recipient countries by analysing the key policy areas of intervention. To do so, we focus on the effects of the European Union Emergency Trust Fund for Africa and draw on data collected from policy and government documents, in addition to secondary literature, to understand how migration management aid negatively impacts institutions of governance in recipient countries. While migration management aid may build the capacity of states to monitor borders and prevent irregular migration, we argue that this fails to account for negative externalities including human rights abuses and increased surveillance for migrants and citizens alike.</w:t>
      </w:r>
    </w:p>
    <w:p>
      <w:pPr/>
      <w:r>
        <w:rPr>
          <w:b/>
        </w:rPr>
        <w:t>POSSIBLE 2022:</w:t>
      </w:r>
      <w:r>
        <w:t xml:space="preserve"> The European Commission and the COVID-19 pandemic: a pluri-institutional approach — https://doi.org/10.1080/13501763.2022.2140821</w:t>
      </w:r>
    </w:p>
    <w:p>
      <w:pPr/>
      <w:r>
        <w:rPr>
          <w:b/>
        </w:rPr>
        <w:t>Shared claim-specific concepts:</w:t>
      </w:r>
      <w:r>
        <w:t xml:space="preserve"> argue, approach, support; EU scope visible. This is a provisional connection, not an outcome finding.</w:t>
      </w:r>
    </w:p>
    <w:p>
      <w:pPr>
        <w:pStyle w:val="SourceNote"/>
      </w:pPr>
      <w:r>
        <w:rPr>
          <w:b/>
        </w:rPr>
        <w:t>Available abstract (not full text):</w:t>
      </w:r>
      <w:r>
        <w:t xml:space="preserve"> According to a widely held view, the European Council decides how the EU should respond in times of crisis, since the European Council alone has the authority to lead. Other institutions, meanwhile, adopt at best a secondary role. An alternative perspective has emerged, however, which contends, first, that the European Council’s influence on the EU's crisis response is variable and, second, that other EU institutions, in particular the European Commission, are able to shape EU action, including through interventions made independently of the European Council. This article builds on this alternative view to argue that the respective role played by the European Council and the European Commisson is contingent, first, on the policy area where a crisis strikes and second, on leadership or agency on the part of the Presidents of the two institutions. The dynamics of the EU’s response to the COVID-19 pandemic support this view. Acting on its powers in public health and other affected areas, and with Commission President Ursula von der Leyen taking a highly pro-active approach to outbreak of the virus, the Commission intervened early, framed the pandemic as a crisis, and set and then expanded the EU’s agenda. Although its decision-making role was important, the European Council largely followed the Commission's lead.</w:t>
      </w:r>
    </w:p>
    <w:p>
      <w:pPr/>
      <w:r>
        <w:rPr>
          <w:b/>
        </w:rPr>
        <w:t>POSSIBLE 2021:</w:t>
      </w:r>
      <w:r>
        <w:t xml:space="preserve"> Replication Data for: "A Sectoral Approach to the Politics of State Aid in the European Union: an Analysis of the European Automotive Industry" — https://doi.org/10.7910/dvn/ejijkf</w:t>
      </w:r>
    </w:p>
    <w:p>
      <w:pPr/>
      <w:r>
        <w:rPr>
          <w:b/>
        </w:rPr>
        <w:t>Shared claim-specific concepts:</w:t>
      </w:r>
      <w:r>
        <w:t xml:space="preserve"> approach, aid, help; EU scope visible. This is a provisional connection, not an outcome finding.</w:t>
      </w:r>
    </w:p>
    <w:p>
      <w:pPr>
        <w:pStyle w:val="SourceNote"/>
      </w:pPr>
      <w:r>
        <w:rPr>
          <w:b/>
        </w:rPr>
        <w:t>Available abstract (not full text):</w:t>
      </w:r>
      <w:r>
        <w:t xml:space="preserve"> A growing body of scholarship has been focusing on the determinants of subsidy spending. Yet, this literature has mostly overlooked sectoral approaches to explain variation in aid allocations, which can provide useful insights about state-business relations that macroanalyses cannot. The article explores the political determinants of state aid in a key sector of the European economy, the automotive industry, which represents a crucial test case to analyse the relationship between big firms and the state. The article argues that there are two mechanisms through which governments may choose to allocate aid: achievement of policy goals and electoral competition. The resulting hypotheses are tested on an original dataset of over 120 state aid measures in 16 member states of the European Union (EU) where an automotive industry is present between 1992 and 2011. The results show that aid allocations are seldom found to be determined by a government’s preferences over its policy objectives. Instead, electoral rules such as the cultivation of a personal reputation by distribution of targeted benefits to a constituency may help legislators in their chances of being re-elected. The article concludes with limitations of the present study and suggestions for future research.</w:t>
      </w:r>
    </w:p>
    <w:p>
      <w:pPr/>
      <w:r>
        <w:rPr>
          <w:b/>
        </w:rPr>
        <w:t>POSSIBLE 2021:</w:t>
      </w:r>
      <w:r>
        <w:t xml:space="preserve"> Poland towards a new approach to state aid policy after accession to the European Union — https://doi.org/10.33119/978-83-8030-468-0_2021_37_56</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Taking into consideration all changes in the EU law after Poland’s accession, one can assume, that directions and scope of public interventions should be similar among the EU Member States. At the same time, it is obvious, that they should take account of financial constraints, starting points and national/government preferences. Therefore, the primary goal of the chapter is to present Poland’s performance in the EU in terms of state aid granted after the EU accession. To this end we introduced two indices, which are based on works on trade by distinguished authors: Relative State Aid Intensity Index and State Aid Similarity Index. Our research allows us to formulate two observations: first, that state aid in Poland is subordinated to EU multiannual financial programmes in terms of available/offered financial sources, and second, the structure of state aid offered in Poland does not match the structure of public financial assistance observed in most other EU Member States. Poland still grants mailny regional investment aid, which does not require any sophisticated criteria, and only a small percentage of aid for environmental protection and energy, which would support innovation and, at the same time, is desirable in the face of climate change.</w:t>
      </w:r>
    </w:p>
    <w:p>
      <w:pPr/>
      <w:r>
        <w:rPr>
          <w:b/>
        </w:rPr>
        <w:t>POSSIBLE 2021:</w:t>
      </w:r>
      <w:r>
        <w:t xml:space="preserve"> Research Handbook on European State Aid Law — https://doi.org/10.4337/9781789909258</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chapter reviews the political science research on European Union (EU) State aid policy. The literature focuses primarily on the evolution of State aid control and on the institutions and actors who play a role in the policy. Resting on Treaty provisions that were little used in the first decades of the European Community, the Commission’s incremental soft law approach, supportive jurisprudence from the Court of Justice of the European Union (CJEU), and the involvement private complainants have helped bring together Commission and Member State interests in support of State aid control. The Commission’s handling of the financial crisis, a test for the more mature regime, has been largely judged a success. Over time policy initiatives have helped to reduce and target national subsidies, and the enforcement of and compliance with the Treaty provisions have improved dramatically since the late 1980s. The political dimension of the policy seems to have less resonance these days, as there are fewer high-profile controversial cases than in the past, but there are still interesting questions to be addressed about the way in which competition, regional, environmental, cultural and industrial policies are balanced against each other in the design and application of the EU-level policy and decision-making, and what the implications of UK’s departure from the EU and the emergence of po</w:t>
      </w:r>
    </w:p>
    <w:p>
      <w:pPr>
        <w:pStyle w:val="Heading2"/>
      </w:pPr>
      <w:r>
        <w:t>647.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2023:</w:t>
      </w:r>
      <w:r>
        <w:t xml:space="preserve"> Unfinished Discourse Of ‘Backwardness’ In Independent India — https://doi.org/10.59670/ml.v20is5.8377</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This paper discusses the Second Backward Commission (Mandal Commission) and its impact on the discourse of backwardness in India. It provides an overview of the formation and function of the Mandal Commission of India. It was established to address the issue of ‘socially and educationally backward classes’ in country in the late 1980s. The Commission identified backwardness based on eleven social, educational and economic indicators and recommended the formation of a third category of groups eligible for reservations called ‘Other Backward Classes’ (OBCs). The article also highlights the controversy and implementation of the Commission's recommendations between 1990 and 2006. Additionally, it discusses the role of political parties of India and other stakeholders in the debates surrounding reservation policies. (F. No. 02/151/2016-17/RP_ICSSR Research 2016). “The excerpts and findings of this article are sourced from the ICSSR-sponsored national research project titled “Status of Reservation Policy: A Study of Higher Educational Institutions in Bihar.” (1)</w:t>
      </w:r>
    </w:p>
    <w:p>
      <w:pPr/>
      <w:r>
        <w:rPr>
          <w:b/>
        </w:rPr>
        <w:t>POSSIBLE 2021:</w:t>
      </w:r>
      <w:r>
        <w:t xml:space="preserve"> The unfinished business of Church history — https://doi.org/10.4102/ve.v42i1.2329</w:t>
      </w:r>
    </w:p>
    <w:p>
      <w:pPr/>
      <w:r>
        <w:rPr>
          <w:b/>
        </w:rPr>
        <w:t>Shared claim-specific concepts:</w:t>
      </w:r>
      <w:r>
        <w:t xml:space="preserve"> unfinished, role, ongoing; EU scope not established. This is a provisional connection, not an outcome finding.</w:t>
      </w:r>
    </w:p>
    <w:p>
      <w:pPr>
        <w:pStyle w:val="SourceNote"/>
      </w:pPr>
      <w:r>
        <w:rPr>
          <w:b/>
        </w:rPr>
        <w:t>Available abstract (not full text):</w:t>
      </w:r>
      <w:r>
        <w:t xml:space="preserve"> The Church will presumably have unfinished business until the day when Christ returns. And Church history will, in gruesome details, bear witness to the missed opportunities, the failures and wrongdoings and all the mistakes made. This is especially true in South Africa where racial tensions, violence, crimes and numerous other evils prevail, while the bride of Christ, in hiding from the realities of life, is awaiting death. The first part of the article explains why this is the case and the second part proposes some rectifications towards how adjudication and reconciliation can be attained through new life in a novel way of being Church to the world. Intradisciplinary and/or interdisciplinary implications: Christians, theologians and Church historians must openly and honestly expose the use and abuse of (Church) history, and the role that collective memory played in constructing misleading perceptions of the past through the implementation of motivated reasoning. A comprehensive, amended rewriting of Church history that includes all sources that fed Christianity in South Africa during the past nearly 370 years must reconceptualise our religious past towards a healing future. This can promote unity and bring closure to at least some issues while providing a renewed focus on the ongoing need for constant reformation, a renewed comprehension of spirituality, and inspiring Missiol</w:t>
      </w:r>
    </w:p>
    <w:p>
      <w:pPr>
        <w:pStyle w:val="Heading2"/>
      </w:pPr>
      <w:r>
        <w:t>648.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2025:</w:t>
      </w:r>
      <w:r>
        <w:t xml:space="preserve"> Spatiotemporal characteristics of meteorological and hydrological droughts across Europe — https://doi.org/10.1080/19475705.2025.2567413</w:t>
      </w:r>
    </w:p>
    <w:p>
      <w:pPr/>
      <w:r>
        <w:rPr>
          <w:b/>
        </w:rPr>
        <w:t>Shared claim-specific concepts:</w:t>
      </w:r>
      <w:r>
        <w:t xml:space="preserve"> hydrological, droughts, across, warming, water; EU scope visible. This is a provisional connection, not an outcome finding.</w:t>
      </w:r>
    </w:p>
    <w:p>
      <w:pPr>
        <w:pStyle w:val="SourceNote"/>
      </w:pPr>
      <w:r>
        <w:rPr>
          <w:b/>
        </w:rPr>
        <w:t>Available abstract (not full text):</w:t>
      </w:r>
      <w:r>
        <w:t xml:space="preserve"> Amid ongoing global warming and growing water resource pressures, droughts have intensified in frequency and severity across Europe. Using ERA5 reanalysis data (1970–2024), we assessed four drought indices—meteorological (SPI, SPEI) and hydrological (SRI, RZI)—at 3-, 6-, and 12-month scales. Spatiotemporal dynamics were evaluated through trend analysis (Mann–Kendall), persistence assessment (Hurst exponent), abrupt change detection (mutation test), spatial pattern metrics (Fragstats), and inter-index correlation. Results show that hydrological droughts exhibited stronger trends and persistence than meteorological droughts. Significant intensification emerged in Western, Eastern, and Southern Europe, with SRI and RZI affecting nearly 700 × 10⁴ km². Breakpoints were detected in 1974 for meteorological and 1993–1994 for hydrological indices. Landscape analysis indicated increased patch numbers, higher spatial complexity, and aggregation, particularly for hydrological indices. Inter-index correlations were high at the 12-month scale (|R| &gt; 0.6) but declined (~0.3) at the 3-month scale, revealing divergence between meteorological and hydrological droughts. These findings advance understanding of drought evolution and underlying climate mechanisms, providing scientific support for monitoring, early warning, and adaptive water management strategies in Europe.</w:t>
      </w:r>
    </w:p>
    <w:p>
      <w:pPr/>
      <w:r>
        <w:rPr>
          <w:b/>
        </w:rPr>
        <w:t>POSSIBLE 2025:</w:t>
      </w:r>
      <w:r>
        <w:t xml:space="preserve"> Intergenerational inequity from hydrological drought in a warming world — https://doi.org/10.1016/j.jenvman.2025.125988</w:t>
      </w:r>
    </w:p>
    <w:p>
      <w:pPr/>
      <w:r>
        <w:rPr>
          <w:b/>
        </w:rPr>
        <w:t>Shared claim-specific concepts:</w:t>
      </w:r>
      <w:r>
        <w:t xml:space="preserve"> shows, hydrological, droughts, across, warming, river; EU scope visible. This is a provisional connection, not an outcome finding.</w:t>
      </w:r>
    </w:p>
    <w:p>
      <w:pPr>
        <w:pStyle w:val="SourceNote"/>
      </w:pPr>
      <w:r>
        <w:rPr>
          <w:b/>
        </w:rPr>
        <w:t>Available abstract (not full text):</w:t>
      </w:r>
      <w:r>
        <w:t xml:space="preserve"> As warmer temperatures enhance atmospheric moisture, hydrological droughts tend to intensify in most regions of the globe. Consequently, younger generations are expected to face a more severe risk of hydrological drought during their lifetimes, emphasizing the critical issue of intergenerational inequity due to climate change. To quantify exposure to hydrological drought across generations, we constructed a cascade model chain for drought simulation using hybrid terrestrial models, based on 5 GCM outputs under SSP5-85, five hydrological models and a deep learning model. We then projected future univariate and bivariate hydrological drought evolution in 4091 river basins, and quantified lifetime exposure to drought for the age groups born in 2020 and 1960. Drought severity and duration are projected to increase substantially in the Eastern America, Southern Brazil and Western Europe, over 79 % of basins. Extreme droughts far beyond historical records are expected to become more frequent and impact Western Europe in particular. Of note, the exposure of the different age groups to hydrological drought shows a notable disequilibrium. Exposure of people born in 2020 to hydrological drought hazards is projected to increase by 12 % over the late 21st century compared to those born in 1960, indicating that the acceleration of climate change is expected to increase the lifetime risk of </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hydrological, droughts, warming, river, simulations,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2023:</w:t>
      </w:r>
      <w:r>
        <w:t xml:space="preserve"> Hydrological Drought Generation Processes and Severity Are Changing in the Alps — https://doi.org/10.1029/2022gl101776</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Abstract Streamflow droughts are governed by different hydro‐meteorological processes, whose relative importance may change over time, with potential impacts on drought severity. Here, we assess changes in the importance of different hydrological drought generation processes in the European Alps by applying a standardized drought type classification scheme to two time periods—one in the distant (1970–1993) and one in the recent past (1994–2017). Our findings show that changes in the relative importance of different drought generation processes are stronger in high‐elevation catchments, where we detect clear changes in drought seasonality, than in low‐elevation catchments. Furthermore, they suggest that changes in drought severity and generation processes are related because increasingly frequent snowmelt‐deficit droughts in high‐elevation catchments have larger deficits than droughts caused by decreasingly frequent cold temperatures. These changes might persist into the future, because of continuing decreases in snow cover and increases in evapotranspiration, with potential implications for water management.</w:t>
      </w:r>
    </w:p>
    <w:p>
      <w:pPr/>
      <w:r>
        <w:rPr>
          <w:b/>
        </w:rPr>
        <w:t>POSSIBLE 2023:</w:t>
      </w:r>
      <w:r>
        <w:t xml:space="preserve"> A pan-European analysis of drought events and impacts — https://doi.org/10.5194/egusphere-egu23-12961</w:t>
      </w:r>
    </w:p>
    <w:p>
      <w:pPr/>
      <w:r>
        <w:rPr>
          <w:b/>
        </w:rPr>
        <w:t>Shared claim-specific concepts:</w:t>
      </w:r>
      <w:r>
        <w:t xml:space="preserve"> hydrological, droughts, across, index, river, simulations; EU scope visible. This is a provisional connection, not an outcome finding.</w:t>
      </w:r>
    </w:p>
    <w:p>
      <w:pPr>
        <w:pStyle w:val="SourceNote"/>
      </w:pPr>
      <w:r>
        <w:rPr>
          <w:b/>
        </w:rPr>
        <w:t>Available abstract (not full text):</w:t>
      </w:r>
      <w:r>
        <w:t xml:space="preserve"> A drought is a slowly developing natural phenomenon that can occur in all climatic zones, and propagates through the entire hydrological cycle with long-term economic and environmental impacts. Climate change has made drought one of the greatest natural hazards in Europe, affecting large areas and populations. Different definitions of drought exist, i.e. meteorological, hydrological, and agricultural droughts, which vary according to the time horizon considered and differ in the variable used to define them. Just as there is no single definition of drought, there is no single index that accounts for all the types of droughts. As a consequence, capturing the evolution of drought dynamics and associated impacts across different temporal and spatial scales remains a critical challenge.In this work, we analyze existing standardized drought indexes in terms of their ability in detecting drought events at the pan-European scale using data from HydroGFD2.0 reanalysis and E-HYPE hydrological model simulations over the time period 1993-2018. We firstly compare the frequency and mean duration of drought events detected by different indexes to identify the river basins mostly affected by droughts and to assess similarities and differences in the information provided by different indexes. We then compare them with the drought impacts recorded in the Geocoded Disasters (GDIS) dataset to exa</w:t>
      </w:r>
    </w:p>
    <w:p>
      <w:pPr/>
      <w:r>
        <w:rPr>
          <w:b/>
        </w:rPr>
        <w:t>POSSIBLE 2023:</w:t>
      </w:r>
      <w:r>
        <w:t xml:space="preserve"> The Development of a Hydrological Drought Index for Lithuania — https://doi.org/10.3390/w15081512</w:t>
      </w:r>
    </w:p>
    <w:p>
      <w:pPr/>
      <w:r>
        <w:rPr>
          <w:b/>
        </w:rPr>
        <w:t>Shared claim-specific concepts:</w:t>
      </w:r>
      <w:r>
        <w:t xml:space="preserve"> hydrological, droughts, increasing, levels, index, river; EU scope visible. This is a provisional connection, not an outcome finding.</w:t>
      </w:r>
    </w:p>
    <w:p>
      <w:pPr>
        <w:pStyle w:val="SourceNote"/>
      </w:pPr>
      <w:r>
        <w:rPr>
          <w:b/>
        </w:rPr>
        <w:t>Available abstract (not full text):</w:t>
      </w:r>
      <w:r>
        <w:t xml:space="preserve"> Recently, the number and intensity of hydrological droughts have been increasing; thus, it is necessary to identify and respond to them quickly. Since the primary hydrological data in Lithuania are water levels, and converting these data into discharge takes additional time, there is a need to develop a methodology or adapt these data to analyze and detect hydrological droughts. This paper examines the concept of the standardized water level index (SWLI) calculation, which is based on the standardized precipitation index (SPI) and streamflow drought index (SDI) methods. SDI and SWLI data were compared; SWLI was used to analyze the situation in the past and future. A total of 15 main sub-basins were considered, and the future discharge of three rivers was estimated; SWLI showed good compatibility with SDI. To better analyze droughts, the use of severe drought threshold values (SDTV) was suggested as some river data (especially those for small rivers) needed to be corrected due to dense riverine flora. The dry years and trends identified by SWLI are consistent with previous studies.</w:t>
      </w:r>
    </w:p>
    <w:p>
      <w:pPr/>
      <w:r>
        <w:rPr>
          <w:b/>
        </w:rPr>
        <w:t>POSSIBLE 2022:</w:t>
      </w:r>
      <w:r>
        <w:t xml:space="preserve"> The Complex and Spatially Diverse Patterns of Hydrological Droughts Across Europe — https://doi.org/10.1029/2022wr031976</w:t>
      </w:r>
    </w:p>
    <w:p>
      <w:pPr/>
      <w:r>
        <w:rPr>
          <w:b/>
        </w:rPr>
        <w:t>Shared claim-specific concepts:</w:t>
      </w:r>
      <w:r>
        <w:t xml:space="preserve"> hydrological, droughts, across; EU scope visible. This is a provisional connection, not an outcome finding.</w:t>
      </w:r>
    </w:p>
    <w:p>
      <w:pPr>
        <w:pStyle w:val="SourceNote"/>
      </w:pPr>
      <w:r>
        <w:rPr>
          <w:b/>
        </w:rPr>
        <w:t>Available abstract (not full text):</w:t>
      </w:r>
      <w:r>
        <w:t xml:space="preserve"> Abstract This study presents a new data set of gauged streamflow (N = 3,224) for Europe spanning the period 1962–2017. The Monthly Streamflow of Europe Dataset (MSED) is freely available at http://msed.csic.es/ . Based on this data set, changes in the characteristics of hydrological drought (i.e., frequency, duration, and severity) were assessed for different regions of Europe. Due to the density of the database, it is possible to delimit spatial patterns in hydrological droughts trend with the greatest detail available to date. Results reveal bidirectional changes in monthly streamflow, with negative changes predominating over central and southern Europe, while positive trends dominate over northern Europe. Temporally, two dominant patterns were noted. The first pattern corresponds to a consistent downward trend in all months, evident for southern Europe. A second pattern was noted over central and northern Europe and western France, with a predominant negative trend during warm months and a positive trend in cold months. For hydrological drought events, results suggest a positive trend toward more frequent and severe droughts in southern and central Europe and conversely a negative trend over northern Europe. This study emphasizes that hydrological droughts show complex spatial patterns across Europe over the past six decades, implying that hydrological drought behavior in Eu</w:t>
      </w:r>
    </w:p>
    <w:p>
      <w:pPr/>
      <w:r>
        <w:rPr>
          <w:b/>
        </w:rPr>
        <w:t>POSSIBLE 2022:</w:t>
      </w:r>
      <w:r>
        <w:t xml:space="preserve"> The timing of unprecedented hydrological drought under climate change — https://doi.org/10.1038/s41467-022-30729-2</w:t>
      </w:r>
    </w:p>
    <w:p>
      <w:pPr/>
      <w:r>
        <w:rPr>
          <w:b/>
        </w:rPr>
        <w:t>Shared claim-specific concepts:</w:t>
      </w:r>
      <w:r>
        <w:t xml:space="preserve"> hydrological, droughts, low-flow, river, discharge, simulations; EU scope visible. This is a provisional connection, not an outcome finding.</w:t>
      </w:r>
    </w:p>
    <w:p>
      <w:pPr>
        <w:pStyle w:val="SourceNote"/>
      </w:pPr>
      <w:r>
        <w:rPr>
          <w:b/>
        </w:rPr>
        <w:t>Available abstract (not full text):</w:t>
      </w:r>
      <w:r>
        <w:t xml:space="preserve"> Droughts that exceed the magnitudes of historical variation ranges could occur increasingly frequently under future climate conditions. However, the time of the emergence of unprecedented drought conditions under climate change has rarely been examined. Here, using multimodel hydrological simulations, we investigate the changes in the frequency of hydrological drought (defined as abnormally low river discharge) under high and low greenhouse gas concentration scenarios and existing water resource management measures and estimate the time of the first emergence of unprecedented regional drought conditions centered on the low-flow season. The times are detected for several subcontinental-scale regions, and three regions, namely, Southwestern South America, Mediterranean Europe, and Northern Africa, exhibit particularly robust results under the high-emission scenario. These three regions are expected to confront unprecedented conditions within the next 30 years with a high likelihood regardless of the emission scenarios. In addition, the results obtained herein demonstrate the benefits of the lower-emission pathway in reducing the likelihood of emergence. The Paris Agreement goals are shown to be effective in reducing the likelihood to the unlikely level in most regions. However, appropriate and prior adaptation measures are considered indispensable when facing unprecedented drough</w:t>
      </w:r>
    </w:p>
    <w:p>
      <w:pPr/>
      <w:r>
        <w:rPr>
          <w:b/>
        </w:rPr>
        <w:t>POSSIBLE 2022:</w:t>
      </w:r>
      <w:r>
        <w:t xml:space="preserve"> Hydrological Retrospective and Historical Drought Analysis in a Brazilian Savanna Basin — https://doi.org/10.3390/w14142178</w:t>
      </w:r>
    </w:p>
    <w:p>
      <w:pPr/>
      <w:r>
        <w:rPr>
          <w:b/>
        </w:rPr>
        <w:t>Shared claim-specific concepts:</w:t>
      </w:r>
      <w:r>
        <w:t xml:space="preserve"> hydrological, droughts, index, water; EU scope visible. This is a provisional connection, not an outcome finding.</w:t>
      </w:r>
    </w:p>
    <w:p>
      <w:pPr>
        <w:pStyle w:val="SourceNote"/>
      </w:pPr>
      <w:r>
        <w:rPr>
          <w:b/>
        </w:rPr>
        <w:t>Available abstract (not full text):</w:t>
      </w:r>
      <w:r>
        <w:t xml:space="preserve"> Analyzing historical droughts is essential to improve the assessment of future hydrological risks and to understand the effects of climate variability on streamflow. However, prolonged and consistent hydrological time series are scarce in the Brazilian savanna region. This study aimed to analyze the performance of climate reanalysis products in precipitation estimation, hydrological modeling, and historical drought analysis in a Brazilian savanna basin. For this purpose, precipitation data from the twentieth-century atmospheric model ensemble (ERA-20CM) and the land component of the fifth generation of European ReAnalysis (ERA5-Land) with bias correction were used. The weather variables were obtained from the Climatic Research Unit (CRU) and the hydrological modeling was performed using the Soil and Water Assessment Tool (SWAT). The Standardized Streamflow Index (SSI) was used to calculate hydrological drought in the basin. Overall, ERA5-Land performed satisfactorily in precipitation estimation, mainly on the monthly time scale, hydrological modeling, and drought prediction. Since ERA-20CM showed unsatisfactory values for the performance statistics in all analyses, the hydrologic drought (1950 to 2018) was performed with ERA5-Land. The results showed both an increase in the number of dry months and a decrease in wet months in recent decades.</w:t>
      </w:r>
    </w:p>
    <w:p>
      <w:pPr>
        <w:pStyle w:val="Heading2"/>
      </w:pPr>
      <w:r>
        <w:t>649.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Dementia is a neglected noncommunicable disease and leading cause of death — https://doi.org/10.1038/s41582-024-01051-w</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Dementia is now the leading cause of death in Australia. But why is it fatal? — https://doi.org/10.64628/aa.ykgeqx5n6</w:t>
      </w:r>
    </w:p>
    <w:p>
      <w:pPr/>
      <w:r>
        <w:rPr>
          <w:b/>
        </w:rPr>
        <w:t>Shared claim-specific concepts:</w:t>
      </w:r>
      <w:r>
        <w:t xml:space="preserve"> dementia, leading, cause;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Ranking of Alzheimer's disease and related dementia among the leading causes of death in the US varies depending on NCHS or WHO definitions — https://doi.org/10.1002/dad2.12442</w:t>
      </w:r>
    </w:p>
    <w:p>
      <w:pPr/>
      <w:r>
        <w:rPr>
          <w:b/>
        </w:rPr>
        <w:t>Shared claim-specific concepts:</w:t>
      </w:r>
      <w:r>
        <w:t xml:space="preserve"> dementia, leading, disease, health; EU scope not established. This is a provisional connection, not an outcome finding.</w:t>
      </w:r>
    </w:p>
    <w:p>
      <w:pPr>
        <w:pStyle w:val="SourceNote"/>
      </w:pPr>
      <w:r>
        <w:rPr>
          <w:b/>
        </w:rPr>
        <w:t>Available abstract (not full text):</w:t>
      </w:r>
      <w:r>
        <w:t xml:space="preserve"> INTRODUCTION: We compared the ranking of Alzheimer's disease and related dementia (ADRD) among the leading causes of death (LCODs) between those according to the National Center for Health Statistics (NCHS) and the World Health Organization (WHO) lists by sex. METHOD: The number of deaths in each LCOD category was obtained from CDC WONDER. RESULTS: According to the WHO list, ADRD was the second LCOD from 2005 to 2013, the first from 2014 to 2020, and the third in 2021, respectively, for women and was the second in 2018 and 2019, the third in 2020, and the fourth in 2021, respectively, for men. According to the NCHS list, Alzheimer's disease was the fourth in 2019 and 2020 for women and was the seventh from 2016 to 2019 for men. DISCUSSION: The ranking of ADRD among the LCODs according to the WHO list was higher than those according to the NCHS list.</w:t>
      </w:r>
    </w:p>
    <w:p>
      <w:pPr/>
      <w:r>
        <w:rPr>
          <w:b/>
        </w:rPr>
        <w:t>POSSIBLE 2023:</w:t>
      </w:r>
      <w:r>
        <w:t xml:space="preserve"> The worldwide costs of dementia in 2019 — https://doi.org/10.1002/alz.12901</w:t>
      </w:r>
    </w:p>
    <w:p>
      <w:pPr/>
      <w:r>
        <w:rPr>
          <w:b/>
        </w:rPr>
        <w:t>Shared claim-specific concepts:</w:t>
      </w:r>
      <w:r>
        <w:t xml:space="preserve"> dementia, leading, cause, care; EU scope not established. This is a provisional connection, not an outcome finding.</w:t>
      </w:r>
    </w:p>
    <w:p>
      <w:pPr>
        <w:pStyle w:val="SourceNote"/>
      </w:pPr>
      <w:r>
        <w:rPr>
          <w:b/>
        </w:rPr>
        <w:t>Available abstract (not full text):</w:t>
      </w:r>
      <w:r>
        <w:t xml:space="preserve"> INTRODUCTION: Dementia is a leading cause of death and disability globally. Estimating total societal costs demonstrates the wide impact of dementia and its main direct and indirect economic components. METHODS: We constructed a global cost model for dementia, presenting costs as cumulated global and regional costs. RESULTS: In 2019, the annual global societal costs of dementia were estimated at US $1313.4 billion for 55.2 million people with dementia, corresponding to US $23,796 per person with dementia. Of the total, US $213.2 billion (16%) were direct medical costs, US $448.7 billion (34%) direct social sector costs (including long-term care), and US $651.4 billion (50%) costs of informal care. DISCUSSION: The huge costs of dementia worldwide place enormous strains on care systems and families alike. Although most people with dementia live in low- and middle-income countries, highest total and per-person costs are seen in high-income countries. HIGHLIGHTS: Global economic costs of dementia were estimated to reach US $1313.4 in 2019. Sixty-one percent of people with dementia live in low-and middle-income countries, whereas 74% of the costs occur in high-income countries. The impact of informal care accounts for about 50% of the global costs. The development of a long-term care infrastructure is a great challenge for low-and middle-income countries. There is a great need for m</w:t>
      </w:r>
    </w:p>
    <w:p>
      <w:pPr/>
      <w:r>
        <w:rPr>
          <w:b/>
        </w:rPr>
        <w:t>POSSIBLE 2023:</w:t>
      </w:r>
      <w:r>
        <w:t xml:space="preserve"> Dementia: Dementia Types. — https://openalex.org/W4388801546</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Dementia, also called major neurocognitive disorder, is characterized by a chronic progressive loss of cognitive function in the absence of fluctuating consciousness. It represents a primarily geriatric syndrome that may be caused by one of several underlying conditions. There is insufficient evidence to support universal screening for cognitive impairment in older adults; however, clinicians should be alert to patient and caregiver concerns about cognitive changes and investigate such concerns with validated cognitive assessment tools. Alzheimer disease is the leading cause and prototypical form of dementia, presenting insidiously and causing progressive cognitive impairment with increasing severity over a period of years. Vascular dementia is the second most common form of dementia and often co-occurs with other progressive cognitive disorders. Lewy body dementias encompass Parkinson disease dementia and dementia with Lewy bodies, which have similar features and are differentiated primarily by the order of motor and cognitive symptom onset. Frontotemporal dementias occur earlier than other forms of dementia, progress rapidly, and often have a genetic component. An understanding of the conditions that cause dementia will assist clinicians in making an accurate diagnosis and providing appropriate treatment recommendations and counseling regarding the diagnosis and prognosis.</w:t>
      </w:r>
    </w:p>
    <w:p>
      <w:pPr/>
      <w:r>
        <w:rPr>
          <w:b/>
        </w:rPr>
        <w:t>POSSIBLE 2023:</w:t>
      </w:r>
      <w:r>
        <w:t xml:space="preserve"> The use of neuroimaging techniques in the early and differential diagnosis of dementia — https://doi.org/10.1038/s41380-023-02215-8</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Abstract Dementia is a leading cause of disability and death worldwide. At present there is no disease modifying treatment for any of the most common types of dementia such as Alzheimer’s disease (AD), Vascular dementia, Lewy Body Dementia (LBD) and Frontotemporal dementia (FTD). Early and accurate diagnosis of dementia subtype is critical to improving clinical care and developing better treatments. Structural and molecular imaging has contributed to a better understanding of the pathophysiology of neurodegenerative dementias and is increasingly being adopted into clinical practice for early and accurate diagnosis. In this review we summarise the contribution imaging has made with particular focus on multimodal magnetic resonance imaging (MRI) and positron emission tomography imaging (PET). Structural MRI is widely used in clinical practice and can help exclude reversible causes of memory problems but has relatively low sensitivity for the early and differential diagnosis of dementia subtypes. 18 F-fluorodeoxyglucose PET has high sensitivity and specificity for AD and FTD, while PET with ligands for amyloid and tau can improve the differential diagnosis of AD and non-AD dementias, including recognition at prodromal stages. Dopaminergic imaging can assist with the diagnosis of LBD. The lack of a validated tracer for α-synuclein or TAR DNA-binding protein 43 (TDP-43) imaging rema</w:t>
      </w:r>
    </w:p>
    <w:p>
      <w:pPr/>
      <w:r>
        <w:rPr>
          <w:b/>
        </w:rPr>
        <w:t>POSSIBLE 2023:</w:t>
      </w:r>
      <w:r>
        <w:t xml:space="preserve"> Dementia Related Deaths: A Multiple Cause Coding Study — https://doi.org/10.52403/ijhsr.20231034</w:t>
      </w:r>
    </w:p>
    <w:p>
      <w:pPr/>
      <w:r>
        <w:rPr>
          <w:b/>
        </w:rPr>
        <w:t>Shared claim-specific concepts:</w:t>
      </w:r>
      <w:r>
        <w:t xml:space="preserve"> dementia, leading, cause, mortality, disease, all; EU scope not established. This is a provisional connection, not an outcome finding.</w:t>
      </w:r>
    </w:p>
    <w:p>
      <w:pPr>
        <w:pStyle w:val="SourceNote"/>
      </w:pPr>
      <w:r>
        <w:rPr>
          <w:b/>
        </w:rPr>
        <w:t>Available abstract (not full text):</w:t>
      </w:r>
      <w:r>
        <w:t xml:space="preserve"> Background: A multiple cause coding of death certificates is a new way of looking at mortality statistics. Death is attributed to a network of interacting pathological conditions, not just to one disease. For dementia - the leading cause of death in many countries today - this implies a revaluation on its role as cause of death. Methods: All records mentioning dementia in the 2014-2017 Dutch cause-of-death registry were selected (n = 98 718, 18% of all records). Two internationals agreed on measures for multiple cause coding were calculated: the standardized rate of dementia begin mentioned versus dementia being underlying cause of death (SRMU) and the cause of death association index (CDAI) for relationships between dementia and other diseases or disorders mentioned on the same death certificate. Results: Dementia was the underlying cause of death in 59% of the death certificates mentioning dementia. The SRMU was 1.68 for all forms of dementia and decreased with an increase of diagnostic specification. For men the SRMU was higher than for women. With regard to all causes being mentioned on a death certificate, several clusters causing death could be identified: 1. Dementia associated with cachexia and dehydration, 2. Dementia associated with infections (pneumonia, urinary tract), 3. Dementia associated with falls, 4. Dementia associated with cardiovascular disorders. Conclusio</w:t>
      </w:r>
    </w:p>
    <w:p>
      <w:pPr/>
      <w:r>
        <w:rPr>
          <w:b/>
        </w:rPr>
        <w:t>POSSIBLE 2023:</w:t>
      </w:r>
      <w:r>
        <w:t xml:space="preserve"> Dementia in Diabetes: The Role of Hypoglycemia — https://doi.org/10.3390/ijms24129846</w:t>
      </w:r>
    </w:p>
    <w:p>
      <w:pPr/>
      <w:r>
        <w:rPr>
          <w:b/>
        </w:rPr>
        <w:t>Shared claim-specific concepts:</w:t>
      </w:r>
      <w:r>
        <w:t xml:space="preserve"> dementia, leading, cause, mortality; EU scope not established. This is a provisional connection, not an outcome finding.</w:t>
      </w:r>
    </w:p>
    <w:p>
      <w:pPr>
        <w:pStyle w:val="SourceNote"/>
      </w:pPr>
      <w:r>
        <w:rPr>
          <w:b/>
        </w:rPr>
        <w:t>Available abstract (not full text):</w:t>
      </w:r>
      <w:r>
        <w:t xml:space="preserve"> Hypoglycemia, a common consequence of diabetes treatment, is associated with severe morbidity and mortality and has become a major barrier to intensifying antidiabetic therapy. Severe hypoglycemia, defined as abnormally low blood glucose requiring the assistance of another person, is associated with seizures and comas, but even mild hypoglycemia can cause troubling symptoms such as anxiety, palpitations, and confusion. Dementia generally refers to the loss of memory, language, problem-solving, and other cognitive functions, which can interfere with daily life, and there is growing evidence that diabetes is associated with an increased risk of both vascular and non-vascular dementia. Neuroglycopenia resulting from a hypoglycemic episode in diabetic patients can lead to the degeneration of brain cells, with a resultant cognitive decline, leading to dementia. In light of new evidence, a deeper understating of the relationship between hypoglycemia and dementia can help to inform and guide preventative strategies. In this review, we discuss the epidemiology of dementia among patients with diabetes, and the emerging mechanisms thought to underlie the association between hypoglycemia and dementia. Furthermore, we discuss the risks of various pharmacological therapies, emerging therapies to combat hypoglycemia-induced dementia, as well as risk minimization strategies.</w:t>
      </w:r>
    </w:p>
    <w:p>
      <w:pPr/>
      <w:r>
        <w:rPr>
          <w:b/>
        </w:rPr>
        <w:t>POSSIBLE 2022:</w:t>
      </w:r>
      <w:r>
        <w:t xml:space="preserve"> Occupational Therapy Utilization in Veterans With Dementia: A Retrospective Review of Root Cause Analyses of Falls Leading to Adverse Events. — https://doi.org/10.1097/pts.0000000000000860</w:t>
      </w:r>
    </w:p>
    <w:p>
      <w:pPr/>
      <w:r>
        <w:rPr>
          <w:b/>
        </w:rPr>
        <w:t>Shared claim-specific concepts:</w:t>
      </w:r>
      <w:r>
        <w:t xml:space="preserve"> dementia, leading, cause, mortality, health, all; EU scope not established. This is a provisional connection, not an outcome finding.</w:t>
      </w:r>
    </w:p>
    <w:p>
      <w:pPr>
        <w:pStyle w:val="SourceNote"/>
      </w:pPr>
      <w:r>
        <w:rPr>
          <w:b/>
        </w:rPr>
        <w:t>Available abstract (not full text):</w:t>
      </w:r>
      <w:r>
        <w:t xml:space="preserve"> INTRODUCTION: Falls in persons with dementia are associated with increased mortality. Occupational therapy (OT) is a rehabilitation discipline, which has, among its goals, the promotion of safety and fall prevention in older adults and those with dementia. The purpose of this study was to evaluate root cause analysis (RCA) data to identify causes of falls with adverse events in patients with dementia who were referred to or receiving OT services within the Veterans Health Administration (VHA). METHODS: This study used retrospective review of RCAs within the National Center for Patient Safety database for the VHA. The RCA database was searched using these terms: falls with adverse events, dementia, and OT. Descriptive statistical analysis of demographic information, location, occurrence of orthopedic fracture, and mortality was used. All root causes were qualitatively categorized using thematic analysis of determined causes. RESULTS: Eighty RCAs were included in analysis. Mean age of veterans included was 80 years; 96% were male; 76% resulted in hip fracture; and 20% died as a result of the fall. Occupational therapy evaluations occurred within 7 days of admission to VHA and falls most frequently occurred within 4 days of OT evaluation. Most common causes included inappropriate or lack of equipment (21%), need for falls/rehabilitation assessment (20%), compliance/training to fal</w:t>
      </w:r>
    </w:p>
    <w:p>
      <w:pPr>
        <w:pStyle w:val="Heading2"/>
      </w:pPr>
      <w:r>
        <w:t>650.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2025:</w:t>
      </w:r>
      <w:r>
        <w:t xml:space="preserve"> Bodily Autonomy and Identity Politics: Feminist Approaches in the Era of Global Political Changes : Editors’ Note — https://openalex.org/W7125467776</w:t>
      </w:r>
    </w:p>
    <w:p>
      <w:pPr/>
      <w:r>
        <w:rPr>
          <w:b/>
        </w:rPr>
        <w:t>Shared claim-specific concepts:</w:t>
      </w:r>
      <w:r>
        <w:t xml:space="preserve"> political, era, main; EU scope not established. This is a provisional connection, not an outcome finding.</w:t>
      </w:r>
    </w:p>
    <w:p>
      <w:pPr>
        <w:pStyle w:val="SourceNote"/>
      </w:pPr>
      <w:r>
        <w:rPr>
          <w:b/>
        </w:rPr>
        <w:t>Available abstract (not full text):</w:t>
      </w:r>
      <w:r>
        <w:t xml:space="preserve"> Our intention for this special issue of the AM Journal of Art and Media Studies was to offer a platform for voices that are rarely heard in public discourse, and to present topics that are of great importance primarily to the feminist and queer communities, but also to the society as a whole – because no one is free and safe until we are all free and safe. Collected papers in this issue deal with feminist and queer topics belonging to various social contexts. The main topic is divided into three thematic units. The first unit comprises texts describing feminist and related progressive movements. The second thematic unit focuses on anti-gender movements and transfeminist resistance against them. The third thematic unit is dedicated to the feminist and queer analyses of various artistic formats.</w:t>
      </w:r>
    </w:p>
    <w:p>
      <w:pPr/>
      <w:r>
        <w:rPr>
          <w:b/>
        </w:rPr>
        <w:t>POSSIBLE 2022:</w:t>
      </w:r>
      <w:r>
        <w:t xml:space="preserve"> Change in Global Environmental Politics — https://doi.org/10.1017/9781009165877</w:t>
      </w:r>
    </w:p>
    <w:p>
      <w:pPr/>
      <w:r>
        <w:rPr>
          <w:b/>
        </w:rPr>
        <w:t>Shared claim-specific concepts:</w:t>
      </w:r>
      <w:r>
        <w:t xml:space="preserve"> political, world; EU scope not established. This is a provisional connection, not an outcome finding.</w:t>
      </w:r>
    </w:p>
    <w:p>
      <w:pPr>
        <w:pStyle w:val="SourceNote"/>
      </w:pPr>
      <w:r>
        <w:rPr>
          <w:b/>
        </w:rPr>
        <w:t>Available abstract (not full text):</w:t>
      </w:r>
      <w:r>
        <w:t xml:space="preserve"> As wildfires rage, pollution thickens, and species disappear, the world confronts environmental crisis with a set of global institutions in urgent need of reform. Yet, these institutions have proved frustratingly resistant to change. Introducing the concept of Temporal Focal Points, Manulak shows how change occurs in world politics. By re-envisioning the role of timing and temporality in social relations, his analysis presents a new approach to understanding transformative phases in international cooperation. We may now be entering such a phase, he argues, and global actors must be ready to realize the opportunities presented. Charting the often colorful and intensely political history of change in global environmental politics, this book sheds new light on the actors and institutions that shape humanity's response to planetary decline. It will be of interest to scholars and advanced students of international relations, international organization and environmental politics and history.</w:t>
      </w:r>
    </w:p>
    <w:p>
      <w:pPr/>
      <w:r>
        <w:rPr>
          <w:b/>
        </w:rPr>
        <w:t>POSSIBLE 2022:</w:t>
      </w:r>
      <w:r>
        <w:t xml:space="preserve"> Livestock, methane, and climate change: The politics of global assessments — https://doi.org/10.1002/wcc.790</w:t>
      </w:r>
    </w:p>
    <w:p>
      <w:pPr/>
      <w:r>
        <w:rPr>
          <w:b/>
        </w:rPr>
        <w:t>Shared claim-specific concepts:</w:t>
      </w:r>
      <w:r>
        <w:t xml:space="preserve"> political, scientific; EU scope not established. This is a provisional connection, not an outcome finding.</w:t>
      </w:r>
    </w:p>
    <w:p>
      <w:pPr>
        <w:pStyle w:val="SourceNote"/>
      </w:pPr>
      <w:r>
        <w:rPr>
          <w:b/>
        </w:rPr>
        <w:t>Available abstract (not full text):</w:t>
      </w:r>
      <w:r>
        <w:t xml:space="preserve"> The relationship between livestock production and climate change is the subject of hot debate, with arguments for major shifts in diets and a reduction in livestock production. This Perspective examines how global assessments of livestock-derived methane emissions are framed, identifying assumptions and data gaps that influence standard life-cycle analysis approaches. These include inadequate data due to a focus on industrial not extensive systems; errors arising due to inappropriate emission factors being applied; questions of how global warming potentials are derived for different greenhouse gases and debates about what baselines are appropriate. The article argues for a holistic systems approach that takes account of diverse livestock systems-both intensive and extensive-including both positive and negative impacts. In particular, the potential benefits of extensive livestock systems are highlighted, including supporting livelihoods, providing high-quality nutrition, enhancing biodiversity, protecting landscapes, and sequestering carbon. By failing to differentiate between livestock systems, global assessments may mislead. Inappropriate measurement, verification and reporting processes linked to global climate change policy may in turn result in interventions that can undermine the livelihoods of extensive livestock-keepers in marginal areas, including mobile pastoralists. I</w:t>
      </w:r>
    </w:p>
    <w:p>
      <w:pPr/>
      <w:r>
        <w:rPr>
          <w:b/>
        </w:rPr>
        <w:t>POSSIBLE 2021:</w:t>
      </w:r>
      <w:r>
        <w:t xml:space="preserve"> Generic, growing, green?: The changing political economy of the global pesticide complex — https://doi.org/10.1080/03066150.2020.1839053</w:t>
      </w:r>
    </w:p>
    <w:p>
      <w:pPr/>
      <w:r>
        <w:rPr>
          <w:b/>
        </w:rPr>
        <w:t>Shared claim-specific concepts:</w:t>
      </w:r>
      <w:r>
        <w:t xml:space="preserve"> political, complex; EU scope not established. This is a provisional connection, not an outcome finding.</w:t>
      </w:r>
    </w:p>
    <w:p>
      <w:pPr>
        <w:pStyle w:val="SourceNote"/>
      </w:pPr>
      <w:r>
        <w:rPr>
          <w:b/>
        </w:rPr>
        <w:t>Available abstract (not full text):</w:t>
      </w:r>
      <w:r>
        <w:t xml:space="preserve"> Agriculture is now more dependent on pesticides than ever. The value of global pesticide imports increased 3x faster in the 2000s than in the 1990s. Structural transformations in the industry – including reduced innovation, increased regulatory costs, consolidation, and a dramatic shift to generic pesticides largely produced in China – have shifted prices, supply chains and formulations. The ‘supermarket revolution’, migration, and rising labor costs are driving an increase in demand. The result is a pesticide complex that is multipolar, where commodity chains and environmental impacts are less legible, requiring a hard look at the chemical nature of agrarian capitalism.</w:t>
      </w:r>
    </w:p>
    <w:p>
      <w:pPr/>
      <w:r>
        <w:rPr>
          <w:b/>
        </w:rPr>
        <w:t>POSSIBLE 2021:</w:t>
      </w:r>
      <w:r>
        <w:t xml:space="preserve"> The Climate Crisis, Renewable Energy, and the Changing Landscape of Global Energy Politics — https://doi.org/10.1177/03043754211040698</w:t>
      </w:r>
    </w:p>
    <w:p>
      <w:pPr/>
      <w:r>
        <w:rPr>
          <w:b/>
        </w:rPr>
        <w:t>Shared claim-specific concepts:</w:t>
      </w:r>
      <w:r>
        <w:t xml:space="preserve"> political, world, era, collapse, energy; EU scope not established. This is a provisional connection, not an outcome finding.</w:t>
      </w:r>
    </w:p>
    <w:p>
      <w:pPr>
        <w:pStyle w:val="SourceNote"/>
      </w:pPr>
      <w:r>
        <w:rPr>
          <w:b/>
        </w:rPr>
        <w:t>Available abstract (not full text):</w:t>
      </w:r>
      <w:r>
        <w:t xml:space="preserve"> Abstract This essay reviews three recent books on the changing landscape of global energy politics in the era of climate change. Key questions that the authors investigate include: how will the renewable energy transition reshape the global balance of power? How will political-economic interdependencies and geopolitical alignments shift? Will contemporary petro-states adapt or collapse? And what new patterns of peace and conflict may emerge in a decarbonized world order? The authors provide different perspectives on the likely speed of the energy transition and its geopolitical implications. However, they occlude deeper questions about the depth of the transformations needed to prevent climate catastrophe—particularly in the nature of capitalism and military power—and the potential for more radical perspectives on energy futures. In contrast, I will argue that we should advance a critical research agenda on the global energy transition that accounts for the possibility of more far-reaching transformations in the political-economic, military, and ideological bases of world politics and highlights diverse movements fighting for their realization. These possible transformations include (1) transitions to post-growth political economies; (2) a radical shrinkage of emissions-intensive military–industrial complexes; and (3) decolonizing ideologies of “progress.” If struggles for alte</w:t>
      </w:r>
    </w:p>
    <w:p>
      <w:pPr>
        <w:pStyle w:val="Heading2"/>
      </w:pPr>
      <w:r>
        <w:t>651.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2024:</w:t>
      </w:r>
      <w:r>
        <w:t xml:space="preserve"> European Forest Type Map — https://doi.org/10.5194/egusphere-egu24-3418</w:t>
      </w:r>
    </w:p>
    <w:p>
      <w:pPr/>
      <w:r>
        <w:rPr>
          <w:b/>
        </w:rPr>
        <w:t>Shared claim-specific concepts:</w:t>
      </w:r>
      <w:r>
        <w:t xml:space="preserve"> types, along, climate, mitigation, system, aims; EU scope visible. This is a provisional connection, not an outcome finding.</w:t>
      </w:r>
    </w:p>
    <w:p>
      <w:pPr>
        <w:pStyle w:val="SourceNote"/>
      </w:pPr>
      <w:r>
        <w:rPr>
          <w:b/>
        </w:rPr>
        <w:t>Available abstract (not full text):</w:t>
      </w:r>
      <w:r>
        <w:t xml:space="preserve"> Forest types are key factors to consider when monitoring forests, particularly in consideration of the increasing need to assess how climate change is affecting different forests in Europe and beyond. A comprehensive classification system is indeed essential for understanding the diverse forest ecosystems, tracking their changes over time and across various spatial and geographical scales. Moreover, it provides valuable insights on the baseline conditions and current states of forest ecosystems, aiding in decision-making for conservation and resource management. A "forest type classification scheme" aims to break down extensive forested areas, like stocked forest land, into smaller, more similar units. This breakdown helps streamline the analysis, interpretation, and communication of forest-related data. In Europe, the European Forest Types (EFT) classification system has demonstrated its effectiveness and user-friendliness in facilitating the comprehension, interpretation, and dissemination of data regarding indicators that depict the conditions and changes within European forests, as well as forest management practices. The EFT, could support a standardised reporting of several forest area related indicators. This includes assessments of biodiversity, organised into ecologically similar groups across the entire European region. However, until now, there was no EFTs map availa</w:t>
      </w:r>
    </w:p>
    <w:p>
      <w:pPr/>
      <w:r>
        <w:rPr>
          <w:b/>
        </w:rPr>
        <w:t>POSSIBLE 2024:</w:t>
      </w:r>
      <w:r>
        <w:t xml:space="preserve"> Cross‐border dimensions of Arctic climate change impacts and implications for Europe — https://doi.org/10.1002/wcc.905</w:t>
      </w:r>
    </w:p>
    <w:p>
      <w:pPr/>
      <w:r>
        <w:rPr>
          <w:b/>
        </w:rPr>
        <w:t>Shared claim-specific concepts:</w:t>
      </w:r>
      <w:r>
        <w:t xml:space="preserve"> demonstrate, climate;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demonstrate, climate, mitigation;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Natural Hazards in a Changing World: Methods for Analyzing Trends and Non‐Linear Changes — https://doi.org/10.1029/2023ef003553</w:t>
      </w:r>
    </w:p>
    <w:p>
      <w:pPr/>
      <w:r>
        <w:rPr>
          <w:b/>
        </w:rPr>
        <w:t>Shared claim-specific concepts:</w:t>
      </w:r>
      <w:r>
        <w:t xml:space="preserve"> types, dynamics, assess; EU scope visible. This is a provisional connection, not an outcome finding.</w:t>
      </w:r>
    </w:p>
    <w:p>
      <w:pPr>
        <w:pStyle w:val="SourceNote"/>
      </w:pPr>
      <w:r>
        <w:rPr>
          <w:b/>
        </w:rPr>
        <w:t>Available abstract (not full text):</w:t>
      </w:r>
      <w:r>
        <w:t xml:space="preserve"> Abstract Estimating the frequency and magnitude of natural hazards largely hinges on stationary models, which do not account for changes in the climatological, hydrological, and geophysical baseline conditions. Using five diverse case studies encompassing various natural hazard types, we present advanced statistical and machine learning methods to analyze and model transient states from long‐term inventory data. A novel storminess metric reveals increasing European winter windstorm severity from 1950 to 2010. Non‐stationary extreme value models quantify trends, seasonal shifts, and regional differences in extreme precipitation for Germany between 1941 and 2021. Utilizing quantile sampling and empirical mode decomposition on 148 years of daily weather and discharge data in the European Alps, we assess the impacts of changing snow cover, precipitation, and anthropogenic river network modifications on river runoff. Moreover, a probabilistic framework estimates return periods of glacier lake outburst floods in the Himalayas, demonstrating large differences in 100‐year flood levels. Utilizing a Bayesian change point algorithm, we track the onset of increased seismicity in the southern central United States and find correlation with wastewater injections into deep wells. In conclusion, data science reveals transient states for very different natural hazard types, characterized by div</w:t>
      </w:r>
    </w:p>
    <w:p>
      <w:pPr/>
      <w:r>
        <w:rPr>
          <w:b/>
        </w:rPr>
        <w:t>POSSIBLE 2023:</w:t>
      </w:r>
      <w:r>
        <w:t xml:space="preserve"> Reduced grazing and changes in the area of agroforestry in Europe — https://doi.org/10.3389/fenvs.2023.1258697</w:t>
      </w:r>
    </w:p>
    <w:p>
      <w:pPr/>
      <w:r>
        <w:rPr>
          <w:b/>
        </w:rPr>
        <w:t>Shared claim-specific concepts:</w:t>
      </w:r>
      <w:r>
        <w:t xml:space="preserve"> types, food, system;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Deep learning-based classification of atmospheric circulation types over Europe in a CMIP6 Large Ensemble — https://doi.org/10.5194/ems2023-327</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The 29 circulation types by Hess &amp; Brezowsky, called “Großwetterlagen”, are one of the most established classification schemes of the large-scale atmospheric circulation influencing Europe. They are widely used in order to assess linkages between atmospheric forcing and surface conditions e.g. extreme events like floods or heat waves. Because of the connection between driving circulation type and extreme event, it is of high interest to understand future changes in the occurrence of circulation types in the context of climate change. Even though the “Großwetterlagen” have been commonly used in conjunction with historical data, only very few studies examine future trends in the frequency distribution of these circulation types using climate models. Potential reasons for this, are the lack of an open-source classification method of the “Großwetterlagen” and their high range of internal variability. Due to the dynamic nature of the large-scale atmospheric circulation in the mid-latitudes, it is highly relevant to consider the range of internal variability when studying future changes in circulation patterns and to separate the climate change signal from noise. We have therefore developed an open-source, automated method for classifying the “Großwetterlagen” using deep learning. We apply this method to the SMHI-LE, an initial-condition single-model large ensemble of the CMIP6 gener</w:t>
      </w:r>
    </w:p>
    <w:p>
      <w:pPr/>
      <w:r>
        <w:rPr>
          <w:b/>
        </w:rPr>
        <w:t>POSSIBLE 2022:</w:t>
      </w:r>
      <w:r>
        <w:t xml:space="preserve"> COSMOS-Europe: a European network of cosmic-ray neutron soil moisture sensors — https://doi.org/10.5194/essd-14-1125-2022</w:t>
      </w:r>
    </w:p>
    <w:p>
      <w:pPr/>
      <w:r>
        <w:rPr>
          <w:b/>
        </w:rPr>
        <w:t>Shared claim-specific concepts:</w:t>
      </w:r>
      <w:r>
        <w:t xml:space="preserve"> demonstrate, types, climate, presents; EU scope visible. This is a provisional connection, not an outcome finding.</w:t>
      </w:r>
    </w:p>
    <w:p>
      <w:pPr>
        <w:pStyle w:val="SourceNote"/>
      </w:pPr>
      <w:r>
        <w:rPr>
          <w:b/>
        </w:rPr>
        <w:t>Available abstract (not full text):</w:t>
      </w:r>
      <w:r>
        <w:t xml:space="preserve"> Abstract. Climate change increases the occurrence and severity of droughts due to increasing temperatures, altered circulation patterns, and reduced snow occurrence. While Europe has suffered from drought events in the last decade unlike ever seen since the beginning of weather recordings, harmonized long-term datasets across the continent are needed to monitor change and support predictions. Here we present soil moisture data from 66 cosmic-ray neutron sensors (CRNSs) in Europe (COSMOS-Europe for short) covering recent drought events. The CRNS sites are distributed across Europe and cover all major land use types and climate zones in Europe. The raw neutron count data from the CRNS stations were provided by 24 research institutions and processed using state-of-the-art methods. The harmonized processing included correction of the raw neutron counts and a harmonized methodology for the conversion into soil moisture based on available in situ information. In addition, the uncertainty estimate is provided with the dataset, information that is particularly useful for remote sensing and modeling applications. This paper presents the current spatiotemporal coverage of CRNS stations in Europe and describes the protocols for data processing from raw measurements to consistent soil moisture products. The data of the presented COSMOS-Europe network open up a manifold of potential applica</w:t>
      </w:r>
    </w:p>
    <w:p>
      <w:pPr/>
      <w:r>
        <w:rPr>
          <w:b/>
        </w:rPr>
        <w:t>POSSIBLE 2022:</w:t>
      </w:r>
      <w:r>
        <w:t xml:space="preserve"> Classification of atmospheric circulation types over Europe in a CMIP6 Large Ensemble using Deep Learning — https://doi.org/10.5194/egusphere-egu22-10421</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The 29 circulation types by Hess &amp; Brezowsky, called “Großwetterlagen”, are one of the most established classification schemes of the large-scale atmospheric circulation patterns influencing Europe. They are widely used in order to assess linkages between atmospheric forcing and surface conditions e.g. extreme events like floods or heat waves. Because of the connection between driving circulation type and extreme event, it is of high interest to understand future changes in the occurrence of circulation types in the context of climate change. Even though the “Großwetterlagen” have been commonly used in conjunction with historic data, only very few studies examine future trends in the frequency distribution of these circulation types using climate models. Among the potential limitations for the application of “Großwetterlagen” to climate models are the lack of an open-source classification method and the high range of internal variability. Due to the dynamic nature of the large-scale atmospheric circulation in the mid-latitudes, it is highly relevant to consider the range of internal variability when studying future changes in circulation patterns and to separate the climate change signal from noise. We have therefore developed an open-source, automated method for the classification of the “Großwetterlagen” using deep learning and we apply this method to the SMHI-LENS, an initia</w:t>
      </w:r>
    </w:p>
    <w:p>
      <w:pPr/>
      <w:r>
        <w:rPr>
          <w:b/>
        </w:rPr>
        <w:t>POSSIBLE 2022:</w:t>
      </w:r>
      <w:r>
        <w:t xml:space="preserve"> Ellenberg‐type indicator values for European vascular plant species — https://doi.org/10.1111/jvs.13168</w:t>
      </w:r>
    </w:p>
    <w:p>
      <w:pPr/>
      <w:r>
        <w:rPr>
          <w:b/>
        </w:rPr>
        <w:t>Shared claim-specific concepts:</w:t>
      </w:r>
      <w:r>
        <w:t xml:space="preserve"> original, system, aims;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2021:</w:t>
      </w:r>
      <w:r>
        <w:t xml:space="preserve"> Scaling up nature-based solutions for climate-change adaptation: Potential and benefits in three European cities — https://doi.org/10.1016/j.ufug.2021.127450</w:t>
      </w:r>
    </w:p>
    <w:p>
      <w:pPr/>
      <w:r>
        <w:rPr>
          <w:b/>
        </w:rPr>
        <w:t>Shared claim-specific concepts:</w:t>
      </w:r>
      <w:r>
        <w:t xml:space="preserve"> types, quantities, along, climate, mitigation, aims; EU scope visible. This is a provisional connection, not an outcome finding.</w:t>
      </w:r>
    </w:p>
    <w:p>
      <w:pPr>
        <w:pStyle w:val="SourceNote"/>
      </w:pPr>
      <w:r>
        <w:rPr>
          <w:b/>
        </w:rPr>
        <w:t>Available abstract (not full text):</w:t>
      </w:r>
      <w:r>
        <w:t xml:space="preserve"> Many exemplary projects have demonstrated that Nature-based Solutions (NBS) can contribute to climate change adaptation, but now the challenge is to scale up their use. Setting realistic policy goals requires knowing the amount of different NBS types that can fit in the urban space and the benefits that can be expected. This research aims to assess the potential for a full-scale implementation of NBS for climate-change adaptation in European cities, the expected benefits and co-benefits, and how these quantities relate to the urban structure of the cities. We selected three case studies: Barcelona (Spain), Malmö (Sweden), and Utrecht (the Netherlands), and developed six scenarios that simulate the current condition, the full-scale implementation of different NBS strategies (i.e., installing green roofs, de-sealing parking areas, enhancing vegetation in urban parks, and planting street trees), and a combination of them. Then we applied spatially-explicit methods to assess, for each scenario, two climate change-related benefits, i.e. heat mitigation and stormwater regulation, and three co-benefits, namely carbon storage, biodiversity potential, and overall greenness. Finally, by breaking down the results per land use class, we investigated how the potential and benefits vary depending on the urban form. Most scenarios provide multiple benefits, but each one is characterized by a </w:t>
      </w:r>
    </w:p>
    <w:p>
      <w:pPr>
        <w:pStyle w:val="Heading2"/>
      </w:pPr>
      <w:r>
        <w:t>652.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2024:</w:t>
      </w:r>
      <w:r>
        <w:t xml:space="preserve"> Critical diameter for a single-tank molten salt storage – Parametric study on structural tank design — https://doi.org/10.1016/j.est.2024.113870</w:t>
      </w:r>
    </w:p>
    <w:p>
      <w:pPr/>
      <w:r>
        <w:rPr>
          <w:b/>
        </w:rPr>
        <w:t>Shared claim-specific concepts:</w:t>
      </w:r>
      <w:r>
        <w:t xml:space="preserve"> show, tank, best; EU scope not established. This is a provisional connection, not an outcome finding.</w:t>
      </w:r>
    </w:p>
    <w:p>
      <w:pPr>
        <w:pStyle w:val="SourceNote"/>
      </w:pPr>
      <w:r>
        <w:rPr>
          <w:b/>
        </w:rPr>
        <w:t>Available abstract (not full text):</w:t>
      </w:r>
      <w:r>
        <w:t xml:space="preserve"> Molten salt thermal energy storage (TES) is a cost-effective option for grid-connected storage in both concentrating solar power (CSP) plants and retrofitted thermal power plants in a multimegawatt scale. Current systems use two tanks (hot and cold), but future systems may use a single tank with a transient temperature profile (hot in the top and cold in the bottom) to reduce costs and space. However, the structural and mechanical design of large-scale molten salt single-tank storages at 560 °C has not been fully explored, and the impact of increasing the operating temperature to 620 °C is still uncertain. The challenge presented by a single tank is the existence of a temperature profile that results in a varying thermal expansion of the tank shell along its height. In the case of larger tanks, this discrepancy can reach a magnitude of centimeters, which in turn gives rise to bending moments. To the best of our knowledge, this study addresses the issue of bending stresses in large-sized high-temperature tanks with thermal stratification for the first time. The modelling approach is applied to single-tank CSP TES systems as a case study to evaluate the constraints imposed by tank size and wall thickness. With the help of experimentally validated numerical methods, it is revealed that a low thermocline thickness can be a limiting factor for large tank diameters. It is shown that </w:t>
      </w:r>
    </w:p>
    <w:p>
      <w:pPr/>
      <w:r>
        <w:rPr>
          <w:b/>
        </w:rPr>
        <w:t>POSSIBLE 2023:</w:t>
      </w:r>
      <w:r>
        <w:t xml:space="preserve"> Design and optimization of a type-C tank for liquid hydrogen marine transport — https://doi.org/10.1016/j.ijhydene.2023.05.102</w:t>
      </w:r>
    </w:p>
    <w:p>
      <w:pPr/>
      <w:r>
        <w:rPr>
          <w:b/>
        </w:rPr>
        <w:t>Shared claim-specific concepts:</w:t>
      </w:r>
      <w:r>
        <w:t xml:space="preserve"> outcomes, tank, transport; EU scope not established. This is a provisional connection, not an outcome finding.</w:t>
      </w:r>
    </w:p>
    <w:p>
      <w:pPr>
        <w:pStyle w:val="SourceNote"/>
      </w:pPr>
      <w:r>
        <w:rPr>
          <w:b/>
        </w:rPr>
        <w:t>Available abstract (not full text):</w:t>
      </w:r>
      <w:r>
        <w:t xml:space="preserve"> As one of the most promising renewable energy sources, hydrogen has the excellent environmental benefit of producing zero emissions. A key technical challenge in using hydrogen across sectors is placed on its storage technology. The storage temperature of liquid hydrogen (20 K, or −253 °C) is close to absolute zero so the storage materials and the insulation layers are subjected to extremely stringent requirements against the cryogenic behaviour of the medium. In this context, this research proposed to design a large liquid hydrogen type-C tank with AISI (American Iron and Steel Institution) type 316 L stainless steel as the metal barrier, using Vapor-Cooled Shield (VCS) and Rigid Polyurethane Foams (RPF) as the insulation layer. A parametric study on the design of the insulation layer was carried out by establishing a thermodynamic model. The effects of VCS location on heat ingress to the liquid hydrogen transport tank and insulation temperature distribution were investigated, and the optimal location of the VCS in the insulation was identified. Research outcomes finally suggest two optimal design schemes: (1) when the thickness of the insulation layer is determined, Self-evaporation Vapor-Cooled Shield (SVCS) and Forced-evaporation Vapor-Cooled Shield (FVCS) can reduce heat transfer by 47.84% and 85.86% respectively; (2) when the liquid hydrogen evaporation capacity is determ</w:t>
      </w:r>
    </w:p>
    <w:p>
      <w:pPr/>
      <w:r>
        <w:rPr>
          <w:b/>
        </w:rPr>
        <w:t>POSSIBLE 2022:</w:t>
      </w:r>
      <w:r>
        <w:t xml:space="preserve"> Teaching Acoustics at the EELISA THINK TANK on SUSTAINABLE BUILDINGS — https://doi.org/10.61782/fa.2023.1301</w:t>
      </w:r>
    </w:p>
    <w:p>
      <w:pPr/>
      <w:r>
        <w:rPr>
          <w:b/>
        </w:rPr>
        <w:t>Shared claim-specific concepts:</w:t>
      </w:r>
      <w:r>
        <w:t xml:space="preserve"> outcomes, tank, all; EU scope visible. This is a provisional connection, not an outcome finding.</w:t>
      </w:r>
    </w:p>
    <w:p>
      <w:pPr>
        <w:pStyle w:val="SourceNote"/>
      </w:pPr>
      <w:r>
        <w:rPr>
          <w:b/>
        </w:rPr>
        <w:t>Available abstract (not full text):</w:t>
      </w:r>
      <w:r>
        <w:t xml:space="preserve"> Building acoustics should be seen as a transversal discussion with all the disciplines involved in construction and introducing acoustics to non-acousticians in the construction industry is often challenging.This paper aims at describing the outcomes and methodology of teaching acoustics used during the THINK TANK on SUSTAINABLE BUILDINGS, an activity organized by EELISA, an alliance of Higher Education Institutions from different countries in Europe meant to define and implement a common model of European engineer rooted in society.The EELISA Community "SUSBCC.Technical and Social Challenges for Sustainable Buildings, Cities and Communities" together with the European Space Agency (ESA) planned and coordinated more than 30 workshops in Madrid ESA Headquarters, which were held between students, industry and scientific communities as well as wrap up and integrating sessions.</w:t>
      </w:r>
    </w:p>
    <w:p>
      <w:pPr/>
      <w:r>
        <w:rPr>
          <w:b/>
        </w:rPr>
        <w:t>POSSIBLE 2021:</w:t>
      </w:r>
      <w:r>
        <w:t xml:space="preserve"> The media and think tanks in China: The construction and propagation of a think tank — https://doi.org/10.1080/01296612.2021.1899785</w:t>
      </w:r>
    </w:p>
    <w:p>
      <w:pPr/>
      <w:r>
        <w:rPr>
          <w:b/>
        </w:rPr>
        <w:t>Shared claim-specific concepts:</w:t>
      </w:r>
      <w:r>
        <w:t xml:space="preserve"> show, tank, policies; EU scope not established. This is a provisional connection, not an outcome finding.</w:t>
      </w:r>
    </w:p>
    <w:p>
      <w:pPr>
        <w:pStyle w:val="SourceNote"/>
      </w:pPr>
      <w:r>
        <w:rPr>
          <w:b/>
        </w:rPr>
        <w:t>Available abstract (not full text):</w:t>
      </w:r>
      <w:r>
        <w:t xml:space="preserve"> With China's rapid growth as a regional and global power, think tanks in China have received increasing attention from politicians and academics, mostly due to the achievements of academic and processing policies. Recently, collaborations between the media and think tanks have become increasingly tight. This article aims to explore China's think tank industry and their relationship with the media by interviewing two members of staff from one of China’s most prominent think tanks and observing the Institute for six months. This study has found that China’s think tanks have a close relationship with the government and the media. The traditional Chinese Confucian culture and the "bureaucracy-oriented tradition" have a significant role in the think tanks' political behavior. This leads the think tanks to play the role of being an advocate of the government. Although social media, to some extent, liberalizes the work style of China's think tanks, the think tanks' use of social media still follows the traditional media logic to facilitate the government's interests. Overall, the study argues that Chinese think tanks show features of being a “Government-lead non-governmental organization" with a semi-official identity to complement the official authorities.</w:t>
      </w:r>
    </w:p>
    <w:p>
      <w:pPr>
        <w:pStyle w:val="Heading2"/>
      </w:pPr>
      <w:r>
        <w:t>653.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r>
        <w:rPr>
          <w:b/>
        </w:rPr>
        <w:t>POSSIBLE 2024:</w:t>
      </w:r>
      <w:r>
        <w:t xml:space="preserve"> Multi-model Physically-based constrained decadal predictions of precipitation over Europe — https://doi.org/10.5194/ems2024-191</w:t>
      </w:r>
    </w:p>
    <w:p>
      <w:pPr/>
      <w:r>
        <w:rPr>
          <w:b/>
        </w:rPr>
        <w:t>Shared claim-specific concepts:</w:t>
      </w:r>
      <w:r>
        <w:t xml:space="preserve"> reliable, prediction; EU scope visible. This is a provisional connection, not an outcome finding.</w:t>
      </w:r>
    </w:p>
    <w:p>
      <w:pPr>
        <w:pStyle w:val="SourceNote"/>
      </w:pPr>
      <w:r>
        <w:rPr>
          <w:b/>
        </w:rPr>
        <w:t>Available abstract (not full text):</w:t>
      </w:r>
      <w:r>
        <w:t xml:space="preserve"> Decadal climate predictions are our most reliable source of climate information for the near-term climate change. They can be very useful to develop climate services to users from sectors such as agriculture, industry, energy, water management, health, etc. However, before developing these climate services, an assessment of the forecast quality for the variables and regions of interest is needed. In this work, we consider the available retrospective decadal predictions (DCPP-A) contributing to phase 6 of the Coupled model Intercomparison Project (CMIP6) and analyze their skill to predict rainfall over Europe. Rainfall variability over Europe is strongly linked to variations in the North Atlantic jet stream. At multidecadal time scales, some studies have shown that the variability of the North Atlantic jet stream could be driven by low-frequency changes in the sea surface temperature over the north Atlantic associated with the Atlantic Multidecadal Variability. Retrospective decadal predictions present skill to predict the low-frequency variability of the SST associated with Atlantic Multidecadal Variability. However, they have difficulties in predicting precipitation variability over Europe. Here, we analyze the skill of DCPP-A models to predict precipitation over Europe, exploring the multimodel ensemble to identify the models with enhanced skill, investigating as well the und</w:t>
      </w:r>
    </w:p>
    <w:p>
      <w:pPr/>
      <w:r>
        <w:rPr>
          <w:b/>
        </w:rPr>
        <w:t>POSSIBLE 2024:</w:t>
      </w:r>
      <w:r>
        <w:t xml:space="preserve"> Explainable artificial intelligence for reliable water demand forecasting to increase trust in predictions — https://doi.org/10.1016/j.watres.2024.122779</w:t>
      </w:r>
    </w:p>
    <w:p>
      <w:pPr/>
      <w:r>
        <w:rPr>
          <w:b/>
        </w:rPr>
        <w:t>Shared claim-specific concepts:</w:t>
      </w:r>
      <w:r>
        <w:t xml:space="preserve"> reliable, prediction, weather, infrastructure; EU scope visible. This is a provisional connection, not an outcome finding.</w:t>
      </w:r>
    </w:p>
    <w:p>
      <w:pPr>
        <w:pStyle w:val="SourceNote"/>
      </w:pPr>
      <w:r>
        <w:rPr>
          <w:b/>
        </w:rPr>
        <w:t>Available abstract (not full text):</w:t>
      </w:r>
      <w:r>
        <w:t xml:space="preserve"> The "EU Artificial Intelligence Act" sets a framework for the implementation of artificial intelligence (AI) in Europe. As a legal assessment reveals, AI applications in water supply systems are categorised as high-risk AI if a failure in the AI application results in a significant impact on physical infrastructure or supply reliability. The use case of water demand forecasts with AI for automatic tank operation is for example categorised as high-risk AI and must fulfil specific requirements regarding model transparency (traceability, explainability) and technical robustness (accuracy, reliability). To this end, six widely established machine learning models, including both transparent and opaque models, are applied to different datasets for daily water demand forecasting and the requirements regarding model accuracy, transparency and technical robustness are systematically evaluated for this use case. Opaque models generally achieve higher prediction accuracy compared to transparent models due to their ability to capture the complex relationship between parameters like for example weather data and water demand. However, this also makes them vulnerable to deviations and irregularities in weather forecasts and historical water demand. In contrast, transparent models rely mainly on historical water demand data for the utilised dataset and are less influenced by weather data, maki</w:t>
      </w:r>
    </w:p>
    <w:p>
      <w:pPr/>
      <w:r>
        <w:rPr>
          <w:b/>
        </w:rPr>
        <w:t>POSSIBLE 2022:</w:t>
      </w:r>
      <w:r>
        <w:t xml:space="preserve"> Regional prediction of multi-mycotoxin contamination of wheat in Europe using machine learning — https://doi.org/10.1016/j.foodres.2022.111588</w:t>
      </w:r>
    </w:p>
    <w:p>
      <w:pPr/>
      <w:r>
        <w:rPr>
          <w:b/>
        </w:rPr>
        <w:t>Shared claim-specific concepts:</w:t>
      </w:r>
      <w:r>
        <w:t xml:space="preserve"> prediction, weather, grid; EU scope visible. This is a provisional connection, not an outcome finding.</w:t>
      </w:r>
    </w:p>
    <w:p>
      <w:pPr>
        <w:pStyle w:val="SourceNote"/>
      </w:pPr>
      <w:r>
        <w:rPr>
          <w:b/>
        </w:rPr>
        <w:t>Available abstract (not full text):</w:t>
      </w:r>
      <w:r>
        <w:t xml:space="preserve"> Wheat is susceptible to fungal infection and mycotoxin contamination during its cultivation period, under opportune environmental conditions. The presence of mycotoxins, such as deoxynivalenol and zearalenone, in wheat destined for feed and food can affect animal and human health. This study aimed to develop a machine learning algorithm to predict the risk levels of one or more mycotoxins in wheat on a regional basis in Europe using crop phenological data, weather data, and satellite images as input. A dataset was obtained with 11 years of mycotoxin monitoring data (2010-2020), including historical records of the concentration of deoxynivalenol, zearalenone, T-2 toxin and HT-2 toxin, fumonisins, aflatoxins, and/or ochratoxin A in wheat in Europe. This dataset was linked, based on year and grid (25 × 25 km), to wheat phenology data, weather data, and satellite image data. The complete dataset for the years 2010-2018 was split into a model training (80%) and an internal model validation set (20%). Data for the years 2019 and 2020 were used for external validation. The random forest (RF) algorithm was applied to train the model using the model training data. The model predicts the probability (low, medium, high) of wheat grown in a certain grid in Europe to be contaminated with at least one of the six mycotoxins under study. Results showed high prediction performance of the model:</w:t>
      </w:r>
    </w:p>
    <w:p>
      <w:pPr/>
      <w:r>
        <w:rPr>
          <w:b/>
        </w:rPr>
        <w:t>POSSIBLE 2022:</w:t>
      </w:r>
      <w:r>
        <w:t xml:space="preserve"> Large-scale circulation patterns and their influence on European winter windstorm predictions — https://doi.org/10.1007/s00382-022-06455-2</w:t>
      </w:r>
    </w:p>
    <w:p>
      <w:pPr/>
      <w:r>
        <w:rPr>
          <w:b/>
        </w:rPr>
        <w:t>Shared claim-specific concepts:</w:t>
      </w:r>
      <w:r>
        <w:t xml:space="preserve"> prediction, events, weather; EU scope visible. This is a provisional connection, not an outcome finding.</w:t>
      </w:r>
    </w:p>
    <w:p>
      <w:pPr>
        <w:pStyle w:val="SourceNote"/>
      </w:pPr>
      <w:r>
        <w:rPr>
          <w:b/>
        </w:rPr>
        <w:t>Available abstract (not full text):</w:t>
      </w:r>
      <w:r>
        <w:t xml:space="preserve"> Abstract Severe winter windstorms are amongst the most damaging weather events for Europe and show significant interannual variability. While surface variables (temperature, precipitation) have been successfully predicted for some time now, predictability of severe windstorms caused by extra-tropical cyclones remains less well explored. This study investigates windstorm prediction skill of the UK Met Office Global Seasonal Forecast System Version 5 (GloSea5) for the Northeast-Atlantic and European region. Based on an objective Lagrangian tracking of severe, damage relevant windstorms, three storm parameters are analysed: windstorm frequency and two intensity measures. Firstly, skill based on direct tracking of simulated windstorms is diagnosed. Significant positive skill for storm frequency and intensity is found over an extended area at the downstream end of the storm track, i.e., from the UK to southern Scandinavia. The skill for frequency agrees well with previous studies for older model versions, while the results of event-based intensity are novel. Receiver Operating Characteristic Curves for three smaller regions reveal significant skill for high and low storm activity seasons. Second, skill of windstorm characteristics based on their multi-linear regressions to three dominant large-scale circulation patterns [i.e., the North Atlantic Oscillation (NAO), the Scandinavian P</w:t>
      </w:r>
    </w:p>
    <w:p>
      <w:pPr/>
      <w:r>
        <w:rPr>
          <w:b/>
        </w:rPr>
        <w:t>POSSIBLE 2022:</w:t>
      </w:r>
      <w:r>
        <w:t xml:space="preserve"> On the Intersection of Explainable and Reliable AI for Physical Fatigue Prediction — https://doi.org/10.1109/access.2022.3191907</w:t>
      </w:r>
    </w:p>
    <w:p>
      <w:pPr/>
      <w:r>
        <w:rPr>
          <w:b/>
        </w:rPr>
        <w:t>Shared claim-specific concepts:</w:t>
      </w:r>
      <w:r>
        <w:t xml:space="preserve"> reliable, prediction, space; EU scope not established. This is a provisional connection, not an outcome finding.</w:t>
      </w:r>
    </w:p>
    <w:p>
      <w:pPr>
        <w:pStyle w:val="SourceNote"/>
      </w:pPr>
      <w:r>
        <w:rPr>
          <w:b/>
        </w:rPr>
        <w:t>Available abstract (not full text):</w:t>
      </w:r>
      <w:r>
        <w:t xml:space="preserve"> In the era of Industry 4.0, the use of Artificial Intelligence (AI) is widespread in occupational settings. Since dealing with human safety, explainability and trustworthiness of AI are even more important than achieving high accuracy. eXplainable AI (XAI) is investigated in this paper to detect physical fatigue during manual material handling task simulation. Besides comparing global rule-based XAI models (LLM and DT) to black-box models (NN, SVM, XGBoost) in terms of performance, we also compare global models with local ones (LIME over XGBoost). Surprisingly, global and local approaches achieve similar conclusions, in terms of feature importance. Moreover, an expansion from local rules to global rules is designed for Anchors, by posing an appropriate optimization method (Anchors coverage is enlarged from an original low value, 11%, up to 43%). As far as trustworthiness is concerned, rule sensitivity analysis drives the identification of optimized regions in the feature space, where physical fatigue is predicted with zero statistical error. The discovery of such “non-fatigue regions” helps certifying the organizational and clinical decision making.</w:t>
      </w:r>
    </w:p>
    <w:p>
      <w:pPr/>
      <w:r>
        <w:rPr>
          <w:b/>
        </w:rPr>
        <w:t>POSSIBLE 2022:</w:t>
      </w:r>
      <w:r>
        <w:t xml:space="preserve"> Data-Driven Prediction for Reliable Mission-Critical Communications — https://doi.org/10.54337/aau473636365</w:t>
      </w:r>
    </w:p>
    <w:p>
      <w:pPr/>
      <w:r>
        <w:rPr>
          <w:b/>
        </w:rPr>
        <w:t>Shared claim-specific concepts:</w:t>
      </w:r>
      <w:r>
        <w:t xml:space="preserve"> reliable, prediction, tool, power; EU scope visible. This is a provisional connection, not an outcome finding.</w:t>
      </w:r>
    </w:p>
    <w:p>
      <w:pPr>
        <w:pStyle w:val="SourceNote"/>
      </w:pPr>
      <w:r>
        <w:rPr>
          <w:b/>
        </w:rPr>
        <w:t>Available abstract (not full text):</w:t>
      </w:r>
      <w:r>
        <w:t xml:space="preserve"> 5G New Radio (NR) technology is expected to provide connectivity to a wide variety of services with different Quality of Service (QoS) requirements.For some applications, Key Performance Indicators (KPIs) such as reliability, latency, or data rate may have stringent targets, which will be challenging to meet with the existing Radio Resource Management (RRM), QoS, and mobility management procedures.These procedures are mostly reactive, i.e., a service degradation is only mitigated once it has already occurred.Having some prior knowledge of the network conditions that the User Equipment (UE) will experience can help avoid a situation that may be critical for the service.Specifically, the service could benefit from a more proactive QoS management in the so-called mission-critical communications, such as Vehicle-To-Everything (V2X) or Unmanned Aerial Vehicles (UAV) using cellular networks.The need for this approach is stated by associations and groups such as the 5G Automotive Association (5GAA) or the Aerial Connectivity Joint Activity (ACJA).Both consider a context where the network can predict changes in the QoS.A relevant parameter involved in the RRM decisions, as well as for QoS prediction, is the signal level experienced by a UE, typically expressed using the Reference Signal Received Power (RSRP).RSRP is a key metric, as it is used for several procedures such as cell select</w:t>
      </w:r>
    </w:p>
    <w:p>
      <w:pPr/>
      <w:r>
        <w:rPr>
          <w:b/>
        </w:rPr>
        <w:t>POSSIBLE 2022:</w:t>
      </w:r>
      <w:r>
        <w:t xml:space="preserve"> Omen: discovering sequential patterns with reliable prediction delays — https://doi.org/10.1007/s10115-022-01660-1</w:t>
      </w:r>
    </w:p>
    <w:p>
      <w:pPr/>
      <w:r>
        <w:rPr>
          <w:b/>
        </w:rPr>
        <w:t>Shared claim-specific concepts:</w:t>
      </w:r>
      <w:r>
        <w:t xml:space="preserve"> reliable, prediction, events; EU scope not established. This is a provisional connection, not an outcome finding.</w:t>
      </w:r>
    </w:p>
    <w:p>
      <w:pPr>
        <w:pStyle w:val="SourceNote"/>
      </w:pPr>
      <w:r>
        <w:rPr>
          <w:b/>
        </w:rPr>
        <w:t>Available abstract (not full text):</w:t>
      </w:r>
      <w:r>
        <w:t xml:space="preserve"> Abstract Suppose we are given a discrete-valued time series $$X $$ X of observed events and an equally long binary sequence $$Y $$ Y that indicates whether something of interest happened at that particular point in time. We consider the problem of mining serial episodes, sequential patterns allowing for gaps, from $$X $$ X that reliably predict those interesting events. Withreliablewe mean patterns that not only predictthatan interesting event is likely to follow, but in particular that we can also accurately tell howhow longuntil that event will happen. In other words, we are specifically interested in patterns with a highly skewed distribution of delays between pattern occurrences and predicted events. As it is unlikely that a single pattern can explain a complex real-world progress, we are after the smallest, least redundant set of such patterns that together explain the interesting events well. We formally define this problem in terms of the Minimum Description Length principle, by which we identify the best patterns as those that describe the occurrences of interesting events $$Y $$ Y most succinctly given the data over $$X $$ X . As neither discovering the optimal explanation of $$Y $$ Y given a set of patterns, nor the discovery of optimal pattern set are problems that allow for straightforward optimization, we break the problem in two and propose effective heuristics fo</w:t>
      </w:r>
    </w:p>
    <w:p>
      <w:pPr/>
      <w:r>
        <w:rPr>
          <w:b/>
        </w:rPr>
        <w:t>POSSIBLE 2021:</w:t>
      </w:r>
      <w:r>
        <w:t xml:space="preserve"> Seasonal prediction of European summer heatwaves — https://doi.org/10.1007/s00382-021-05828-3</w:t>
      </w:r>
    </w:p>
    <w:p>
      <w:pPr/>
      <w:r>
        <w:rPr>
          <w:b/>
        </w:rPr>
        <w:t>Shared claim-specific concepts:</w:t>
      </w:r>
      <w:r>
        <w:t xml:space="preserve"> prediction, tool, affecting; EU scope visible. This is a provisional connection, not an outcome finding.</w:t>
      </w:r>
    </w:p>
    <w:p>
      <w:pPr>
        <w:pStyle w:val="SourceNote"/>
      </w:pPr>
      <w:r>
        <w:rPr>
          <w:b/>
        </w:rPr>
        <w:t>Available abstract (not full text):</w:t>
      </w:r>
      <w:r>
        <w:t xml:space="preserve"> Abstract Under the influence of global warming, heatwaves are becoming a major threat in many parts of the world, affecting human health and mortality, food security, forest fires, biodiversity, energy consumption, as well as the production and transportation networks. Seasonal forecasting is a promising tool to help mitigate these impacts on society. Previous studies have highlighted some predictive capacity of seasonal forecast systems for specific strong heatwaves such as those of 2003 and 2010. To our knowledge, this study is thus the first of its kind to systematically assess the prediction skill of heatwaves over Europe in a state-of-the-art seasonal forecast system. One major prerequisite to do so is to appropriately define heatwaves. Existing heatwave indices, built to measure heatwave duration and severity, are often designed for specific impacts and thus have limited robustness for an analysis of heatwave variability. In this study, we investigate the seasonal prediction skill of European summer heatwaves in the ECMWF System 5 operational forecast system by means of several dedicated metrics, as well as its added-value compared to a simple statistical model based on the linear trend. We are able to show, for the first time, that seasonal forecasts initialized in early May can provide potentially useful information of summer heatwave propensity, which is the tendency o</w:t>
      </w:r>
    </w:p>
    <w:p>
      <w:pPr/>
      <w:r>
        <w:rPr>
          <w:b/>
        </w:rPr>
        <w:t>POSSIBLE 2021:</w:t>
      </w:r>
      <w:r>
        <w:t xml:space="preserve"> Reliable Evapotranspiration Predictions with a Probabilistic Machine Learning Framework — https://doi.org/10.3390/w13040557</w:t>
      </w:r>
    </w:p>
    <w:p>
      <w:pPr/>
      <w:r>
        <w:rPr>
          <w:b/>
        </w:rPr>
        <w:t>Shared claim-specific concepts:</w:t>
      </w:r>
      <w:r>
        <w:t xml:space="preserve"> reliable, prediction, tool, radiation; EU scope not established. This is a provisional connection, not an outcome finding.</w:t>
      </w:r>
    </w:p>
    <w:p>
      <w:pPr>
        <w:pStyle w:val="SourceNote"/>
      </w:pPr>
      <w:r>
        <w:rPr>
          <w:b/>
        </w:rPr>
        <w:t>Available abstract (not full text):</w:t>
      </w:r>
      <w:r>
        <w:t xml:space="preserve"> Evapotranspiration is often expressed in terms of reference crop evapotranspiration (ETo), actual evapotranspiration (ETa), or surface water evaporation (Esw), and their reliable predictions are critical for groundwater, irrigation, and aquatic ecosystem management in semi-arid regions. We demonstrated that a newly developed probabilistic machine learning (ML) model, using a hybridized “boosting” framework, can simultaneously predict the daily ETo, Esw, &amp; ETa from local hydroclimate data with high accuracy. The probabilistic approach exhibited great potential to overcome data uncertainties, in which 100% of the ETo, 89.9% of the Esw, and 93% of the ETa test data at three watersheds were within the models’ 95% prediction intervals. The modeling results revealed that the hybrid boosting framework can be used as a reliable computational tool to predict ETo while bypassing net solar radiation calculations, estimate Esw while overcoming uncertainties associated with pan evaporation &amp; pan coefficients, and predict ETa while offsetting high capital &amp; operational costs of EC towers. In addition, using the Shapley analysis built on a coalition game theory, we identified the order of importance and interactions between the hydroclimatic variables to enhance the models’ transparency and trustworthiness.</w:t>
      </w:r>
    </w:p>
    <w:p>
      <w:pPr>
        <w:pStyle w:val="Heading2"/>
      </w:pPr>
      <w:r>
        <w:t>654.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2024:</w:t>
      </w:r>
      <w:r>
        <w:t xml:space="preserve"> European ATM Key Performance Metrics Evolution — https://doi.org/10.35116/aa.2024.0006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aviation industry is one of the most sensitive sectors to external factors. Key performance indicators are quantifiable measures that can perfectly describe the current status of the observed object against a set of targets and objectives. This article aims to assess the evolution of key performance indicators in European but mainly Slovak air traffic management systems. The goal is to emphasize the need for the implementation of measures that can improve the effectiveness of the system. The related research was carried out by the data analysis method. The main goal of the research was to provide a comprehensive insight into the key performance evolution for the last decade and describe the actual status of air traffic management related to airspace overload.</w:t>
      </w:r>
    </w:p>
    <w:p>
      <w:pPr/>
      <w:r>
        <w:rPr>
          <w:b/>
        </w:rPr>
        <w:t>POSSIBLE 2024:</w:t>
      </w:r>
      <w:r>
        <w:t xml:space="preserve"> Digital Skills Development - A Key Objective Of The European Union Member States — https://doi.org/10.53486/cike2023.23</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The digital skills nowadays are very important and necessary in many fields of the activity. The Digital skills required in the workplace is one of the method to drive innovation and stay competitive. Developing digital skills is an objective key of the members of EU countries. The Digital Skills Indicator is a tool that monitors Member States' performance in achieving competence targets. This paper analyzes the degree of attainment of basic digital skills in the EU Member States ("low", "narrow" and "limited" digital skills level). The influence of demographic factors on the levels of digital skills is analyzed and the gap between rural and urban areas regarding the population’s digital skills is presented. The importance of digital skills is emphasized both for increasing competitiveness in the labor market and for adopting digital solutions in business.</w:t>
      </w:r>
    </w:p>
    <w:p>
      <w:pPr/>
      <w:r>
        <w:rPr>
          <w:b/>
        </w:rPr>
        <w:t>POSSIBLE 2024:</w:t>
      </w:r>
      <w:r>
        <w:t xml:space="preserve"> Objectives of the European Green Deal — https://doi.org/10.4324/9781003486732-8</w:t>
      </w:r>
    </w:p>
    <w:p>
      <w:pPr/>
      <w:r>
        <w:rPr>
          <w:b/>
        </w:rPr>
        <w:t>Shared claim-specific concepts:</w:t>
      </w:r>
      <w:r>
        <w:t xml:space="preserve"> one, key, objectives, union, transition, economy; EU scope visible. This is a provisional connection, not an outcome finding.</w:t>
      </w:r>
    </w:p>
    <w:p>
      <w:pPr>
        <w:pStyle w:val="SourceNote"/>
      </w:pPr>
      <w:r>
        <w:rPr>
          <w:b/>
        </w:rPr>
        <w:t>Available abstract (not full text):</w:t>
      </w:r>
      <w:r>
        <w:t xml:space="preserve"> The European Green Deal is a package of policy initiatives aimed at setting the European Union (EU) on a path towards a green transition, with the ultimate goal of achieving climate neutrality by 2050. The European Green Deal was adopted on December 11, 2019. It aims to make Europe the first climate-neutral continent by 2050. In addition, it provides for accelerating economic growth, improving human health and well-being, and caring for the natural environment. The Green Deal is a new all-encompassing growth strategy that aims to rebalance the EU economy and create sustainable industry and transport. The European Climate Law will aim to turn this political commitment into a legal one. The Green Deal is a step towards a more holistic and integrated approach to climate and environmental challenges. It also tries to mainstream environmental policy by combining and enhancing several existing policies, initiatives, and funding programs dedicated to tackling sustainability and climate change issues. The key elements of the European Green Deal were remodeled into a package of new strategies adopted by the European Commission.</w:t>
      </w:r>
    </w:p>
    <w:p>
      <w:pPr/>
      <w:r>
        <w:rPr>
          <w:b/>
        </w:rPr>
        <w:t>POSSIBLE 2024:</w:t>
      </w:r>
      <w:r>
        <w:t xml:space="preserve"> UKRAINE ON THE ROAD TO EUROPEAN INTEGRATION: KEY STAGES AND PROSPECTS FOR COOPERATION WITH THE EU — https://doi.org/10.36994/2786-9008-2024-5-11</w:t>
      </w:r>
    </w:p>
    <w:p>
      <w:pPr/>
      <w:r>
        <w:rPr>
          <w:b/>
        </w:rPr>
        <w:t>Shared claim-specific concepts:</w:t>
      </w:r>
      <w:r>
        <w:t xml:space="preserve"> one, key, objectives, union, economy; EU scope visible. This is a provisional connection, not an outcome finding.</w:t>
      </w:r>
    </w:p>
    <w:p>
      <w:pPr>
        <w:pStyle w:val="SourceNote"/>
      </w:pPr>
      <w:r>
        <w:rPr>
          <w:b/>
        </w:rPr>
        <w:t>Available abstract (not full text):</w:t>
      </w:r>
      <w:r>
        <w:t xml:space="preserve"> European integration is one of the key objectives of Ukraine's foreign policy, which has defined the country's development trajectory over the past decades. The integration process with the European Union opens substantial opportunities for Ukraine in the political, economic, and social spheres. Furthermore, cooperation with the EU supports the implementation of democratic reforms, improves living standards, enhances investment attractiveness, and strengthens the rule of law. At the same time, integration into the European community grants Ukraine access to significant markets and new opportunities for themodernization of its national economy.However, the path to European integration is accompanied by numerous challenges. Political instability, corruption, and external threats, particularly in the context of military aggression from the Russian Federation, are significant obstacles along this path. Additionally, Ukraine faces issues of institutional weakness, which requires deep reforms within the state governance and justice systems. Despite these difficulties, the European integration course remains a primary development vector, supported by both government and civil society. The Ukrainian public demonstrates substantial support for the European course, viewing the EU as a model of democratic development, human rights protection, and economic stability. However, there are dif</w:t>
      </w:r>
    </w:p>
    <w:p>
      <w:pPr/>
      <w:r>
        <w:rPr>
          <w:b/>
        </w:rPr>
        <w:t>POSSIBLE 2023:</w:t>
      </w:r>
      <w:r>
        <w:t xml:space="preserve"> The Compliance of Lithuanian Environmental NGO’s Objectives with European Green Deal — https://doi.org/10.5755/j01.eis.1.17.34002</w:t>
      </w:r>
    </w:p>
    <w:p>
      <w:pPr/>
      <w:r>
        <w:rPr>
          <w:b/>
        </w:rPr>
        <w:t>Shared claim-specific concepts:</w:t>
      </w:r>
      <w:r>
        <w:t xml:space="preserve"> one, key, objectives, economy; EU scope visible. This is a provisional connection, not an outcome finding.</w:t>
      </w:r>
    </w:p>
    <w:p>
      <w:pPr>
        <w:pStyle w:val="SourceNote"/>
      </w:pPr>
      <w:r>
        <w:rPr>
          <w:b/>
        </w:rPr>
        <w:t>Available abstract (not full text):</w:t>
      </w:r>
      <w:r>
        <w:t xml:space="preserve"> European Commission in 2019 has developed an ambitious strategy for sustainable economic growth - the European Green Deal. It sets out two key objectives: to make Europe the first climate-neutral continent, with zero net greenhouse gas emissions by 2050 and to decouple economic growth from resource use. While the responsible authorities will be taking the relevant decisions, citizens must also do their part by changing their habits, protecting the environment and conserving natural resources. The Green Deal implementation’s success requires the participation and commitment of the public. There are eight main Green Deal initiatives / policy areas, which need to be transferred to Lithuanian law (Increasing the EU’s climate ambition for 2030 and 2050; Building and renovating in an energy and recourse efficient way; From “Farm to Fork”: a fair, healthy and environmentally friendly food system; Accelerating the shift for sustainable and smart mobility; Supplying clean, affordable and sustainable energy; Mobilizing industry for a clean and circular economy; Preserving and restoring ecosystems and biodiversity; A zero pollution ambition for a toxic free environment). The main tasks of this article were to identify the main goals and initiatives of the European Green Deal, to perform a content analysis of Lithuanian environmental NGOs and their activity goals and present conclusions. P</w:t>
      </w:r>
    </w:p>
    <w:p>
      <w:pPr/>
      <w:r>
        <w:rPr>
          <w:b/>
        </w:rPr>
        <w:t>POSSIBLE 2023:</w:t>
      </w:r>
      <w:r>
        <w:t xml:space="preserve"> The European Union One Health 2022 Zoonoses Report — https://doi.org/10.2903/j.efsa.2023.8442</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This report by the European Food Safety Authority and the European Centre for Disease Prevention and Control presents the results of the zoonoses monitoring and surveillance activities carried out in 2022 in 27 Member States (MSs), the United Kingdom (Northern Ireland) and 11 non-MSs. Key statistics on zoonoses and zoonotic agents in humans, food, animals and feed are provided and interpreted historically. In 2022, the first and second most reported zoonoses in humans were campylobacteriosis and salmonellosis, respectively. The number of cases of campylobacteriosis and salmonellosis remained stable in comparison with 2021. Nineteen MSs and the United Kingdom (Northern Ireland) achieved all the established targets in poultry populations for the reduction of Salmonella prevalence for the relevant serovars. Salmonella samples from carcases of various animal species, and samples for Campylobacter quantification from broiler carcases, were more frequently positive when performed by the competent authorities than when own checks were conducted. Yersiniosis was the third most reported zoonosis in humans, followed by Shiga toxin-producing Escherichia coli (STEC) and Listeria monocytogenes infections. L. monocytogenes and West Nile virus infections were the most severe zoonotic diseases, with the most hospitalisations and highest case fatality rates. In 2022, reporting showed an increas</w:t>
      </w:r>
    </w:p>
    <w:p>
      <w:pPr/>
      <w:r>
        <w:rPr>
          <w:b/>
        </w:rPr>
        <w:t>POSSIBLE 2023:</w:t>
      </w:r>
      <w:r>
        <w:t xml:space="preserve"> Multi-objective optimization of an energy community: an integrated and dynamic approach for full decarbonisation in the European Alps — https://doi.org/10.54337/ijsepm.7607</w:t>
      </w:r>
    </w:p>
    <w:p>
      <w:pPr/>
      <w:r>
        <w:rPr>
          <w:b/>
        </w:rPr>
        <w:t>Shared claim-specific concepts:</w:t>
      </w:r>
      <w:r>
        <w:t xml:space="preserve"> one, key, total; EU scope visible. This is a provisional connection, not an outcome finding.</w:t>
      </w:r>
    </w:p>
    <w:p>
      <w:pPr>
        <w:pStyle w:val="SourceNote"/>
      </w:pPr>
      <w:r>
        <w:rPr>
          <w:b/>
        </w:rPr>
        <w:t>Available abstract (not full text):</w:t>
      </w:r>
      <w:r>
        <w:t xml:space="preserve"> At the local level, energy communities are at the forefront of the European Green Deal strategy offering new opportunities for citizens to get actively involved in energy markets. The scope of this study is to propose a multi-objective optimization framework to minimize both carbon dioxide emissions and total annual costs in an energy community, considering, within different constraints, a wide availability of decision variables including local renewable energy sources, sector coupling, storage and hydrogen. The methodology involves the coupling of the software EnergyPLAN with a multi-objective evolutionary algorithm, considering 2030 and 2050 as target years and modelling a set of eight types of scenarios, each consisting of 100 optimal systems out of 10,000. The case study is an energy community in the European Alps. The results show, on the one hand, the key role of sector coupling technologies such as cogeneration, heat pumps and electric vehicles in exploiting local renewable energy sources and, on the other hand, the higher costs in introducing both electricity storage to achieve a complete decarbonisation and hydrogen as an alternative strategy in the electricity, thermal and transport sectors.</w:t>
      </w:r>
    </w:p>
    <w:p>
      <w:pPr/>
      <w:r>
        <w:rPr>
          <w:b/>
        </w:rPr>
        <w:t>POSSIBLE 2022:</w:t>
      </w:r>
      <w:r>
        <w:t xml:space="preserve"> Supporting access to key pan-European research infrastructures and international cooperation — https://doi.org/10.1051/epjn/2022032</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Large research infrastructures, especially nuclear ones, are extremely expensive to build and operate. Therefore, to develop expertise and competences in nuclear research is more efficient to have a limited number of complementary specialized large nuclear research infrastructures, shared by European researchers from different countries. This paper describes three different actions to improve the European collaboration in the experimental nuclear research, namely open access to the nuclear research infrastructure of the JRC, the optimization of the use of research reactors in Europe and operation planning of the Jules Horowitz reactor currently under construction. Supporting access to key pan-European research infrastructures strengthens research and innovation, avoiding duplication and optimising resources. It contributes to the European Research Area (ERA) and the European Strategy Forum on Research Infrastructures (ESFRI), as well as to maintaining competence in the EU, which is one of the objectives of the Euratom research and training programme.</w:t>
      </w:r>
    </w:p>
    <w:p>
      <w:pPr/>
      <w:r>
        <w:rPr>
          <w:b/>
        </w:rPr>
        <w:t>POSSIBLE 2022:</w:t>
      </w:r>
      <w:r>
        <w:t xml:space="preserve"> The novelties of the regulation on health technology assessment, a key achievement for the European union health policies — https://doi.org/10.1515/cclm-2022-0228</w:t>
      </w:r>
    </w:p>
    <w:p>
      <w:pPr/>
      <w:r>
        <w:rPr>
          <w:b/>
        </w:rPr>
        <w:t>Shared claim-specific concepts:</w:t>
      </w:r>
      <w:r>
        <w:t xml:space="preserve"> one, key, objectives, union; EU scope visible. This is a provisional connection, not an outcome finding.</w:t>
      </w:r>
    </w:p>
    <w:p>
      <w:pPr>
        <w:pStyle w:val="SourceNote"/>
      </w:pPr>
      <w:r>
        <w:rPr>
          <w:b/>
        </w:rPr>
        <w:t>Available abstract (not full text):</w:t>
      </w:r>
      <w:r>
        <w:t xml:space="preserve"> Abstract Health technology assessment is a key tool for ensuring healthcare quality, accessibility, and sustainability. The novel European Union (EU) Health Technology Assessment (HTA) regulation of 15 December 2021, in harmonizing the laws of the Member States about the procedures and criteria for the evaluation of health technologies (i.e., medical devices and in vitro diagnostic tools), constitutes a significant achievement in the definition of EU health policies. On the one hand, for the European Union, it constitutes an essential driving force for the development of a competitive market for health technologies and, on the other, for European citizens, it guarantees the application of superordinate safety and quality standards with an impact positive on access to health technologies, including expressly also in vitro diagnostic medical devices classified in class D by art. 47 of Reg. (EU) 2017/746. As pointed out by the European Commissioner for Healthcare, the regulation identifies a new way for the Member States to cooperate on healthcare matters in the Union. The clinical efficacy and safety of drugs and devices are legal assets that today find their protection in a binding and directly applicable regulatory instrument, superordinate in the hierarchy of sources. Implementing the regulation will also be essential to achieve the objectives of the Union’s pharmaceutical str</w:t>
      </w:r>
    </w:p>
    <w:p>
      <w:pPr/>
      <w:r>
        <w:rPr>
          <w:b/>
        </w:rPr>
        <w:t>POSSIBLE 2022:</w:t>
      </w:r>
      <w:r>
        <w:t xml:space="preserve"> The Development of Renewable Energy Sources in the European Union in the Light of the European Green Deal — https://doi.org/10.3390/en15155576</w:t>
      </w:r>
    </w:p>
    <w:p>
      <w:pPr/>
      <w:r>
        <w:rPr>
          <w:b/>
        </w:rPr>
        <w:t>Shared claim-specific concepts:</w:t>
      </w:r>
      <w:r>
        <w:t xml:space="preserve"> one, key, union, transition; EU scope visible. This is a provisional connection, not an outcome finding.</w:t>
      </w:r>
    </w:p>
    <w:p>
      <w:pPr>
        <w:pStyle w:val="SourceNote"/>
      </w:pPr>
      <w:r>
        <w:rPr>
          <w:b/>
        </w:rPr>
        <w:t>Available abstract (not full text):</w:t>
      </w:r>
      <w:r>
        <w:t xml:space="preserve"> Climate and energy policies are the key areas of the European Union’s development aspirations in the international arena. The European Green Deal sets ambitious new goals in this respect, emphasizing clean energy. The development of the energy sector, relying chiefly on renewable sources, is one of the conditions for the EU to transition to energies that do not produce waste that pollutes or is otherwise harmful to the Earth and human health. This paper assesses the development of renewable sources of energy in the EU and identifies challenges to the realization of the EU’s energy priorities. An analysis of renewable sources of energy in the EU in 2012 and 2020 is the prime method. The generation of primary energy from renewable sources, the share of energy from renewable sources in the final energy consumption, the structure of energy generation from renewable sources, and the share of energy from renewable sources in the energy used by the transport sector are discussed. Secondary data are employed, made available by Eurostat and Statistics Poland. To reach the objective of the study, Z. Hellwig’s taxonomic method is applied to assess the development of renewable energy sources (RES). Cluster analysis (Ward’s agglomerative clustering method) is additionally used for separation of objects and member states that are similar with regard to the phenomenon reviewed. Particular att</w:t>
      </w:r>
    </w:p>
    <w:p>
      <w:pPr/>
      <w:r>
        <w:rPr>
          <w:b/>
        </w:rPr>
        <w:t>POSSIBLE 2021:</w:t>
      </w:r>
      <w:r>
        <w:t xml:space="preserve"> FERTILIZER MANAGEMENT IN POLAND IN LIGHT OF EUROPEAN GREEN DEAL OBJECTIVES — https://doi.org/10.5604/01.3001.0015.2696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aim of the paper is to outline the problem areas of fertilizer management in Poland, taking the need to achieve European Green Deal (EGD) objectives into account. Fertilizer management is one of the key elements of future agricultural policy, to which the European Green Deal refers, and is closer to the Farm to Fork strategy. The emphasis on the need to promote rational fertilizer management in European documents stemmed from the pressures of this economic activity on the natural environment. The paper focuses on the main determinants of fertilizer management, including the costs and quantities of mineral fertilizers used and the results of the NPK fertilizer balance, using the gross balance and indicator method. The study used Statistics Poland data 2007 and 2016 from the Farm Structure Survey and agricultural accountancy FADN 2014-2019. It was found that, at the level of the agricultural sector, the results of fertilizer balances do not create surpluses and problematic issues concern a significant share of farms with an understated balance of main NPK macroelements. The expected reduction in the level of fertilization under the EGD may result in a reduction in production and economic performance from a farm and negatively affect the state of the natural environment. The fertilizer balance and nutrient efficiency level should be used as measurable indicators for setting re</w:t>
      </w:r>
    </w:p>
    <w:p>
      <w:pPr>
        <w:pStyle w:val="Heading2"/>
      </w:pPr>
      <w:r>
        <w:t>655.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2025:</w:t>
      </w:r>
      <w:r>
        <w:t xml:space="preserve"> The ‘Date’ on Two Dated Palmyran Funerary Reliefs — https://doi.org/10.34780/3j1vr152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Palmyran funerary reliefs – the bust of Ḥalīfat in the Freer Gallery of Art in Washington, D.C., and a now rejoined doublebust combining halves in the Ny Carlsberg Glyptotek, Copenhagen and at Stanford University – focusing on the discrepancy between the date of the deceased’s death, as provided by the accompanying inscription, and the actual date of carving.</w:t>
      </w:r>
    </w:p>
    <w:p>
      <w:pPr/>
      <w:r>
        <w:rPr>
          <w:b/>
        </w:rPr>
        <w:t>POSSIBLE 2025:</w:t>
      </w:r>
      <w:r>
        <w:t xml:space="preserve"> The Use of Articles in Toponymic Phrases in English and Albanian — https://doi.org/10.51558/2490-3647.2025.10.1.213</w:t>
      </w:r>
    </w:p>
    <w:p>
      <w:pPr/>
      <w:r>
        <w:rPr>
          <w:b/>
        </w:rPr>
        <w:t>Shared claim-specific concepts:</w:t>
      </w:r>
      <w:r>
        <w:t xml:space="preserve"> article, examines, two, also; EU scope not established. This is a provisional connection, not an outcome finding.</w:t>
      </w:r>
    </w:p>
    <w:p>
      <w:pPr>
        <w:pStyle w:val="SourceNote"/>
      </w:pPr>
      <w:r>
        <w:rPr>
          <w:b/>
        </w:rPr>
        <w:t>Available abstract (not full text):</w:t>
      </w:r>
      <w:r>
        <w:t xml:space="preserve"> This paper examines noun phrases functioning as toponyms in English and Albanian, with a particular focus on their degree of definiteness. By exploring the role of articles in achieving definiteness, the study conducts a contrastive analysis of article usage in these two languages. Given that the article is a complex grammatical category, acquired progressively across different linguistic levels, the paper aims to analyze and compare its role, grammatical function, and form, as well as the rules governing its use in toponymic phrases. Starting from the premise that English and Albanian belong to distinct language families, the study utilizes a corpus of sentence sets to investigate which linguistic factors influence the use of articles with geographical names. The findings reveal that, in Albanian, syntactic norms ‒ the function of toponymic phrases within sentences ‒ and pragmatic considerations play a significant role in determining article usage. In contrast, article application in English is shaped by the interplay of multiple linguistic disciplines, with semantics exerting the greatest influence. However, syntax also can play a role in dictating usage rules, while pragmatics and historical linguistics provide insights into exceptions and irregularities. This comparative study highlights the differing linguistic mechanisms that govern definiteness in English and Albanian to</w:t>
      </w:r>
    </w:p>
    <w:p>
      <w:pPr/>
      <w:r>
        <w:rPr>
          <w:b/>
        </w:rPr>
        <w:t>POSSIBLE 2024:</w:t>
      </w:r>
      <w:r>
        <w:t xml:space="preserve"> Use of AI Language Engine ChatGPT 4.0 to Write a Scientific Review Article Examining the Intersection of Alzheimer’s Disease and Bone — https://doi.org/10.1007/s11914-023-00853-z</w:t>
      </w:r>
    </w:p>
    <w:p>
      <w:pPr/>
      <w:r>
        <w:rPr>
          <w:b/>
        </w:rPr>
        <w:t>Shared claim-specific concepts:</w:t>
      </w:r>
      <w:r>
        <w:t xml:space="preserve"> article, two, but; EU scope not established. This is a provisional connection, not an outcome finding.</w:t>
      </w:r>
    </w:p>
    <w:p>
      <w:pPr>
        <w:pStyle w:val="SourceNote"/>
      </w:pPr>
      <w:r>
        <w:rPr>
          <w:b/>
        </w:rPr>
        <w:t>Available abstract (not full text):</w:t>
      </w:r>
      <w:r>
        <w:t xml:space="preserve"> PURPOSE OF REVIEW: This Comment represents three review articles on the relationship between Alzheimer's disease, osteoporosis, and fracture in an exploration of the benefits that AI can provide in scientific writing. The first drafts of the articles were written (1) entirely by humans; (2) entirely by ChatGPT 4.0 (AI-only or AIO); and (3) by humans and ChatGPT 4.0 whereby humans selected literature references, but ChatGPT 4.0 completed the writing (AI-assisted or AIA). Importantly, each review article was edited and carefully checked for accuracy by all co-authors resulting in a final manuscript which was significantly different from the original draft. RECENT FINDINGS: The human-written article took the most time from start to finish, the AI-only article took the least time, and the AI-assisted article fell between the two. When comparing first drafts to final drafts, the AI-only and AI-assisted articles had higher percentages of different text than the human article. The AI-only paper had a higher percentage of incorrect references in the first draft than the AI-assisted paper. The first draft of the AI-assisted article had a higher similarity score than the other two articles when examined by plagiarism identification software. This writing experiment used time tracking, human editing, and comparison software to examine the benefits and risks of using AI to assist in scient</w:t>
      </w:r>
    </w:p>
    <w:p>
      <w:pPr/>
      <w:r>
        <w:rPr>
          <w:b/>
        </w:rPr>
        <w:t>POSSIBLE 2024:</w:t>
      </w:r>
      <w:r>
        <w:t xml:space="preserve"> Determinante e doppio determinante nel code-switching arabo-italiano — https://doi.org/10.36253/qulso-2421-7220-16575</w:t>
      </w:r>
    </w:p>
    <w:p>
      <w:pPr/>
      <w:r>
        <w:rPr>
          <w:b/>
        </w:rPr>
        <w:t>Shared claim-specific concepts:</w:t>
      </w:r>
      <w:r>
        <w:t xml:space="preserve"> article, two, also; EU scope not established. This is a provisional connection, not an outcome finding.</w:t>
      </w:r>
    </w:p>
    <w:p>
      <w:pPr>
        <w:pStyle w:val="SourceNote"/>
      </w:pPr>
      <w:r>
        <w:rPr>
          <w:b/>
        </w:rPr>
        <w:t>Available abstract (not full text):</w:t>
      </w:r>
      <w:r>
        <w:t xml:space="preserve"> This article explores the phenomenon of code-switching, specifically focusing on bilingual Arabic-Italian determiner phrases which consist of a determiner, such as an article or a demonstrative, followed by a noun phrase as a complement. The data examined were selected from a corpus of Arabic-Italian spontaneous speech with the aim of (1) comparing and describing the characteristics and differences of the determiner systems of the two languages; (2) illustrating the features of code-switching in determiner phrases and the various types found in the collected data; and (3) studying the mutual influence of the two languages in contact contexts. The data analysis revealed two types of code-switching: switching at the beginning of a determiner phrase, where both the determiner and its complement are in the same language, and switching within a determiner phrase, where the determiner and the head noun are from different languages. This latter category also includes determiner phrases with double determiners, which will be analyzed in detail in this article to discuss the features of this linguistic structure in Arabic-Italian bilingual phrases.</w:t>
      </w:r>
    </w:p>
    <w:p>
      <w:pPr/>
      <w:r>
        <w:rPr>
          <w:b/>
        </w:rPr>
        <w:t>POSSIBLE 2023:</w:t>
      </w:r>
      <w:r>
        <w:t xml:space="preserve"> Two Approaches to Aesthetic Experience — https://doi.org/10.5406/15437809.57.4.01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Abstract This article examines two approaches to aesthetic experience, especially with respect to the practice of art criticism. The two approaches are (1) aesthetic experience construed as experience necessarily valued for its own sake and (2) aesthetic experience characterized in terms of its content. In this article, the content approach is defended as the one most suitable to the practice of art criticism.</w:t>
      </w:r>
    </w:p>
    <w:p>
      <w:pPr/>
      <w:r>
        <w:rPr>
          <w:b/>
        </w:rPr>
        <w:t>POSSIBLE 2023:</w:t>
      </w:r>
      <w:r>
        <w:t xml:space="preserve"> A Tale of Two Spice Towers — https://doi.org/10.3828/arsjudaica.2023.19.4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two spice towers in the collection of London’s Victoria and Albert Museum. The first of these (Inv. number 2090-1855) has been published as the earliest surviving example and the only one extant from Sepharad – an attribution that will be questioned. The second (Inv. number M.40&amp;:1-1951) is now exhibited as an Italian fifteenth-century spice tower which was later converted into a reliquary. This study will present the pair’s shifting identities as a cautionary tale for those seeking an accurate picture of Jewish material culture, in particular the Sephardi legacy.</w:t>
      </w:r>
    </w:p>
    <w:p>
      <w:pPr/>
      <w:r>
        <w:rPr>
          <w:b/>
        </w:rPr>
        <w:t>POSSIBLE 2021:</w:t>
      </w:r>
      <w:r>
        <w:t xml:space="preserve"> Comparing Learners’ Interactions in Conventional and Virtual Classes of Distance Education University: Examining Two Approaches of Teaching Grammar (Research Article) — https://doi.org/10.22034/elt.2021.44749.2352</w:t>
      </w:r>
    </w:p>
    <w:p>
      <w:pPr/>
      <w:r>
        <w:rPr>
          <w:b/>
        </w:rPr>
        <w:t>Shared claim-specific concepts:</w:t>
      </w:r>
      <w:r>
        <w:t xml:space="preserve"> article, two, education, also; EU scope not established. This is a provisional connection, not an outcome finding.</w:t>
      </w:r>
    </w:p>
    <w:p>
      <w:pPr>
        <w:pStyle w:val="SourceNote"/>
      </w:pPr>
      <w:r>
        <w:rPr>
          <w:b/>
        </w:rPr>
        <w:t>Available abstract (not full text):</w:t>
      </w:r>
      <w:r>
        <w:t xml:space="preserve"> Collaborative technologies provide opportunities for English foreign language learners (EFL) to have interactive learning and access to online interactive environments. Interactions that take place between teachers and their students in a classroom context affect learners’ language learning. As such, this research compared interactions between the instructor and her students and between students themselves that took place in conventional and Learning Management Systems (LMS) classes. Second, two different approaches of teaching grammar (implicit and explicit) in conventional and LMS classes were examined. The participants of this study were selected from 94 students of EFL freshmen at two groups of different teaching classes namely, virtual and conventional classes. Having administered a test of homogeneity, the researcher selected 60 learners. They were assigned into four groups, two experimental and two comparative groups. After the treatment, the results of the pre-and post-tests confirmed the positive effect of teaching grammar both explicitly and implicitly in LMS classes. In addition, examination of interaction patterns revealed that teaching through LMS was student-centered and dynamic in contradiction with the comparative groups. The study can help instructors understand the prospective benefits of teaching on LMS and also improve social interactions among uncommunicati</w:t>
      </w:r>
    </w:p>
    <w:p>
      <w:pPr>
        <w:pStyle w:val="Heading2"/>
      </w:pPr>
      <w:r>
        <w:t>656.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2025:</w:t>
      </w:r>
      <w:r>
        <w:t xml:space="preserve"> Application of the Analytical Hierarchy Process in the management of private ambulance care systems in three selected European countries: a strategic decision-making framework — https://doi.org/10.3389/fpubh.2025.1526586</w:t>
      </w:r>
    </w:p>
    <w:p>
      <w:pPr/>
      <w:r>
        <w:rPr>
          <w:b/>
        </w:rPr>
        <w:t>Shared claim-specific concepts:</w:t>
      </w:r>
      <w:r>
        <w:t xml:space="preserve"> three, strategic, integration, practices; EU scope visible. This is a provisional connection, not an outcome finding.</w:t>
      </w:r>
    </w:p>
    <w:p>
      <w:pPr>
        <w:pStyle w:val="SourceNote"/>
      </w:pPr>
      <w:r>
        <w:rPr>
          <w:b/>
        </w:rPr>
        <w:t>Available abstract (not full text):</w:t>
      </w:r>
      <w:r>
        <w:t xml:space="preserve"> Private ambulance services play a vital role in healthcare systems across Europe, supplementing public emergency services and providing essential medical transportation. However, managing these services presents significant challenges, including resource allocation, regulatory compliance, service quality, technological integration, workforce management, and financial sustainability. This study employs the Analytical Hierarchy Process (AHP) as a strategic decision-making tool to optimize the management of private ambulance services in Germany, Spain, and the United Kingdom. To achieve this, data were collected from 20 participants across the three countries (Germany: 7, Spain: 6, United Kingdom: 7), comprising ambulance service administrators, emergency medical personnel, and regulatory experts. A purposive sampling method was used to ensure the inclusion of key stakeholders with direct experience in the sector. Participants completed structured questionnaires involving pairwise comparisons of key decision criteria. Results reveal that Regulatory Compliance is the highest priority across all countries (Germany: 0.25, Spain: 0.22, UK: 0.20), followed by Service Quality, which is particularly emphasized in the UK (0.22) and Germany (0.20). Technological Integration is important in Spain (0.20), reflecting the need for advancements in underserved areas. While Workforce Management a</w:t>
      </w:r>
    </w:p>
    <w:p>
      <w:pPr/>
      <w:r>
        <w:rPr>
          <w:b/>
        </w:rPr>
        <w:t>POSSIBLE 2025:</w:t>
      </w:r>
      <w:r>
        <w:t xml:space="preserve"> Steering the Green Transition in the European Union? Analysis of the European Commission's Strategic Communication — https://doi.org/10.1111/rego.70107</w:t>
      </w:r>
    </w:p>
    <w:p>
      <w:pPr/>
      <w:r>
        <w:rPr>
          <w:b/>
        </w:rPr>
        <w:t>Shared claim-specific concepts:</w:t>
      </w:r>
      <w:r>
        <w:t xml:space="preserve"> three, strategic, developing; EU scope visible. This is a provisional connection, not an outcome finding.</w:t>
      </w:r>
    </w:p>
    <w:p>
      <w:pPr>
        <w:pStyle w:val="SourceNote"/>
      </w:pPr>
      <w:r>
        <w:rPr>
          <w:b/>
        </w:rPr>
        <w:t>Available abstract (not full text):</w:t>
      </w:r>
      <w:r>
        <w:t xml:space="preserve"> ABSTRACT This paper examines the strategic communication of the European Commission about developing a regulatory approach and financial instruments to foster the greening of the European economy over a period of 14 years (2009–2023). We investigate in‐depth the strategic communication of three European Commission Colleges led by Barroso, Juncker, and von der Leyen, respectively. We analyze an original dataset of 57 Commission Communications using qualitative content analysis. The paper demonstrates that, over the past 14 years, the EU's strategic agenda‐setting has moved away from a predominantly neoliberal approach of limited state involvement in the economy to one foreseeing more active state intervention, especially in the provision of financial resources and the design of integrated policies to guide the green transition. The findings highlight the crucial role of the Commission in steering the EU's climate action policies, as shown by the adoption of the European Green Deal in 2019.</w:t>
      </w:r>
    </w:p>
    <w:p>
      <w:pPr/>
      <w:r>
        <w:rPr>
          <w:b/>
        </w:rPr>
        <w:t>POSSIBLE 2023:</w:t>
      </w:r>
      <w:r>
        <w:t xml:space="preserve"> In Search of Digital Sovereignty and Strategic Autonomy: Normative Power Europe to the Test of Its Geopolitical Ambitions — https://doi.org/10.1111/jcms.13462</w:t>
      </w:r>
    </w:p>
    <w:p>
      <w:pPr/>
      <w:r>
        <w:rPr>
          <w:b/>
        </w:rPr>
        <w:t>Shared claim-specific concepts:</w:t>
      </w:r>
      <w:r>
        <w:t xml:space="preserve"> three, strategic, article; EU scope visible. This is a provisional connection, not an outcome finding.</w:t>
      </w:r>
    </w:p>
    <w:p>
      <w:pPr>
        <w:pStyle w:val="SourceNote"/>
      </w:pPr>
      <w:r>
        <w:rPr>
          <w:b/>
        </w:rPr>
        <w:t>Available abstract (not full text):</w:t>
      </w:r>
      <w:r>
        <w:t xml:space="preserve"> This article analyses the recent use of European Union (EU) terminology of digital sovereignty and strategic autonomy, aiming to identify tensions between policy considerations of fundamental rights, free market principles and geopolitical concerns. These tensions are rooted in the disparity between the EU's considerable economic and regulatory power in digital matters and its limited mandate and capabilities in foreign policy. The article also explores the translation of the notions of digital sovereignty and strategic autonomy into EU policy. It identifies three important trends in the geopoliticisation of the EU agenda on digital technologies: (1) the instrumental use of ‘classic’ internal market policies to exert geopolitical influence; (2) the imposition of foreign policy imperatives on national markets; and (3) new ‘hybrid’ digital policies that combine internal market concerns, fundamental rights and geopolitical concerns. Ultimately, digital sovereignty has inherent tensions with the EU's normative power in digital issues and may also result in a strategic cacophony.</w:t>
      </w:r>
    </w:p>
    <w:p>
      <w:pPr/>
      <w:r>
        <w:rPr>
          <w:b/>
        </w:rPr>
        <w:t>POSSIBLE 2022:</w:t>
      </w:r>
      <w:r>
        <w:t xml:space="preserve"> Cyber conflict short of war: a European strategic vacuum — https://doi.org/10.1080/09662839.2022.2031991</w:t>
      </w:r>
    </w:p>
    <w:p>
      <w:pPr/>
      <w:r>
        <w:rPr>
          <w:b/>
        </w:rPr>
        <w:t>Shared claim-specific concepts:</w:t>
      </w:r>
      <w:r>
        <w:t xml:space="preserve"> three, strategic, article, concludes; EU scope visible. This is a provisional connection, not an outcome finding.</w:t>
      </w:r>
    </w:p>
    <w:p>
      <w:pPr>
        <w:pStyle w:val="SourceNote"/>
      </w:pPr>
      <w:r>
        <w:rPr>
          <w:b/>
        </w:rPr>
        <w:t>Available abstract (not full text):</w:t>
      </w:r>
      <w:r>
        <w:t xml:space="preserve"> Cyber conflict short of war plays an increasingly important role in contemporary security politics. Dedicated to a study of three European NATO members – the Netherlands, France and Norway, this article expands the existing focus of the study of cyber conflict short of war beyond its dominating US context. It compares and assesses how the countries perceive and respond to a changing strategic environment characterised by increasing cyber conflict short of war. The analysis demonstrates that all three countries acknowledge that cyber operations short of war alter the strategic environment and challenge the idea of deploying offensive cyber capabilities as purely a warfare matter. However, it also identifies a strategic vacuum, as none of them have formulated strategies that describe in detail how military and intelligence entities are supposed to approach and manage the new strategic environment. The article asserts that the current lack of strategic guidance is a fundamental challenge that puts European societies at risk and undermines democratic governance as navigating the new space of strategic cyber competition is a significant challenge to contemporary European statecraft. It concludes by noting three avenues for how to ameliorate this situation and fill the vacuum.</w:t>
      </w:r>
    </w:p>
    <w:p>
      <w:pPr/>
      <w:r>
        <w:rPr>
          <w:b/>
        </w:rPr>
        <w:t>POSSIBLE 2022:</w:t>
      </w:r>
      <w:r>
        <w:t xml:space="preserve"> Strategic European counterterrorism? An empirical analysis — https://doi.org/10.1080/09662839.2022.2029847</w:t>
      </w:r>
    </w:p>
    <w:p>
      <w:pPr/>
      <w:r>
        <w:rPr>
          <w:b/>
        </w:rPr>
        <w:t>Shared claim-specific concepts:</w:t>
      </w:r>
      <w:r>
        <w:t xml:space="preserve"> three, strategic, strategy, article; EU scope visible. This is a provisional connection, not an outcome finding.</w:t>
      </w:r>
    </w:p>
    <w:p>
      <w:pPr>
        <w:pStyle w:val="SourceNote"/>
      </w:pPr>
      <w:r>
        <w:rPr>
          <w:b/>
        </w:rPr>
        <w:t>Available abstract (not full text):</w:t>
      </w:r>
      <w:r>
        <w:t xml:space="preserve">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pPr/>
      <w:r>
        <w:rPr>
          <w:b/>
        </w:rPr>
        <w:t>POSSIBLE 2022:</w:t>
      </w:r>
      <w:r>
        <w:t xml:space="preserve"> Between Europe and Asia: Narrow Spaces for Strategic Hedging in New Europe — https://doi.org/10.1080/19448953.2022.2129324</w:t>
      </w:r>
    </w:p>
    <w:p>
      <w:pPr/>
      <w:r>
        <w:rPr>
          <w:b/>
        </w:rPr>
        <w:t>Shared claim-specific concepts:</w:t>
      </w:r>
      <w:r>
        <w:t xml:space="preserve"> three, strategic, strategy, developing; EU scope visible. This is a provisional connection, not an outcome finding.</w:t>
      </w:r>
    </w:p>
    <w:p>
      <w:pPr>
        <w:pStyle w:val="SourceNote"/>
      </w:pPr>
      <w:r>
        <w:rPr>
          <w:b/>
        </w:rPr>
        <w:t>Available abstract (not full text):</w:t>
      </w:r>
      <w:r>
        <w:t xml:space="preserve"> Since the end of the Cold War, the former Soviet states of Europe, located at the crossroads of Europe and Asia, have been the site of a political game between the great powers, gradually developing a left-right strategy. This paper constructs the explanatory theory of hedging strategy and argues that post-socialist European countries, collectively referred to as ‘New Europe’, have navigated a middle way between balance and followup strategies called compound hedging. Starting at the regional scale, this paper discusses three issues, i.e., whether the new Europe has adopted a hedging strategy, why they adopt a hedging strategy, and the policy performance and effectiveness of hedging in the security and economic fields. Specifically, New Europe has implemented diversified fuzzy strategies amidst the transatlantic alliances and Eurasian powers, avoided security risks from Russia through cooperation with NATO, and balanced interest risks caused by European Union pressure through contacts with the United States, Russia, China and other countries. Although New Europe has realized certain practical strategic effects, it still faces difficulties (e.g., structural pressure changes, divergences between old and New Europe, and a lack of hedging capacities and motivations), and its policy space remains narrow and uncertain.</w:t>
      </w:r>
    </w:p>
    <w:p>
      <w:pPr/>
      <w:r>
        <w:rPr>
          <w:b/>
        </w:rPr>
        <w:t>POSSIBLE 2021:</w:t>
      </w:r>
      <w:r>
        <w:t xml:space="preserve"> 9 Developing Strategic Autonomy for European Sovereignty — https://doi.org/10.5771/9781538161777-173</w:t>
      </w:r>
    </w:p>
    <w:p>
      <w:pPr/>
      <w:r>
        <w:rPr>
          <w:b/>
        </w:rPr>
        <w:t>Shared claim-specific concepts:</w:t>
      </w:r>
      <w:r>
        <w:t xml:space="preserve"> three, strategic, developing; EU scope visible. This is a provisional connection, not an outcome finding.</w:t>
      </w:r>
    </w:p>
    <w:p>
      <w:pPr>
        <w:pStyle w:val="SourceNote"/>
      </w:pPr>
      <w:r>
        <w:rPr>
          <w:b/>
        </w:rPr>
        <w:t>Available abstract (not full text):</w:t>
      </w:r>
      <w:r>
        <w:t xml:space="preserve"> Will the increased economic connectivity across the Eurasian supercontinent transform Europe into the western peninsula of Greater Eurasia? The unipolar era entailed the US organising the two other major economic regions of the world, Europe and Asia, under US leadership. The rise of “the rest”, primarily Asia with China at the centre, has ended the unipolar era and even 500-years of Western dominance. China and Russia are leading efforts to integrate Europe and Asia into one large region. The Greater Eurasian region is constructed with three categories of economic connectivity – strategic industries built on new and disruptive technologies; physical connectivity with bimodal transportation corridors; and financial connectivity with new development banks, trading currencies and payments systems. China strives for geoeconomic leadership by replacing the US leadership position, while Russia endeavours to reposition itself from the dual periphery of Europe and Asia to the centre of a grand Eurasian geoeconomic constellation. Europe, positioned between the trans-Atlantic region and Greater Eurasia, has to adapt to the new international distribution of power to preserve its strategic autonomy.</w:t>
      </w:r>
    </w:p>
    <w:p>
      <w:pPr>
        <w:pStyle w:val="Heading2"/>
      </w:pPr>
      <w:r>
        <w:t>657.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2024:</w:t>
      </w:r>
      <w:r>
        <w:t xml:space="preserve"> Exploring the Nexus between Greenhouse Emissions, Environmental Degradation and Green Energy in Europe: A Critique of the Environmental Kuznets Curve — https://doi.org/10.3390/en17205109</w:t>
      </w:r>
    </w:p>
    <w:p>
      <w:pPr/>
      <w:r>
        <w:rPr>
          <w:b/>
        </w:rPr>
        <w:t>Shared claim-specific concepts:</w:t>
      </w:r>
      <w:r>
        <w:t xml:space="preserve"> degradation, energy, not; EU scope visible. This is a provisional connection, not an outcome finding.</w:t>
      </w:r>
    </w:p>
    <w:p>
      <w:pPr>
        <w:pStyle w:val="SourceNote"/>
      </w:pPr>
      <w:r>
        <w:rPr>
          <w:b/>
        </w:rPr>
        <w:t>Available abstract (not full text):</w:t>
      </w:r>
      <w:r>
        <w:t xml:space="preserve"> This study examines the intricate relationship between economic growth and European environmental degradation via the Environmental Kuznets Curve (EKC). Our results contest the traditional inverted U-shape model of the Environmental Kuznets Curve, indicating that the theory may not be consistently applicable across European countries. Utilizing CS-ARDL and MMQR modelling, we reveal substantial regional disparities. Western European nations demonstrate a typical Environmental Kuznets Curve (EKC) pattern in the short term, characterized by an initial increase in emissions alongside GDP development, followed by a subsequent fall. Conversely, Eastern and Balkan nations exhibit a U-shaped connection, described by an early decline in emissions followed by a subsequent increase as their development levels increase. The influence of renewable energy differs, as it decreases emissions in the short term in Western Europe. However, its long-term impacts are variable, especially when contrasted with its more pronounced effect on emissions in Eastern and Balkan countries. Furthermore, trade openness intensifies environmental degradation in the short-term across all regions, although its long-term impact diminishes, particularly concerning greenhouse gases (GHG). The relationship between renewable energy and trade openness is substantial for the short-term reduction of carbon dioxide emissio</w:t>
      </w:r>
    </w:p>
    <w:p>
      <w:pPr/>
      <w:r>
        <w:rPr>
          <w:b/>
        </w:rPr>
        <w:t>POSSIBLE 2024:</w:t>
      </w:r>
      <w:r>
        <w:t xml:space="preserve"> A screening method for plastic-degrading fungi — https://doi.org/10.1016/j.heliyon.2024.e31130</w:t>
      </w:r>
    </w:p>
    <w:p>
      <w:pPr/>
      <w:r>
        <w:rPr>
          <w:b/>
        </w:rPr>
        <w:t>Shared claim-specific concepts:</w:t>
      </w:r>
      <w:r>
        <w:t xml:space="preserve"> degradation, environment, water, not; EU scope not established. This is a provisional connection, not an outcome finding.</w:t>
      </w:r>
    </w:p>
    <w:p>
      <w:pPr>
        <w:pStyle w:val="SourceNote"/>
      </w:pPr>
      <w:r>
        <w:rPr>
          <w:b/>
        </w:rPr>
        <w:t>Available abstract (not full text):</w:t>
      </w:r>
      <w:r>
        <w:t xml:space="preserve"> The growing amount of plastic waste requires new ways of disposal or recycling. Research into the biodegradation of recalcitrant plastic polymers is gathering pace. Despite some progress, these efforts have not yet led to technologically and economically viable applications. In this study, we show that respirometric screening of environmental fungal isolates in combination with scanning electron microscopy (SEM), Fourier transform infrared spectroscopy (FTIR) and Raman spectroscopy can be used to identify new strains with the potential for the degradation of plastic polymers. We screened 146 fungal strains, 71 isolated from car repair shops, an environment rich in long-chain hydrocarbons, and 75 isolated from hypersaline water capable of growing at high concentrations of NaCl. When grown in a minimal medium with no carbon source, some strains produced significantly more CO 2 when a pure plastic polymer was added to the medium, some only at high salinity. A selection of these strains was shown by FTIR and Raman spectroscopy to alter the properties of plastic polymers: Cladosporium sp. EXF-13502 on polyamide, Rhodotorula dairenensis EXF-13500 on polypropylene, Rhodotorula sp. EXF-10630 on low-density polyethylene and Wickerhamomyces anomalus EXF-6848 on polyethylene terephthalate. Respirometry in combination with specific spectroscopic methods is an efficient method for screening</w:t>
      </w:r>
    </w:p>
    <w:p>
      <w:pPr/>
      <w:r>
        <w:rPr>
          <w:b/>
        </w:rPr>
        <w:t>POSSIBLE 2023:</w:t>
      </w:r>
      <w:r>
        <w:t xml:space="preserve"> Remote sensing of soil degradation: Progress and perspective — https://doi.org/10.1016/j.iswcr.2023.03.002</w:t>
      </w:r>
    </w:p>
    <w:p>
      <w:pPr/>
      <w:r>
        <w:rPr>
          <w:b/>
        </w:rPr>
        <w:t>Shared claim-specific concepts:</w:t>
      </w:r>
      <w:r>
        <w:t xml:space="preserve"> degradation, environment, security, health, food, not; EU scope not established. This is a provisional connection, not an outcome finding.</w:t>
      </w:r>
    </w:p>
    <w:p>
      <w:pPr>
        <w:pStyle w:val="SourceNote"/>
      </w:pPr>
      <w:r>
        <w:rPr>
          <w:b/>
        </w:rPr>
        <w:t>Available abstract (not full text):</w:t>
      </w:r>
      <w:r>
        <w:t xml:space="preserve"> Soils constitute one of the most critical natural resources and maintaining their health is vital for agricultural development and ecological sustainability, providing many essential ecosystem services. Driven by climatic variations and anthropogenic activities, soil degradation has become a global issue that seriously threatens the ecological environment and food security. Remote sensing (RS) technologies have been widely used to investigate soil degradation as it is highly efficient, time-saving, and broad-scope. This review encompasses recent advances and the state-of-the-art of ground, proximal, and novel RS techniques in soil degradation-related studies. We reviewed the RS-related indicators that could be used for monitoring soil degradation-related properties. The direct indicators (mineral composition, organic matter, surface roughness, and moisture content of soil) and indirect proxies (vegetation condition and land use/land cover change) for evaluating soil degradation were comprehensively summarized. The results suggest that these above indicators are effective for monitoring soil degradation, however, no indicators system has been established for soil degradation monitoring to date. We also discussed the RS's mechanisms, data, and methods for identifying specific soil degradation-related phenomena (e.g., soil erosion, salinization, desertification, and contamination)</w:t>
      </w:r>
    </w:p>
    <w:p>
      <w:pPr/>
      <w:r>
        <w:rPr>
          <w:b/>
        </w:rPr>
        <w:t>POSSIBLE 2023:</w:t>
      </w:r>
      <w:r>
        <w:t xml:space="preserve"> Vulnerability of microplastics on marine environment: A review — https://doi.org/10.1016/j.ecolind.2023.111058</w:t>
      </w:r>
    </w:p>
    <w:p>
      <w:pPr/>
      <w:r>
        <w:rPr>
          <w:b/>
        </w:rPr>
        <w:t>Shared claim-specific concepts:</w:t>
      </w:r>
      <w:r>
        <w:t xml:space="preserve"> environment, water; EU scope not established. This is a provisional connection, not an outcome finding.</w:t>
      </w:r>
    </w:p>
    <w:p>
      <w:pPr>
        <w:pStyle w:val="SourceNote"/>
      </w:pPr>
      <w:r>
        <w:rPr>
          <w:b/>
        </w:rPr>
        <w:t>Available abstract (not full text):</w:t>
      </w:r>
      <w:r>
        <w:t xml:space="preserve"> Microplastics (MPs), which are small plastic particles measuring less than 5 mm in size, have emerged as a significant environmental concern in marine ecosystems worldwide. The presence of MPs in aquatic environments has increased due to the contributions from anthropogenic and terrestrial sources, raising concerns about their abundance in aquatic organisms. MPs primarily originate from the photo-degradation of larger plastic debris (macroplastics), with their release into the environment often occurring through the breakdown of additive compounds. The ingestion of MPs poses eco-toxicological risks to marine organisms, causing damage to the gastrointestinal (GI) tracts and stomachs of affected organisms. Approximately 80 % of MPs originate from terrestrial sources, which can be classified as either primary sources, such as those generated during the production of skincare products, tires, and the use of MPs as carriers for pharmaceutical products, or secondary sources resulting from the improper disposal of plastics near coastal areas and water bodies. The issue of MPs and their potential effects on the marine ecosystem demands significant attention. In conclusion, this review provides a comprehensive overview of the vulnerability of microplastics in marine environments, consolidating the current understanding of their sources, distribution, fate, and ecological impacts. It emp</w:t>
      </w:r>
    </w:p>
    <w:p>
      <w:pPr/>
      <w:r>
        <w:rPr>
          <w:b/>
        </w:rPr>
        <w:t>POSSIBLE 2021:</w:t>
      </w:r>
      <w:r>
        <w:t xml:space="preserve"> Editorial: Plastics in the Environment: Understanding Impacts and Identifying Solutions — https://doi.org/10.3389/fenvs.2021.699971</w:t>
      </w:r>
    </w:p>
    <w:p>
      <w:pPr/>
      <w:r>
        <w:rPr>
          <w:b/>
        </w:rPr>
        <w:t>Shared claim-specific concepts:</w:t>
      </w:r>
      <w:r>
        <w:t xml:space="preserve"> degradation, environment, health; EU scope visible. This is a provisional connection, not an outcome finding.</w:t>
      </w:r>
    </w:p>
    <w:p>
      <w:pPr>
        <w:pStyle w:val="SourceNote"/>
      </w:pPr>
      <w:r>
        <w:rPr>
          <w:b/>
        </w:rPr>
        <w:t>Available abstract (not full text):</w:t>
      </w:r>
      <w:r>
        <w:t xml:space="preserve"> Understanding Impacts and Identifying SolutionsPlastics are one of the most widely used materials in the world which society will always be dependent on.This dependency has been clearly highlighted by the requirements for hygiene and protection during the recent global COVID pandemic (Adyel, 2020;Prata et al., 2020).Plastics are broadly integrated into today's lifestyle and are present in almost all consumer and industrial sectors and their production continues to increase (Geyer et al., 2017).Unfortunately, one of the characteristics of plastics that make them so useful-their durability-also ensures that they persist in the environment for very long periods of time.Additionally, and because of their low cost, many plastic objects have long been perceived as disposable.The consequence of this, coupled with the difficulty in developing effective waste management strategies, has been the ubiquitous contamination of the entire planet by plastic debris.Even if proposed global actions to recycle more plastic or prevent the export of plastic waste to countries with poorly developed waste infrastructure through the Basel Convention are implemented, plastic emissions are expected to increase for the foreseeable future unless significant breakthroughs in plastic design or waste management are realized (Lau et al., 2020).Increasing emissions also imply that exposure to plastic pollution </w:t>
      </w:r>
    </w:p>
    <w:p>
      <w:pPr>
        <w:pStyle w:val="Heading2"/>
      </w:pPr>
      <w:r>
        <w:t>658.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2022:</w:t>
      </w:r>
      <w:r>
        <w:t xml:space="preserve"> Nature-Based Solutions in Coastal and Estuarine Areas of Europe — https://doi.org/10.3389/fenvs.2022.829526</w:t>
      </w:r>
    </w:p>
    <w:p>
      <w:pPr/>
      <w:r>
        <w:rPr>
          <w:b/>
        </w:rPr>
        <w:t>Shared claim-specific concepts:</w:t>
      </w:r>
      <w:r>
        <w:t xml:space="preserve"> run, related, compared, against; EU scope visible. This is a provisional connection, not an outcome finding.</w:t>
      </w:r>
    </w:p>
    <w:p>
      <w:pPr>
        <w:pStyle w:val="SourceNote"/>
      </w:pPr>
      <w:r>
        <w:rPr>
          <w:b/>
        </w:rPr>
        <w:t>Available abstract (not full text):</w:t>
      </w:r>
      <w:r>
        <w:t xml:space="preserve"> Momentum for sustainable and climate resilience solutions for coastal protection are growing globally given the pressing need to prevent further loss of biodiversity and ecosystems while meeting the climate change adaptation and mitigation goals. Nature-Based Solutions (NbS) represent an opportunity to align environmental and resilience goals, at a time of strained budgets in a global context and when short-term needs may run counter to long-term goals. In Europe, NbS fit the mandates of major EU environmental and climate change policies by restoring biodiversity and enhancing climate-resilience and carbon sequestration. Previous studies have compiled scientific evidence about hydro-meteorological hazards for the use of NbS. However, their implementation at scale is still lacking. As the knowledge and experience with NbS for adaptation to natural hazards and climate change increases, it becomes more important to draw lessons learned and insights for replicating and scaling up NbS, especially in coastal areas where their implementation is still limited compared to other environments. This study analyzed NbS case studies across European coastal and estuarine areas to draw key lessons, understand better the current status of implementation, and identify key challenges and gaps. From a total of 59 NbS case studies associated with flooding, erosion and biodiversity loss, results sho</w:t>
      </w:r>
    </w:p>
    <w:p>
      <w:pPr/>
      <w:r>
        <w:rPr>
          <w:b/>
        </w:rPr>
        <w:t>POSSIBLE 2022:</w:t>
      </w:r>
      <w:r>
        <w:t xml:space="preserve"> Nature-Based Solutions in Urban Areas: A European Analysis — https://doi.org/10.3390/app13010168</w:t>
      </w:r>
    </w:p>
    <w:p>
      <w:pPr/>
      <w:r>
        <w:rPr>
          <w:b/>
        </w:rPr>
        <w:t>Shared claim-specific concepts:</w:t>
      </w:r>
      <w:r>
        <w:t xml:space="preserve"> level, well, different;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r>
        <w:rPr>
          <w:b/>
        </w:rPr>
        <w:t>POSSIBLE 2021:</w:t>
      </w:r>
      <w:r>
        <w:t xml:space="preserve"> Barriers to ecological restoration in Europe: expert perspectives — https://doi.org/10.1111/rec.13346</w:t>
      </w:r>
    </w:p>
    <w:p>
      <w:pPr/>
      <w:r>
        <w:rPr>
          <w:b/>
        </w:rPr>
        <w:t>Shared claim-specific concepts:</w:t>
      </w:r>
      <w:r>
        <w:t xml:space="preserve"> number, level, all, different;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pStyle w:val="Heading2"/>
      </w:pPr>
      <w:r>
        <w:t>659.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2021:</w:t>
      </w:r>
      <w:r>
        <w:t xml:space="preserve"> Foresight Capacity Building — https://doi.org/10.5281/zenodo.6630549</w:t>
      </w:r>
    </w:p>
    <w:p>
      <w:pPr/>
      <w:r>
        <w:rPr>
          <w:b/>
        </w:rPr>
        <w:t>Shared claim-specific concepts:</w:t>
      </w:r>
      <w:r>
        <w:t xml:space="preserve"> foresight, project, covered, time; EU scope visible. This is a provisional connection, not an outcome finding.</w:t>
      </w:r>
    </w:p>
    <w:p>
      <w:pPr>
        <w:pStyle w:val="SourceNote"/>
      </w:pPr>
      <w:r>
        <w:rPr>
          <w:b/>
        </w:rPr>
        <w:t>Available abstract (not full text):</w:t>
      </w:r>
      <w:r>
        <w:t xml:space="preserve">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pPr/>
      <w:r>
        <w:rPr>
          <w:b/>
        </w:rPr>
        <w:t>POSSIBLE 2021:</w:t>
      </w:r>
      <w:r>
        <w:t xml:space="preserve"> Becoming a forerunner in foresight : Key elements of success in organizational foresight — https://openalex.org/W3175285991</w:t>
      </w:r>
    </w:p>
    <w:p>
      <w:pPr/>
      <w:r>
        <w:rPr>
          <w:b/>
        </w:rPr>
        <w:t>Shared claim-specific concepts:</w:t>
      </w:r>
      <w:r>
        <w:t xml:space="preserve"> foresight, two, time; EU scope not established. This is a provisional connection, not an outcome finding.</w:t>
      </w:r>
    </w:p>
    <w:p>
      <w:pPr>
        <w:pStyle w:val="SourceNote"/>
      </w:pPr>
      <w:r>
        <w:rPr>
          <w:b/>
        </w:rPr>
        <w:t>Available abstract (not full text):</w:t>
      </w:r>
      <w:r>
        <w:t xml:space="preserve"> As previous foresight studies show, successful foresight activities are the key to organization’s long-term survival and increased performance. But what are the elements that constitute successful foresight? And furthermore, how organizations understand “foresight success”? This thesis approaches the issue of successful foresight in organizations by building an overview of factors that promote or hinder organizational foresight. The aim is to improve organizational foresight practices by increasing the understanding of foresight success elements. An organization that cultivates these elements can eventually transform into a forerunner in foresight. Foresight success and success factors are first examined through previous foresight studies and further considered through empirical material. The selected approach is qualitative inquiry: by interviewing 12 Finnish organizations of which six can be considered as forerunners in foresight, a deeper understanding of organizational foresight success is constructed. Empirical findings are further supported by theoretical framework of foresight maturity models, in which elements of foresight are depicted as organizational capabilities that develop over time. As a result, this study confirms the importance of factors identified in previous foresight research that promote, or conversely hinder, foresight successfulness in organizations. The</w:t>
      </w:r>
    </w:p>
    <w:p>
      <w:pPr/>
      <w:r>
        <w:rPr>
          <w:b/>
        </w:rPr>
        <w:t>POSSIBLE 2021:</w:t>
      </w:r>
      <w:r>
        <w:t xml:space="preserve"> Creativity, proactivity, and foresight — https://doi.org/10.1016/j.techfore.2021.121215</w:t>
      </w:r>
    </w:p>
    <w:p>
      <w:pPr/>
      <w:r>
        <w:rPr>
          <w:b/>
        </w:rPr>
        <w:t>Shared claim-specific concepts:</w:t>
      </w:r>
      <w:r>
        <w:t xml:space="preserve"> foresight, two, namely; EU scope not established. This is a provisional connection, not an outcome finding.</w:t>
      </w:r>
    </w:p>
    <w:p>
      <w:pPr>
        <w:pStyle w:val="SourceNote"/>
      </w:pPr>
      <w:r>
        <w:rPr>
          <w:b/>
        </w:rPr>
        <w:t>Available abstract (not full text):</w:t>
      </w:r>
      <w:r>
        <w:t xml:space="preserve"> This study addresses how foresight interventions can translate creativity into proactive behavior and, in this sense, foster anticipatory strategic management. We develop a theoretical model, linking creativity and proactivity with known discrete individual foresight cognitive styles, namely “Reactor”, “Tester”, “Adapter”, and “Framer”, but also add a new “Actor” dimension. The theoretical model is tested by analyzing quantitative data from 172 students attending two scenario-building workshops. Our SEM model allows us to formulate three conclusions. First, creativity is not directly linked to proactivity without considering individual foresight cognitive styles. Second, we confirm the presence of four components of foresight as discrete foresight cognitive styles but also demonstrate the importance of a fifth component, the “Actor”. Third, it is only through the “Tester”, “Adapter”, and “Actor” components that creative energy most significantly aids proactivity. This means that creativity most significantly aids proactivity when individuals are either able to experiment with alternative courses of action or change the conditions for how their respective futures may unfold. We contribute to the foresight literature by demonstrating how foresight, as a process of intervention, can foster discrete foresight cognitive styles at the individual level and moderate relationships betwe</w:t>
      </w:r>
    </w:p>
    <w:p>
      <w:pPr>
        <w:pStyle w:val="Heading2"/>
      </w:pPr>
      <w:r>
        <w:t>660.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2024:</w:t>
      </w:r>
      <w:r>
        <w:t xml:space="preserve"> Subpoenaing Luther on Questions of Polygyny — https://doi.org/10.62154/v5kvy441</w:t>
      </w:r>
    </w:p>
    <w:p>
      <w:pPr/>
      <w:r>
        <w:rPr>
          <w:b/>
        </w:rPr>
        <w:t>Shared claim-specific concepts:</w:t>
      </w:r>
      <w:r>
        <w:t xml:space="preserve"> accordingly, questions, arise, method; EU scope not established. This is a provisional connection, not an outcome finding.</w:t>
      </w:r>
    </w:p>
    <w:p>
      <w:pPr>
        <w:pStyle w:val="SourceNote"/>
      </w:pPr>
      <w:r>
        <w:rPr>
          <w:b/>
        </w:rPr>
        <w:t>Available abstract (not full text):</w:t>
      </w:r>
      <w:r>
        <w:t xml:space="preserve"> The study discussed debatable questions of Martin Luther’s support of polygyny, which are considered perennial enough to warrant a rejoinder of curricular relevance to Biblical Christianity and theology from a contemporary African perspective. Accordingly, the study proposed that establishing an effective understanding of the debatable points against polygyny is necessary for developing Biblical theology curricular tools for deliberating on Luther’s stand in support of polygyny. The study pursued two purposes. Purpose 1: to consider the historical grounds for a contemporaneous subpoena to Luther on perennial questions of polygyny. These are the grounds upon which a proxy rejoinder can be delimited to facilitate formal learning exercises, via the curriculum of Biblical theology in Africa. Purpose 2: to address the contemporaneous submissions of the church in Africa against polygyny in support of the historical grounds for subpoenaing Luther on perennial questions of polygyny, upon which a proxy rejoinder can be delimited for treatment via the curriculum of Biblical theology in Africa. The study was facilitated by the qualitative research methodology, via which primary historical documents were examined primarily using the documentary analytical method. A key conclusion of the study is that learners and teachers, as participants in the Biblical theology course, are both responsib</w:t>
      </w:r>
    </w:p>
    <w:p>
      <w:pPr/>
      <w:r>
        <w:rPr>
          <w:b/>
        </w:rPr>
        <w:t>POSSIBLE 2024:</w:t>
      </w:r>
      <w:r>
        <w:t xml:space="preserve"> Cognitive possibilities of political science: ask questions about Russian political science — https://doi.org/10.12737/2587-6295-2024-8-1-93-102</w:t>
      </w:r>
    </w:p>
    <w:p>
      <w:pPr/>
      <w:r>
        <w:rPr>
          <w:b/>
        </w:rPr>
        <w:t>Shared claim-specific concepts:</w:t>
      </w:r>
      <w:r>
        <w:t xml:space="preserve"> accordingly, questions, about, based, method; EU scope not established. This is a provisional connection, not an outcome finding.</w:t>
      </w:r>
    </w:p>
    <w:p>
      <w:pPr>
        <w:pStyle w:val="SourceNote"/>
      </w:pPr>
      <w:r>
        <w:rPr>
          <w:b/>
        </w:rPr>
        <w:t>Available abstract (not full text):</w:t>
      </w:r>
      <w:r>
        <w:t xml:space="preserve"> The purpose of the work is to raise the question of the cognitive capabilities of political science and to what extent, in this regard, the methodological tools of political science are an adequate means for studying Russian reality. The methodology of the research was a politico-philosophical approach, which used a retrospective method and discourse analysis. The specificity of the social sciences and humanities implies the existence of value positions of the subject of cognition and determines the practice-oriented orientation of his research activity. The model of reality reconstructed by the scientist is based on a value-colored picture of the world, which directly or implicitly influences the interpretation of facts. Political science, being a part of social and humanitarian knowledge, is not devoid of its specificity and is also based on a certain model of the worldview - a paradigm. The science of politics was formed in the bosom of Western society, taking as a basis the corresponding paradigm of thinking. At a certain point, comparative studies begins to occupy a central position in the study of politics, in fact identifying the whole of political science with itself. Its distinctive feature, which has not been overcome to this day, is the attitude to compare the entire diversity of the political world with its own "ideal" of due. Accordingly, everything that does not f</w:t>
      </w:r>
    </w:p>
    <w:p>
      <w:pPr/>
      <w:r>
        <w:rPr>
          <w:b/>
        </w:rPr>
        <w:t>POSSIBLE 2023:</w:t>
      </w:r>
      <w:r>
        <w:t xml:space="preserve"> FEATURES OF THE RESPONSIBILITY FOR VIOLATIONS OF TAX LEGISLATION IN UKRAINE AND THE COUNTRIES OF THE EUROPEAN UNION: THE QUESTION OF GUILT — https://doi.org/10.32782/2524-0374/2023-1/78</w:t>
      </w:r>
    </w:p>
    <w:p>
      <w:pPr/>
      <w:r>
        <w:rPr>
          <w:b/>
        </w:rPr>
        <w:t>Shared claim-specific concepts:</w:t>
      </w:r>
      <w:r>
        <w:t xml:space="preserve"> accordingly, questions, arise, ukrainian; EU scope visible. This is a provisional connection, not an outcome finding.</w:t>
      </w:r>
    </w:p>
    <w:p>
      <w:pPr>
        <w:pStyle w:val="SourceNote"/>
      </w:pPr>
      <w:r>
        <w:rPr>
          <w:b/>
        </w:rPr>
        <w:t>Available abstract (not full text):</w:t>
      </w:r>
      <w:r>
        <w:t xml:space="preserve"> A particularly difficult issue in the study of the institution of responsibility in tax law is the question of the guilt of business entities -taxpayers.Since taxes are one of the financial instruments used to build relationships between economic entities and the state, the study of the issue of taxpayers' guilt is particularly relevant.Taxpayers are slowly adapting to changes in tax legislation that came into effect on January 1, 2021.One of the most discussed and radical novelties is the official legalization of the institution of guilt as a mandatory element of certain tax offenses and, accordingly, a necessary condition for holding taxpayers to financial responsibility.The Supreme Court has repeatedly emphasized that taxpayers exercise reasonable care, although the risks of choosing an unscrupulous counterparty lie with them.However, in practice, a situation often arises when regulatory authorities hold business entities -taxpayers to account for violations of tax legislation, without paying attention to the presence of guilt in the latter's actions or inactions.Thus, the introduction of the legal construction of guilt into the tax legislation of Ukraine significantly increased the quality of the legislative construction of the composition of the tax offense.However, the legal construction of the guilt of each of the mandatory elements of the composition of a tax offense mu</w:t>
      </w:r>
    </w:p>
    <w:p>
      <w:pPr/>
      <w:r>
        <w:rPr>
          <w:b/>
        </w:rPr>
        <w:t>POSSIBLE 2023:</w:t>
      </w:r>
      <w:r>
        <w:t xml:space="preserve"> To the question of political ideologies and their significance for the state — https://doi.org/10.52340/isj.2022.26.03</w:t>
      </w:r>
    </w:p>
    <w:p>
      <w:pPr/>
      <w:r>
        <w:rPr>
          <w:b/>
        </w:rPr>
        <w:t>Shared claim-specific concepts:</w:t>
      </w:r>
      <w:r>
        <w:t xml:space="preserve"> accordingly, questions, arise, about, based, first; EU scope visible. This is a provisional connection, not an outcome finding.</w:t>
      </w:r>
    </w:p>
    <w:p>
      <w:pPr>
        <w:pStyle w:val="SourceNote"/>
      </w:pPr>
      <w:r>
        <w:rPr>
          <w:b/>
        </w:rPr>
        <w:t>Available abstract (not full text):</w:t>
      </w:r>
      <w:r>
        <w:t xml:space="preserve"> The term "ideology" suggested the French thinker of the XVIII century. Destin de Tracy, named the new science of ideas. At the forefront of this concept was put forward in the XIX century. turbulent political life of Europe. Expand the concept of ideology gave Karl Marx and Friedrich Engels in his work "The German Ideology", where the term is used in a double meaning: first, idealistic world view, in which the idea of the world plays the role of a substance, and secondly, the type of socio-professional political thinking, when the subject is not aware of its conditionality economic class interests, but in reality it defends them. Such thinking creates a particular reality, substitute in the eyes of the people the true social reality, and thus prevents the realization of their real interests. However, Marx and his followers made an exception for the ideology of the proletariat, considering that the class consciousness of the proletariat coincides with the objective vision of reality, and the proletarian revolution has done away with all class consciousness and ideology in general. If we follow the logic of Marxism, it turns out that the proletarian ideology has the truth. In general, Marx recognized the possibility of relative truth of specific ideologies in specific historical conditions. Thus, the bourgeois ideology was true when it was historically progressive (in the era of </w:t>
      </w:r>
    </w:p>
    <w:p>
      <w:pPr/>
      <w:r>
        <w:rPr>
          <w:b/>
        </w:rPr>
        <w:t>POSSIBLE 2022:</w:t>
      </w:r>
      <w:r>
        <w:t xml:space="preserve"> English non-manner how-clauses as answers to deficient questions — https://doi.org/10.3765/salt.v31i0.5114</w:t>
      </w:r>
    </w:p>
    <w:p>
      <w:pPr/>
      <w:r>
        <w:rPr>
          <w:b/>
        </w:rPr>
        <w:t>Shared claim-specific concepts:</w:t>
      </w:r>
      <w:r>
        <w:t xml:space="preserve"> accordingly, questions, arise; EU scope not established. This is a provisional connection, not an outcome finding.</w:t>
      </w:r>
    </w:p>
    <w:p>
      <w:pPr>
        <w:pStyle w:val="SourceNote"/>
      </w:pPr>
      <w:r>
        <w:rPr>
          <w:b/>
        </w:rPr>
        <w:t>Available abstract (not full text):</w:t>
      </w:r>
      <w:r>
        <w:t xml:space="preserve"> English exhibits a variety of embedded how-clause that, while introduced by a canonically interrogative item, lacks an intuitive sense of interrogativity. This paper offers an analysis of the semantics of these clauses that is grounded interrogative semantics. On this view, how in these clauses introduces a degenerate, necessarily-singleton question set. Further, the paper observes that how here introduces a factive presupposition that cannot be reduced to the matrix predicate’s entailments. Accordingly, this paper supports a view on which factivity can arise from multiple sources. A diachronic-based account is also offered to explain the reccurence of how in non-manner embedded clauses cross-linguistically.</w:t>
      </w:r>
    </w:p>
    <w:p>
      <w:pPr/>
      <w:r>
        <w:rPr>
          <w:b/>
        </w:rPr>
        <w:t>POSSIBLE 2022:</w:t>
      </w:r>
      <w:r>
        <w:t xml:space="preserve"> Million dollar questions: why deliberation is more than information pooling — https://doi.org/10.1007/s00355-022-01392-9</w:t>
      </w:r>
    </w:p>
    <w:p>
      <w:pPr/>
      <w:r>
        <w:rPr>
          <w:b/>
        </w:rPr>
        <w:t>Shared claim-specific concepts:</w:t>
      </w:r>
      <w:r>
        <w:t xml:space="preserve"> questions, about, various; EU scope not established. This is a provisional connection, not an outcome finding.</w:t>
      </w:r>
    </w:p>
    <w:p>
      <w:pPr>
        <w:pStyle w:val="SourceNote"/>
      </w:pPr>
      <w:r>
        <w:rPr>
          <w:b/>
        </w:rPr>
        <w:t>Available abstract (not full text):</w:t>
      </w:r>
      <w:r>
        <w:t xml:space="preserve"> Abstract Models of collective deliberation often assume that the chief aim of a deliberative exchange is the sharing of information. In this paper, we argue that an equally important role of deliberation is to draw participants’ attention to pertinent questions, which can aid the assembly and processing of distributed information by drawing deliberators’ attention to new issues. The assumption of logical omniscience renders classical models of agents' informational states unsuitable for modelling this role of deliberation. Building on recent insights from psychology, linguistics and philosophy about the role of questions in speech and thought, we propose a different model in which beliefs are treated as answers directed at specific questions. Here, questions are formally represented as partitions of the space of possibilities and individuals’ information states as sets of questions and corresponding partial answers to them. The state of conversation is then characterised by individuals’ information together with the questions under discussion, which can be steered by various deliberative inputs. Using this model, deliberation is then shown to shape collective decisions in ways that classical models cannot capture, allowing for novel explanations of how group consensus is achieved.</w:t>
      </w:r>
    </w:p>
    <w:p>
      <w:pPr/>
      <w:r>
        <w:rPr>
          <w:b/>
        </w:rPr>
        <w:t>POSSIBLE 2022:</w:t>
      </w:r>
      <w:r>
        <w:t xml:space="preserve"> APPROACHES TO UNDERSTANDING NATIONAL MARTYRDOM: THEORETICAL AND EMPIRICAL ESSAY — https://doi.org/10.5281/zenodo.7472109</w:t>
      </w:r>
    </w:p>
    <w:p>
      <w:pPr/>
      <w:r>
        <w:rPr>
          <w:b/>
        </w:rPr>
        <w:t>Shared claim-specific concepts:</w:t>
      </w:r>
      <w:r>
        <w:t xml:space="preserve"> accordingly, questions, arise; EU scope visible. This is a provisional connection, not an outcome finding.</w:t>
      </w:r>
    </w:p>
    <w:p>
      <w:pPr>
        <w:pStyle w:val="SourceNote"/>
      </w:pPr>
      <w:r>
        <w:rPr>
          <w:b/>
        </w:rPr>
        <w:t>Available abstract (not full text):</w:t>
      </w:r>
      <w:r>
        <w:t xml:space="preserve"> Political martyrdom is a bright, but extremely little–researched phenomenon of world political, social and religious culture, which originates in the European New Age and is actively developing to this day. Since the XVIII century . it arose in a huge range of historical contexts: These are the "martyrs of freedom" in the era of the French Revolution, martyred presidents in the USA, heroes of the Easter Uprising of 1916 in Dublin, martyrdom in the fascist movements of Spain, Romania, Germany of the XX century, the civil religions of the USSR and China, as well as sacrificial ideologies in the context of decolonization and postcolonialism. Over time, the number of political cults of martyrs not only did not decrease, but also increased: Today, a civil holiday called "Martyrs' Day" is celebrated in more than 30 countries around the world, and related ideas continue to fuel many national liberation and separatist movements around the world - for example, Kurds, Tamils, Welsh, Catalans or Indian Maoists (Naxalites). Accordingly, questions arise – why do all these numerous nationalisms, established states and activist movements need martyrs, practices and ideologies associated with them? What is the nature of this new and newest martyrdom – religious, secular or otherwise? Finally, is the veneration of martyrs an expression of affect or a mobilization strategy that has some function</w:t>
      </w:r>
    </w:p>
    <w:p>
      <w:pPr/>
      <w:r>
        <w:rPr>
          <w:b/>
        </w:rPr>
        <w:t>POSSIBLE 2021:</w:t>
      </w:r>
      <w:r>
        <w:t xml:space="preserve"> Avian Coloration Genetics: Recent Advances and Emerging Questions — https://doi.org/10.1093/jhered/esab015</w:t>
      </w:r>
    </w:p>
    <w:p>
      <w:pPr/>
      <w:r>
        <w:rPr>
          <w:b/>
        </w:rPr>
        <w:t>Shared claim-specific concepts:</w:t>
      </w:r>
      <w:r>
        <w:t xml:space="preserve"> accordingly, questions, arise, among; EU scope not established. This is a provisional connection, not an outcome finding.</w:t>
      </w:r>
    </w:p>
    <w:p>
      <w:pPr>
        <w:pStyle w:val="SourceNote"/>
      </w:pPr>
      <w:r>
        <w:rPr>
          <w:b/>
        </w:rPr>
        <w:t>Available abstract (not full text):</w:t>
      </w:r>
      <w:r>
        <w:t xml:space="preserve"> The colorful phenotypes of birds have long provided rich source material for evolutionary biologists. Avian plumage, beaks, skin, and eggs-which exhibit a stunning range of cryptic and conspicuous forms-inspired early work on adaptive coloration. More recently, avian color has fueled discoveries on the physiological, developmental, and-increasingly-genetic mechanisms responsible for phenotypic variation. The relative ease with which avian color traits can be quantified has made birds an attractive system for uncovering links between phenotype and genotype. Accordingly, the field of avian coloration genetics is burgeoning. In this review, we highlight recent advances and emerging questions associated with the genetic underpinnings of bird color. We start by describing breakthroughs related to 2 pigment classes: carotenoids that produce red, yellow, and orange in most birds and psittacofulvins that produce similar colors in parrots. We then discuss structural colors, which are produced by the interaction of light with nanoscale materials and greatly extend the plumage palette. Structural color genetics remain understudied-but this paradigm is changing. We next explore how colors that arise from interactions among pigmentary and structural mechanisms may be controlled by genes that are co-expressed or co-regulated. We also identify opportunities to investigate genes mediating with</w:t>
      </w:r>
    </w:p>
    <w:p>
      <w:pPr>
        <w:pStyle w:val="Heading2"/>
      </w:pPr>
      <w:r>
        <w:t>661.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2024:</w:t>
      </w:r>
      <w:r>
        <w:t xml:space="preserve"> Is there enough sustainable wood? — https://doi.org/10.1017/9781788217361.008</w:t>
      </w:r>
    </w:p>
    <w:p>
      <w:pPr/>
      <w:r>
        <w:rPr>
          <w:b/>
        </w:rPr>
        <w:t>Shared claim-specific concepts:</w:t>
      </w:r>
      <w:r>
        <w:t xml:space="preserve"> there, enough, sustainable, ensure, not; EU scope visible. This is a provisional connection, not an outcome finding.</w:t>
      </w:r>
    </w:p>
    <w:p>
      <w:pPr>
        <w:pStyle w:val="SourceNote"/>
      </w:pPr>
      <w:r>
        <w:rPr>
          <w:b/>
        </w:rPr>
        <w:t>Available abstract (not full text):</w:t>
      </w:r>
      <w:r>
        <w:t xml:space="preserve"> Fact: The World Bank estimates that global timber demand is set to quadruple by 2050. Demand in the UK is also expected to rise, in part because of the government's commitment to promote timber use in construction as part of the UK's net zero strategy. Using more wood in construction and renovation to turn our built environment from a climate problem into a climate solution is predicated on there being enough wood and wood fibre to do this. First and foremost, this supply of wood has to be sustainable. For our timber supplies to be deemed sustainable the wood must be sourced from a managed forest where natural regeneration of the forest is viable or where new trees are planted as others are felled. Such replanting needs to see between 5,000‒10,000 saplings planted per hectare, replacing around 500 felled trees per hectare. The forest ecosystem is required to be regularly monitored to ensure it remains in good health and able to provide for both people (employment, recreation) and nature (biodiversity) now and into the future. A certification scheme accompanies this process of which more than 50 exist worldwide. Of these, the Forest Stewardship Council (FSC) and the Programme for the Endorsement of Forest Certification (PEFC) are the two best known. While both schemes are committed to the same cause – sustainable forestry – the primary difference between the certifications is th</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there, sustainable, well, carbon, not;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sustainable, carbon, only, but;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r>
        <w:rPr>
          <w:b/>
        </w:rPr>
        <w:t>POSSIBLE 2023:</w:t>
      </w:r>
      <w:r>
        <w:t xml:space="preserve"> Circularity in Europe strengthens the sustainability of the global food system — https://doi.org/10.1038/s43016-023-00734-9</w:t>
      </w:r>
    </w:p>
    <w:p>
      <w:pPr/>
      <w:r>
        <w:rPr>
          <w:b/>
        </w:rPr>
        <w:t>Shared claim-specific concepts:</w:t>
      </w:r>
      <w:r>
        <w:t xml:space="preserve"> enough, all, bring, but; EU scope visible. This is a provisional connection, not an outcome finding.</w:t>
      </w:r>
    </w:p>
    <w:p>
      <w:pPr>
        <w:pStyle w:val="SourceNote"/>
      </w:pPr>
      <w:r>
        <w:rPr>
          <w:b/>
        </w:rPr>
        <w:t>Available abstract (not full text):</w:t>
      </w:r>
      <w:r>
        <w:t xml:space="preserve"> Redesigning the European food system on the basis of circularity principles could bring environmental benefits for Europe and the world. Here we deploy a biophysical optimization model to explore the effects of adopting three circularity scenarios in the European Union (EU)27 + UK. We calculate a potential reduction of 71% in agricultural land use and 29% per capita in agricultural greenhouse gas emissions, while producing enough healthy food within a self-sufficient European food system. Under global food shortages, savings in agricultural land could be used to feed an additional 767 million people outside the EU (+149%), while reducing per capita greenhouse gas emissions by 38% but increasing overall emissions by 55% due to the increased population served. Transitioning the EU's food system towards circularity implies sequential changes among all its components and has great potential to safeguard human and planetary health.</w:t>
      </w:r>
    </w:p>
    <w:p>
      <w:pPr/>
      <w:r>
        <w:rPr>
          <w:b/>
        </w:rPr>
        <w:t>POSSIBLE 2022:</w:t>
      </w:r>
      <w:r>
        <w:t xml:space="preserve"> Events and sustainability: why making events more sustainable is not enough — https://doi.org/10.4324/9781003314295-1</w:t>
      </w:r>
    </w:p>
    <w:p>
      <w:pPr/>
      <w:r>
        <w:rPr>
          <w:b/>
        </w:rPr>
        <w:t>Shared claim-specific concepts:</w:t>
      </w:r>
      <w:r>
        <w:t xml:space="preserve"> there, enough, sustainable, contribute, not; EU scope not established. This is a provisional connection, not an outcome finding.</w:t>
      </w:r>
    </w:p>
    <w:p>
      <w:pPr>
        <w:pStyle w:val="SourceNote"/>
      </w:pPr>
      <w:r>
        <w:rPr>
          <w:b/>
        </w:rPr>
        <w:t>Available abstract (not full text):</w:t>
      </w:r>
      <w:r>
        <w:t xml:space="preserve"> The special issue dedicated to events and sustainability is introduced here. We provide synopses of the papers, preceded by an introductory essay that examines how event studies has approached the relationship between events and sustainable development. Existing work too often assumes that sustainability means reducing negative environmental impacts with other aspects of the sustainability paradigm neglected. And whilst social issues have risen to prominence in events research generally, this work is usually considered outwith sustainability debates, and without considering environmental and economic interrelationships. We argue that event scholars should examine how events might contribute to sustainable development, rather than merely exploring how individual events could be made more sustainable. Accordingly, there needs to be further work addressing how events might change attitudes and behaviours by promoting sustainable lifestyles, communities and technologies. Following this discussion, we justify the focus on social sustainability in the special issue, clarify what this actually means, and question whether this is always the most appropriate way of framing research on the social impacts of events. Given the timing of the special issue, there is also a short review of how the coronavirus crisis affected the events sector, and what the implications might be for sustainabi</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sustainable, sectors, not, relevant, but;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Enough? The role of sufficiency in European energy and climate plans — https://doi.org/10.1016/j.enpol.2021.112483</w:t>
      </w:r>
    </w:p>
    <w:p>
      <w:pPr/>
      <w:r>
        <w:rPr>
          <w:b/>
        </w:rPr>
        <w:t>Shared claim-specific concepts:</w:t>
      </w:r>
      <w:r>
        <w:t xml:space="preserve"> enough, all, not; EU scope visible. This is a provisional connection, not an outcome finding.</w:t>
      </w:r>
    </w:p>
    <w:p>
      <w:pPr>
        <w:pStyle w:val="SourceNote"/>
      </w:pPr>
      <w:r>
        <w:rPr>
          <w:b/>
        </w:rPr>
        <w:t>Available abstract (not full text):</w:t>
      </w:r>
      <w:r>
        <w:t xml:space="preserve"> Energy sufficiency is one of the three energy sustainability strategies, next to energy efficiency and renewable energies. We analyse to what extent European governments follow this strategy, by conducting a systematic document analysis of all available European National Energy and Climate Plans (NECPs) and Long-Term Strategies (LTSs). We collect and categorise a total of 230 sufficiency-related policy measures, finding large differences between countries. We find most sufficiency policies in the transport sector, when classifying also modal shift policies to change the service quality of transport as sufficiency policies. Types of sufficiency policy instruments vary considerably from sector to sector, for instance the focus on financial incentives and fiscal instruments in the mobility sector, information in the building sector, and financial incentive/tax instruments in cross-sectoral application. Regulatory instruments currently play a minor role for sufficiency policy in the national energy and climate plans of EU member states. Similar to energy efficiency in recent decades, sufficiency still largely referred to as micro-level individual behaviour change or necessary exogenous trends that will need to take place. It is not treated yet as a genuine field of policy action to provide the necessary framework for enabling societal change.</w:t>
      </w:r>
    </w:p>
    <w:p>
      <w:pPr/>
      <w:r>
        <w:rPr>
          <w:b/>
        </w:rPr>
        <w:t>POSSIBLE 2021:</w:t>
      </w:r>
      <w:r>
        <w:t xml:space="preserve"> Drivers of sustainability practices and contributions to sustainable development evident in sustainability reports of European mining companies — https://doi.org/10.1007/s43621-021-00025-y</w:t>
      </w:r>
    </w:p>
    <w:p>
      <w:pPr/>
      <w:r>
        <w:rPr>
          <w:b/>
        </w:rPr>
        <w:t>Shared claim-specific concepts:</w:t>
      </w:r>
      <w:r>
        <w:t xml:space="preserve"> there, sustainable, all, relevant, but; EU scope visible. This is a provisional connection, not an outcome finding.</w:t>
      </w:r>
    </w:p>
    <w:p>
      <w:pPr>
        <w:pStyle w:val="SourceNote"/>
      </w:pPr>
      <w:r>
        <w:rPr>
          <w:b/>
        </w:rPr>
        <w:t>Available abstract (not full text):</w:t>
      </w:r>
      <w:r>
        <w:t xml:space="preserve"> Abstract Mining activities cause negative environmental impacts, and social conflicts, but also provide economic benefits to communities and secure minerals necessary for low-carbon technology. The aim of this multiple case study is to analyze, compare and critically evaluate sustainability reports of 10 European mining companies for the 2016–2018 period to determine the drivers for implementation of sustainability practices and their contribution to the Sustainable Development Goals (SDGs). The findings suggest that European mining companies act under pressures from international initiatives and industry associations, the European Union, governments, stakeholders, and partnerships. The companies report on the core subjects of corporate governance, employees, the environment, stakeholders’ engagement and occupational health and safety. Positive trends were observed in stakeholder’s engagement, and health and safety, while air emissions, water and energy usage increased for most companies. Furthermore, there was an absence of improvement in gender diversity, utilization of renewable energy, and waste recycling. Even though all analyzed companies mentioned SDGs in the reports, the reports lacked a comprehensive explanation of mining activities’ contribution to the SDGs. This study addresses a gap in the existing literature on the European mining context of sustainable development</w:t>
      </w:r>
    </w:p>
    <w:p>
      <w:pPr>
        <w:pStyle w:val="Heading2"/>
      </w:pPr>
      <w:r>
        <w:t>662.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2024:</w:t>
      </w:r>
      <w:r>
        <w:t xml:space="preserve"> GHG Emission Trends and Targets (GETT) — https://doi.org/10.1787/decef216-en</w:t>
      </w:r>
    </w:p>
    <w:p>
      <w:pPr/>
      <w:r>
        <w:rPr>
          <w:b/>
        </w:rPr>
        <w:t>Shared claim-specific concepts:</w:t>
      </w:r>
      <w:r>
        <w:t xml:space="preserve"> ghg, emissions, climate; EU scope visible. This is a provisional connection, not an outcome finding.</w:t>
      </w:r>
    </w:p>
    <w:p>
      <w:pPr>
        <w:pStyle w:val="SourceNote"/>
      </w:pPr>
      <w:r>
        <w:rPr>
          <w:b/>
        </w:rPr>
        <w:t>Available abstract (not full text):</w:t>
      </w:r>
      <w:r>
        <w:t xml:space="preserve"> The Paris Agreement maps out a path for internationally coordinated efforts to curb global warming. At the centre of the Paris Agreement are Nationally Determined Contributions (NDCs) that establish countries’ plans to mitigate greenhouse gas (GHG) emissions as well as adapt to the impacts of climate change. However, mitigation contributions defined in NDCs are different across countries in terms of target types, coverage of sectors and gases. This makes it challenging to assess progress on mitigation commitments. To complement the UNFCCC efforts, and facilitate the evaluation and monitoring of targets, this paper develops a methodology that harmonises countries’ 2030 mitigation targets in physical units and provide clarity on sector and gas coverage. The results are used to develop the GHG Emission Trends and Targets (GETT) indicators for non-EU countries and the EU-27 covered under the International Programme for Action on Climate (IPAC). The GETT indicators support the analyses of emissions' trajectories by describing historical GHG emission trends and comparing them to NDC emission targets, considering various reference years and indicators, including emissions intensity per capita or per unit of GDP.</w:t>
      </w:r>
    </w:p>
    <w:p>
      <w:pPr/>
      <w:r>
        <w:rPr>
          <w:b/>
        </w:rPr>
        <w:t>POSSIBLE 2023:</w:t>
      </w:r>
      <w:r>
        <w:t xml:space="preserve"> Assessing the potential of GHG emissions for the textile sector: A baseline study — https://doi.org/10.1016/j.heliyon.2023.e22404</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e, with indirect emissions contributing significantly more than direct emissions. The total EFP is 248.38 PJ, with electricity consumption being the main contributor, while the total WFP is 80.71 billion liters. The spinning stage of production has the highest CFP and EFP, and energy consumption is the main contributor to all footprints. These results can help compare different products and reduce the footprints of the textile sector.</w:t>
      </w:r>
    </w:p>
    <w:p>
      <w:pPr/>
      <w:r>
        <w:rPr>
          <w:b/>
        </w:rPr>
        <w:t>POSSIBLE 2023:</w:t>
      </w:r>
      <w:r>
        <w:t xml:space="preserve"> Dynamics and Accounting of GHG Emissions in the World — https://doi.org/10.1051/bioconf/20236306011</w:t>
      </w:r>
    </w:p>
    <w:p>
      <w:pPr/>
      <w:r>
        <w:rPr>
          <w:b/>
        </w:rPr>
        <w:t>Shared claim-specific concepts:</w:t>
      </w:r>
      <w:r>
        <w:t xml:space="preserve"> ghg, emissions, climate; EU scope not established. This is a provisional connection, not an outcome finding.</w:t>
      </w:r>
    </w:p>
    <w:p>
      <w:pPr>
        <w:pStyle w:val="SourceNote"/>
      </w:pPr>
      <w:r>
        <w:rPr>
          <w:b/>
        </w:rPr>
        <w:t>Available abstract (not full text):</w:t>
      </w:r>
      <w:r>
        <w:t xml:space="preserve"> The problem of climate change on the planet has been gradually forming since the middle of the 20th century. as the idea of a universal threat, to combat which humanity needs to unite and regulate the waste of resources. To do this, the problem of global climate change had to be introduced both into the political and economic agenda, and into the basic world system of values. Only then would climate rhetoric be able to influence political decisions and shape the way people live, as well as influence the global economy. But for this it is necessary to prove that humans are to blame for global climate change. The fact that nature is constantly changing, scientists knew until the middle of the 20th century. But it was believed that the reasons for this lie in the laws of long and short climatic cycles, and man has nothing to do with global changes. And this means that it is impossible to justify the reasons why the global community and individuals should change their behavior. That is, without substantiating the anthropogenic impact on global climate change, this topic cannot claim to be the central determinant of economic and political development.</w:t>
      </w:r>
    </w:p>
    <w:p>
      <w:pPr/>
      <w:r>
        <w:rPr>
          <w:b/>
        </w:rPr>
        <w:t>POSSIBLE 2023:</w:t>
      </w:r>
      <w:r>
        <w:t xml:space="preserve"> The drivers of GHG emissions: A novel approach to estimate emissions using nonparametric analysis — https://doi.org/10.1016/j.gr.2023.10.004</w:t>
      </w:r>
    </w:p>
    <w:p>
      <w:pPr/>
      <w:r>
        <w:rPr>
          <w:b/>
        </w:rPr>
        <w:t>Shared claim-specific concepts:</w:t>
      </w:r>
      <w:r>
        <w:t xml:space="preserve"> ghg, emissions, based, climate; EU scope not established. This is a provisional connection, not an outcome finding.</w:t>
      </w:r>
    </w:p>
    <w:p>
      <w:pPr>
        <w:pStyle w:val="SourceNote"/>
      </w:pPr>
      <w:r>
        <w:rPr>
          <w:b/>
        </w:rPr>
        <w:t>Available abstract (not full text):</w:t>
      </w:r>
      <w:r>
        <w:t xml:space="preserve"> The rising levels of global GHG emissions underpin climate change, hence, taking an appropriate inventory of the drivers and patterns of anthropogenic emissions remains crucial to mitigating global climate effects. However, there are conflicting views in the literature on the relationship between respective drivers and GHG emissions due to the lack of robust analysis that accommodates the interaction of all significant drivers. We use novel estimation techniques to decipher the 26-year inventory of GHG occurrences and simultaneous assessment of interactions in 50 countries stratified based on socioeconomic developments over the period 1990-2018. This study highlights different drivers of GHG emissions under broader categories such as population, economic development, forest density, and agricultural practices. Non-parametric estimations roughly confirm the magnitude of the influence of forests, agriculture, and land-use intensity on GHG emissions, ultimately tracking the most significant emission sinks.</w:t>
      </w:r>
    </w:p>
    <w:p>
      <w:pPr/>
      <w:r>
        <w:rPr>
          <w:b/>
        </w:rPr>
        <w:t>POSSIBLE 2023:</w:t>
      </w:r>
      <w:r>
        <w:t xml:space="preserve"> Towards a Low-Carbon Plastic Waste Recycling in Finland: Evaluating the Impacts of Improvement Measures on GHG Emissions — https://doi.org/10.1007/s43615-023-00306-w</w:t>
      </w:r>
    </w:p>
    <w:p>
      <w:pPr/>
      <w:r>
        <w:rPr>
          <w:b/>
        </w:rPr>
        <w:t>Shared claim-specific concepts:</w:t>
      </w:r>
      <w:r>
        <w:t xml:space="preserve"> reach, ghg, emissions, capacity, based, energy; EU scope visible. This is a provisional connection, not an outcome finding.</w:t>
      </w:r>
    </w:p>
    <w:p>
      <w:pPr>
        <w:pStyle w:val="SourceNote"/>
      </w:pPr>
      <w:r>
        <w:rPr>
          <w:b/>
        </w:rPr>
        <w:t>Available abstract (not full text):</w:t>
      </w:r>
      <w:r>
        <w:t xml:space="preserve"> Abstract The use of plastics in products and packaging is growing. At the same time, the lifespan of packaging is short and consequently plastic waste volumes are growing in Finland and globally. Although separate collection and recycling of plastic packaging waste exists in Finland, it needs to be strengthened to reach the European Union’s targets. The separately collected plastic waste is mechanically recycled, but the recycling capacity is small, as is the process’s yield of secondary polymers. Hence, a large share of plastic packaging waste remains being recovered for energy. In our study, we first apply material flow analysis (MFA) to identify different routes of plastic packaging waste in Finland, and then we apply life cycle assessment (LCA) to quantify greenhouse gas (GHG) emissions of the current system and of alternative scenarios based on improvement measures. Domestic GHG emissions of the studied system were estimated to be 178 kt CO2e. Net GHG emissions including exports and credits from avoided production were estimated to be 155 kt CO2e. The results of the scenario assessment indicate that combining more measures offer significantly greater potential to reduce the system’s climate impacts, compared to individual measures. The results are complemented by a sensitivity analysis, helping with the interpretation of the results, understanding modelling challenges, and</w:t>
      </w:r>
    </w:p>
    <w:p>
      <w:pPr/>
      <w:r>
        <w:rPr>
          <w:b/>
        </w:rPr>
        <w:t>POSSIBLE 2022:</w:t>
      </w:r>
      <w:r>
        <w:t xml:space="preserve"> Completing Urban GHG Emissions Data to Assess the Effectiveness of Climate Action Plans in Europe — https://doi.org/10.5194/egusphere-egu22-5175</w:t>
      </w:r>
    </w:p>
    <w:p>
      <w:pPr/>
      <w:r>
        <w:rPr>
          <w:b/>
        </w:rPr>
        <w:t>Shared claim-specific concepts:</w:t>
      </w:r>
      <w:r>
        <w:t xml:space="preserve"> reach, ghg, emissions, need, strategic, role; EU scope visible. This is a provisional connection, not an outcome finding.</w:t>
      </w:r>
    </w:p>
    <w:p>
      <w:pPr>
        <w:pStyle w:val="SourceNote"/>
      </w:pPr>
      <w:r>
        <w:rPr>
          <w:b/>
        </w:rPr>
        <w:t>Available abstract (not full text):</w:t>
      </w:r>
      <w:r>
        <w:t xml:space="preserve"> Urban areas are major contributors to global greenhouse gas (GHG) emissions. To address climate change, many cities have developed climate action plans (CAPs) as strategic roadmaps to reduce their emissions and strive for emission neutrality and climate resilience by 2050 or before. It has been more than a decade since the first of these plans were put in place, and it is now important to evaluate these plans and to access whether city-level climate ambitions will be realised or perhaps need adjustment to pursue for improvements in climate resilience over time This work aims to further our understanding of urban GHG emissions, by completing existing urban carbon emissions data with blue-green contributions to the urban carbon cycle. In a previous study, it was found that the inclusion of blue-green emissions in urban carbon accounting in Stockholm, Sweden had a significant impact on that region’s ability to reach net zero emissions in the coming decades (Page et al., 2021). In this study, we complete the urban emissions data for cities across the European Union (EU) in order to assess if, and for which types of cities, the inclusion of blue-green emissions in the GHG accounting is similarly relevant. Furthermore, we will use data about the CAPs produced and implemented by these cities together with the completed GHG emissions in order to assess whether the actions and plans mad</w:t>
      </w:r>
    </w:p>
    <w:p>
      <w:pPr/>
      <w:r>
        <w:rPr>
          <w:b/>
        </w:rPr>
        <w:t>POSSIBLE 2022:</w:t>
      </w:r>
      <w:r>
        <w:t xml:space="preserve"> How COVID-19 Affected GHG Emissions of Ferries in Europe — https://doi.org/10.3390/su14095287</w:t>
      </w:r>
    </w:p>
    <w:p>
      <w:pPr/>
      <w:r>
        <w:rPr>
          <w:b/>
        </w:rPr>
        <w:t>Shared claim-specific concepts:</w:t>
      </w:r>
      <w:r>
        <w:t xml:space="preserve"> ghg, emissions, reduction, depending; EU scope visible. This is a provisional connection, not an outcome finding.</w:t>
      </w:r>
    </w:p>
    <w:p>
      <w:pPr>
        <w:pStyle w:val="SourceNote"/>
      </w:pPr>
      <w:r>
        <w:rPr>
          <w:b/>
        </w:rPr>
        <w:t>Available abstract (not full text):</w:t>
      </w:r>
      <w:r>
        <w:t xml:space="preserve">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reach, emissions, role, energy;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2022:</w:t>
      </w:r>
      <w:r>
        <w:t xml:space="preserve"> GHG emissions and firm performance: The role of CEO gender socialization — https://doi.org/10.1016/j.jbankfin.2022.106721</w:t>
      </w:r>
    </w:p>
    <w:p>
      <w:pPr/>
      <w:r>
        <w:rPr>
          <w:b/>
        </w:rPr>
        <w:t>Shared claim-specific concepts:</w:t>
      </w:r>
      <w:r>
        <w:t xml:space="preserve"> ghg, emissions, reduction, role, strategy, energy; EU scope not established. This is a provisional connection, not an outcome finding.</w:t>
      </w:r>
    </w:p>
    <w:p>
      <w:pPr>
        <w:pStyle w:val="SourceNote"/>
      </w:pPr>
      <w:r>
        <w:rPr>
          <w:b/>
        </w:rPr>
        <w:t>Available abstract (not full text):</w:t>
      </w:r>
      <w:r>
        <w:t xml:space="preserve"> In this paper, I examine the effect of corporate greenhouse gas emissions (GHG) on profitability. I use the gender composition of the CEOs' children as an identification strategy to investigate the impact of GHG emissions on profits. CEOs who father a daughter are associated with a 10% reduction in GHG emissions. The reduction in emissions, in turn, improves profitability. A one standard deviation decrease in GHG emissions leads to a 0.14 standard deviations increase in profitability. Examining the channels, I show that CEOs with daughters are more likely to adopt a climate-integrated business strategy and set emission-reduction targets. Emission reduction affects profitability through both information advantage (protection from negative industry shocks, and lower cost of capital), and operational efficiency (lower operating costs and energy consumption) channels.</w:t>
      </w:r>
    </w:p>
    <w:p>
      <w:pPr>
        <w:pStyle w:val="Heading2"/>
      </w:pPr>
      <w:r>
        <w:t>663.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2024:</w:t>
      </w:r>
      <w:r>
        <w:t xml:space="preserve"> Government Analytics in Europe: Making Public Data Count — https://doi.org/10.1596/41610</w:t>
      </w:r>
    </w:p>
    <w:p>
      <w:pPr/>
      <w:r>
        <w:rPr>
          <w:b/>
        </w:rPr>
        <w:t>Shared claim-specific concepts:</w:t>
      </w:r>
      <w:r>
        <w:t xml:space="preserve"> aim, understand; EU scope visible. This is a provisional connection, not an outcome finding.</w:t>
      </w:r>
    </w:p>
    <w:p>
      <w:pPr>
        <w:pStyle w:val="SourceNote"/>
      </w:pPr>
      <w:r>
        <w:rPr>
          <w:b/>
        </w:rPr>
        <w:t>Available abstract (not full text):</w:t>
      </w:r>
      <w:r>
        <w:t xml:space="preserve"> This report is part of a collection examining how analytics using government microdata is revolutionizing public administration throughout the world. The collection is based on The Government Analytics Handbook, a comprehensive guide to using data to understand and improve government. The reports in this collection aim to help public servants apply lessons from the Handbook to their own administrations by describing the unique opportunities and challenges for government analytics that arise in different regions. No two regions, countries, administrations, or organizations are alike - that’s why using microdata to measure, understand, and improve government is so important! The general principle of the Handbook is as follows: governments across the world make thousands of personnel management decisions, procure millions of goods and services, and execute billions of processes each day. They are data rich. And yet there is little systematic practice to date that capitalizes on these data to make public administrations work better. This means that governments are missing out on data insights to save billions in procurement expenditures, recruit better talent into government, and identify sources of corruption - to name just a few! The Handbook seeks to change that. It presents frontier evidence and practitioner insights on how to leverage data to make governments work better. Cove</w:t>
      </w:r>
    </w:p>
    <w:p>
      <w:pPr/>
      <w:r>
        <w:rPr>
          <w:b/>
        </w:rPr>
        <w:t>POSSIBLE 2024:</w:t>
      </w:r>
      <w:r>
        <w:t xml:space="preserve"> Innovation at the Crossroads: How Public-Private Partnerships Drive Technological Development in Europe — https://doi.org/10.17721/apmv.2024.159.1.94-108</w:t>
      </w:r>
    </w:p>
    <w:p>
      <w:pPr/>
      <w:r>
        <w:rPr>
          <w:b/>
        </w:rPr>
        <w:t>Shared claim-specific concepts:</w:t>
      </w:r>
      <w:r>
        <w:t xml:space="preserve"> understand, sustainable, society, driving, sector, private; EU scope visible. This is a provisional connection, not an outcome finding.</w:t>
      </w:r>
    </w:p>
    <w:p>
      <w:pPr>
        <w:pStyle w:val="SourceNote"/>
      </w:pPr>
      <w:r>
        <w:rPr>
          <w:b/>
        </w:rPr>
        <w:t>Available abstract (not full text):</w:t>
      </w:r>
      <w:r>
        <w:t xml:space="preserve"> This article investigates the pivotal role of public-private partnerships (PPPs) in driving technological development across Europe, highlighting how the collaboration between public institutions and private enterprises serves as a catalyst for innovation and economic growth. By analyzing a range of successful case studies and conducting an extensive review of existing literature, this study identifies the key factors that contribute to the effectiveness of PPPs and their substantial impact on technological advancement. The research reveals that PPPs significantly enhance resource allocation, allowing for more efficient use of financial and human capital. They facilitate risk sharing, which encourages private sector participation in high-risk technological projects that might otherwise lack sufficient funding or support. Moreover, PPPs promote knowledge transfer between the public and private sectors, fostering a culture of innovation and enabling the rapid deployment of new technologies. Different models of PPPs are examined to understand their implementation in various contexts, shedding light on the diverse approaches taken by European countries. The study also addresses the challenges faced in establishing and maintaining PPPs, such as regulatory hurdles, financial constraints, and coordination issues. Strategies for overcoming these barriers are discussed, providing practi</w:t>
      </w:r>
    </w:p>
    <w:p>
      <w:pPr/>
      <w:r>
        <w:rPr>
          <w:b/>
        </w:rPr>
        <w:t>POSSIBLE 2023:</w:t>
      </w:r>
      <w:r>
        <w:t xml:space="preserve"> PUBLIC-PRIVATE PARTNERSHIP’S ASCENT AND FALL IN EUROPE — https://doi.org/10.47535/1991auoes32(2)004</w:t>
      </w:r>
    </w:p>
    <w:p>
      <w:pPr/>
      <w:r>
        <w:rPr>
          <w:b/>
        </w:rPr>
        <w:t>Shared claim-specific concepts:</w:t>
      </w:r>
      <w:r>
        <w:t xml:space="preserve"> understand, way, private; EU scope visible. This is a provisional connection, not an outcome finding.</w:t>
      </w:r>
    </w:p>
    <w:p>
      <w:pPr>
        <w:pStyle w:val="SourceNote"/>
      </w:pPr>
      <w:r>
        <w:rPr>
          <w:b/>
        </w:rPr>
        <w:t>Available abstract (not full text):</w:t>
      </w:r>
      <w:r>
        <w:t xml:space="preserve"> Collaborations between public and private have appeared in Europe since ancient times, presenting in different ways from one nation to another, and being the source of the current “public-private partnership” arrangement. This study aims to emphasize the significance of “public-private partnership” for a certain area. In this research, I used the qualitative technique to examine and understand the global experience in developing public-private partnerships. The method was effective in showing how “public-private partnerships” have changed throughout Europe. There is no standard definition of “public-private partnership” that can be found in all studies because there isn’t one that everybody in Europe acknowledges. Presenting the development of “public-private partnerships” throughout Europe and emphasizing their ascent and fall, is the primary output of this study. Additionally, this study aimed to demonstrate the current status of this kind of cooperation throughout Europe and the interest that European nations have shown in “public-private partnerships”. The market for “public-private partnerships” in Europe has been expanding gradually since 1990. Since then, Great Britain has dominated the market for public-private partnerships for a considerable amount of time. This is a country where interest in this kind of cooperation has grown. In this study, we attempted to draw inter</w:t>
      </w:r>
    </w:p>
    <w:p>
      <w:pPr/>
      <w:r>
        <w:rPr>
          <w:b/>
        </w:rPr>
        <w:t>POSSIBLE 2023:</w:t>
      </w:r>
      <w:r>
        <w:t xml:space="preserve"> The history of European public health education accreditation in perspective — https://doi.org/10.56801/seejph.vi.54</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Aim: The aim of this paper is to investigate the history of accreditation of academic public health education and understand why there is a 65 year gap between the first system in America and the uptake of accreditation in Europe. The paper intends to search for parallels and dissimilarities between the development in America and Europe and then consider if any parallels could be used for determining the future role of accreditation in Europe. Methods: The paper draws heavily upon a literature review and analysis and the examination and interpretation of primary and secondary sources. Firstly there is an exploration of the American development which is complemented by an evaluation of the developments in Europe. Results: The paper demonstrates that there are two key features required for the development of accreditation: interstate collaboration and a liberalisation or opening up of the education market. Conclusions: Since the Second World War, Europe has embraced interstate collaboration which has led to a liberalisation of certain economic markets. The future for sector based accreditation of public health education will be determined by the extent Europe pursues liberalisation and whether a competitive environment will bring into question the transparency and trust in state sponsored accreditation agencies.</w:t>
      </w:r>
    </w:p>
    <w:p>
      <w:pPr/>
      <w:r>
        <w:rPr>
          <w:b/>
        </w:rPr>
        <w:t>POSSIBLE 2023:</w:t>
      </w:r>
      <w:r>
        <w:t xml:space="preserve"> Examining the publicness of spaces on European social housing estates: a position paper — https://doi.org/10.1017/s1359135523000155</w:t>
      </w:r>
    </w:p>
    <w:p>
      <w:pPr/>
      <w:r>
        <w:rPr>
          <w:b/>
        </w:rPr>
        <w:t>Shared claim-specific concepts:</w:t>
      </w:r>
      <w:r>
        <w:t xml:space="preserve"> understand, four; EU scope visible. This is a provisional connection, not an outcome finding.</w:t>
      </w:r>
    </w:p>
    <w:p>
      <w:pPr>
        <w:pStyle w:val="SourceNote"/>
      </w:pPr>
      <w:r>
        <w:rPr>
          <w:b/>
        </w:rPr>
        <w:t>Available abstract (not full text):</w:t>
      </w:r>
      <w:r>
        <w:t xml:space="preserve"> The concept of ‘publicness’ addresses the intersection between people and their physical surroundings, and the ways in which they affect each other in an ongoing process. This point of relational exchange is the core concept behind ‘Public Space in European Social Housing’ (PuSH), a three-year HERA-funded project conducted by a transnational, multidisciplinary team of researchers. Large-scale modernist postwar housing estates, often used for social, cooperative, or mass rental housing, tend to be problematised as places of segregation and disintegration in European cities. Yet they are potentially also primary sites for integration between people of different cultural origins and social backgrounds. By investigating publicness in relation to social housing, including cooperative housing and mass rental housing estates, PuSH aims to better understand how cultural encounters happen, and ultimately to reflect on how integration can be better sustained. In this paper, we take a relational conception of publicness as our point of departure to explore the differentiations and intersections between sites and modes of public life in relation to our approach and the social housing estates we investigate. Moreover, we present our conceptual contribution to the concept of publicness, both theoretically and methodologically using multidisciplinary theories and methodologies, and four analy</w:t>
      </w:r>
    </w:p>
    <w:p>
      <w:pPr/>
      <w:r>
        <w:rPr>
          <w:b/>
        </w:rPr>
        <w:t>POSSIBLE 2023:</w:t>
      </w:r>
      <w:r>
        <w:t xml:space="preserve"> Advanced practice nursing in Europe—Results from a pan‐European survey of 35 countries — https://doi.org/10.1111/jan.15775</w:t>
      </w:r>
    </w:p>
    <w:p>
      <w:pPr/>
      <w:r>
        <w:rPr>
          <w:b/>
        </w:rPr>
        <w:t>Shared claim-specific concepts:</w:t>
      </w:r>
      <w:r>
        <w:t xml:space="preserve"> aim, understand, among; EU scope visible. This is a provisional connection, not an outcome finding.</w:t>
      </w:r>
    </w:p>
    <w:p>
      <w:pPr>
        <w:pStyle w:val="SourceNote"/>
      </w:pPr>
      <w:r>
        <w:rPr>
          <w:b/>
        </w:rPr>
        <w:t>Available abstract (not full text):</w:t>
      </w:r>
      <w:r>
        <w:t xml:space="preserve"> AIM: To report the results of a mapping exercise by the European Federation of Nurses on current advanced practice nursing frameworks and developments across Europe. DESIGN: Online, cross-sectional, questionnaire study. METHODS: An online questionnaire was distributed among 35 national nurses' associations across Europe in March 2021. The questionnaire solicited input on 60 items concerning key features of advanced practice nursing, intending to map existing developments and better understand the current state of advanced practice nursing in Europe. Data analysis used descriptive statistics, including counts and percentages, tabulation; open-text responses were handled with thematic synthesis techniques. RESULTS: The definition, sense-making and operationalization of advanced practice nursing vary across Europe. Important variations were noted in the definition and requirements of advanced practice nursing, resulting in different views on the competencies and scope of practice associated with this role. Importantly, the level of education and training required to qualify and practice as an advanced practice nurse varies across European countries. Furthermore, only 11 countries reported the existence of a national legislation establishing minimum educational requirements. CONCLUSION: Significant variation exists in how countries define advanced practice nursing and how it is reg</w:t>
      </w:r>
    </w:p>
    <w:p>
      <w:pPr/>
      <w:r>
        <w:rPr>
          <w:b/>
        </w:rPr>
        <w:t>POSSIBLE 2022:</w:t>
      </w:r>
      <w:r>
        <w:t xml:space="preserve"> European Public Health News — https://doi.org/10.1093/eurpub/ckac050</w:t>
      </w:r>
    </w:p>
    <w:p>
      <w:pPr/>
      <w:r>
        <w:rPr>
          <w:b/>
        </w:rPr>
        <w:t>Shared claim-specific concepts:</w:t>
      </w:r>
      <w:r>
        <w:t xml:space="preserve"> several, healthier, way, organized, three, four; EU scope visible. This is a provisional connection, not an outcome finding.</w:t>
      </w:r>
    </w:p>
    <w:p>
      <w:pPr>
        <w:pStyle w:val="SourceNote"/>
      </w:pPr>
      <w:r>
        <w:rPr>
          <w:b/>
        </w:rPr>
        <w:t>Available abstract (not full text):</w:t>
      </w:r>
      <w:r>
        <w:t xml:space="preserve"> In this European public health news, the focus is on the next generation of public health professionals. Nagyova et al. highlight the successes of EUPHA, including attention to the younger generation and including the next generation in our governance structure. Barrios Aparicio et al. from the regional office for Europe of WHO embrace youth by highlighting WHO’s commitment to having the next generation involved in decision-making. Finally, Barnhoorn presents the efforts of greening this year’s EPH Conference, as requested by the younger generation. It is clear that we need to make sure that the younger (future) generation of public health professionals is (critically) involved in what we do and in what we need to do to make our future healthier. This year, EUPHA is celebrating its 30th birthday. Established in 1992, EUPHA started as a small network of public health professionals, where coordination between countries and providing the evidence were top priorities. Over the years, EUPHA has developed in a strong, reliable, science-based European partner with an excellent reputation. EUPHA is able to provide the right evidence at the right place at the right time, has become a strong advocate for public health at European level and also has developed action-oriented tools, like the European public health week. So how did we grow to what we are now? Without being exhaustive, we wo</w:t>
      </w:r>
    </w:p>
    <w:p>
      <w:pPr/>
      <w:r>
        <w:rPr>
          <w:b/>
        </w:rPr>
        <w:t>POSSIBLE 2021:</w:t>
      </w:r>
      <w:r>
        <w:t xml:space="preserve"> European Public Health news — https://doi.org/10.1093/eurpub/ckab175</w:t>
      </w:r>
    </w:p>
    <w:p>
      <w:pPr/>
      <w:r>
        <w:rPr>
          <w:b/>
        </w:rPr>
        <w:t>Shared claim-specific concepts:</w:t>
      </w:r>
      <w:r>
        <w:t xml:space="preserve"> several, way, society; EU scope visible. This is a provisional connection, not an outcome finding.</w:t>
      </w:r>
    </w:p>
    <w:p>
      <w:pPr>
        <w:pStyle w:val="SourceNote"/>
      </w:pPr>
      <w:r>
        <w:rPr>
          <w:b/>
        </w:rPr>
        <w:t>Available abstract (not full text):</w:t>
      </w:r>
      <w:r>
        <w:t xml:space="preserve"> In this European Public Health news, we present updates from EUPHA, the EUPHA working group on gender equality, WHO Europe and the upcoming European Public Health Conference. Zeegers and Nagyova reflect on the increase in polarization in the world which has been highlighted by the COVID-19 pandemic. Petelos et al. present the work EUPHA has been developing on gender equality. Something that should be totally obvious, but still needs specific attention, so that gender equality is accepted and implemented everywhere. Kluge et al. reflect on the future of digital public health, one of the priorities of WHO Europe. Digital health is no longer an option, it is essential. Barnhoorn and Staines highlight the excellent plenary programme of the 2021 European Public Health Conference, where digital health, communication, lessons learned from COVID-19 and climate change are all being addressed. In July, a famous Dutch crime reporter was killed in the streets of Amsterdam and a 14-year-old Dutch girl was beaten for not answering a question on her gender. Why? Because they were both—in their own way—outspoken and open, something that seems to be no longer accepted in this polarized society. In the society today, you are either from the North Pole or from the South Pole. The fact that 99.9% of people actually live between those two extremes seems no longer relevant. We learn from our world t</w:t>
      </w:r>
    </w:p>
    <w:p>
      <w:pPr/>
      <w:r>
        <w:rPr>
          <w:b/>
        </w:rPr>
        <w:t>POSSIBLE 2021:</w:t>
      </w:r>
      <w:r>
        <w:t xml:space="preserve"> Public opinion towards a universal basic income in Europe — https://openalex.org/W7113266209</w:t>
      </w:r>
    </w:p>
    <w:p>
      <w:pPr/>
      <w:r>
        <w:rPr>
          <w:b/>
        </w:rPr>
        <w:t>Shared claim-specific concepts:</w:t>
      </w:r>
      <w:r>
        <w:t xml:space="preserve"> aim, understand, about, among; EU scope visible. This is a provisional connection, not an outcome finding.</w:t>
      </w:r>
    </w:p>
    <w:p>
      <w:pPr>
        <w:pStyle w:val="SourceNote"/>
      </w:pPr>
      <w:r>
        <w:rPr>
          <w:b/>
        </w:rPr>
        <w:t>Available abstract (not full text):</w:t>
      </w:r>
      <w:r>
        <w:t xml:space="preserve"> The idea of a Universal Basic Income (UBI) has gained increasing attention in public debates and among policymakers across Europe. The inclusion of the Welfare Attitudes in Europe module during Round 8 (2016/17) of the European Social Survey (ESS) - for the first time in academic cross-national research - allowed attitudes towards the introduction of a Universal Basic Income to be assessed in 23 countries. Aim of this article is to explore and understand the different aspects and predictors of UBI support. In particular, this paper analyses a broad range of explanatory individual and contextual factors that may affect popular support for a UBI. Main findings shows that the stronger support for a European minimum income benefit in less generous welfare states is explained by more optimistic expectations about the EU’s domestic impact and lower socioeconomic status groups are more supportive of this policy proposal. Moreover, the analysis reveals that diverging national experiences and expectations are crucial in understanding why Europeans are widely divided on the implementation of such a benefit scheme. Secondly, in almost all countries, the younger age group is more supportive of activation and a universal basic income than the older age group. Finally, using logistic regression model it is possible to estimate the different attitudes among countries for a UBI more accurately</w:t>
      </w:r>
    </w:p>
    <w:p>
      <w:pPr>
        <w:pStyle w:val="Heading2"/>
      </w:pPr>
      <w:r>
        <w:t>664.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2022:</w:t>
      </w:r>
      <w:r>
        <w:t xml:space="preserve"> Risks in the European Transmission System and a Novel Restoration Strategy for a Power System after a Major Blackout — https://doi.org/10.3390/app13010083</w:t>
      </w:r>
    </w:p>
    <w:p>
      <w:pPr/>
      <w:r>
        <w:rPr>
          <w:b/>
        </w:rPr>
        <w:t>Shared claim-specific concepts:</w:t>
      </w:r>
      <w:r>
        <w:t xml:space="preserve"> renewable, energy, given, high, they; EU scope visible. This is a provisional connection, not an outcome finding.</w:t>
      </w:r>
    </w:p>
    <w:p>
      <w:pPr>
        <w:pStyle w:val="SourceNote"/>
      </w:pPr>
      <w:r>
        <w:rPr>
          <w:b/>
        </w:rPr>
        <w:t>Available abstract (not full text):</w:t>
      </w:r>
      <w:r>
        <w:t xml:space="preserve"> Many citizens of European countries may soon experience a long and extensive blackout. The lack of predictability in the output of renewable energy sources, aggravating the problem of consistently matching supply with demand on electric grids, along with cyber-attacks or even worse unpredictable incidents in the electric grid are some factors that may mean a blackout is much more likely than in previous years. This paper covers the possibility of an extensive blackout in a country of the interconnected European electricity transmission system or, even worse, a blackout in a wide area of the European continent. The topic of this paper becomes even more important and timely given the energy crisis due to the war in Ukraine, which has made the possibility of a blackout in the winter of 2022–2023 high. First, the major European blackouts that occurred in the past 20 years are presented, examining their causes. On 8 January 2021, the European electricity grid was divided into two separate sections, with different frequencies; some additional scenarios are considered which, if they had happened, could have led to blackouts in some European countries or, even worse, a wide area of Europe. This work also examines how to avoid such an eventuality, as well as how European TSOs should react in case a blackout occurs. Focused on the fast and reliable supply of consumers after a blackout, a</w:t>
      </w:r>
    </w:p>
    <w:p>
      <w:pPr/>
      <w:r>
        <w:rPr>
          <w:b/>
        </w:rPr>
        <w:t>POSSIBLE 2022:</w:t>
      </w:r>
      <w:r>
        <w:t xml:space="preserve"> Precedent in the system of the European Convention on Human Rights — https://doi.org/10.4324/9781003264262-15</w:t>
      </w:r>
    </w:p>
    <w:p>
      <w:pPr/>
      <w:r>
        <w:rPr>
          <w:b/>
        </w:rPr>
        <w:t>Shared claim-specific concepts:</w:t>
      </w:r>
      <w:r>
        <w:t xml:space="preserve"> approach, considerations, they; EU scope visible. This is a provisional connection, not an outcome finding.</w:t>
      </w:r>
    </w:p>
    <w:p>
      <w:pPr>
        <w:pStyle w:val="SourceNote"/>
      </w:pPr>
      <w:r>
        <w:rPr>
          <w:b/>
        </w:rPr>
        <w:t>Available abstract (not full text):</w:t>
      </w:r>
      <w:r>
        <w:t xml:space="preserve"> The purpose of the present paper is to briefly reassess the role of the ECtHR’s case law in its own case law and the approach developed in this respect by the Court. The Court systematically refers to the earlier case law and usually presents its judgments and decisions as a consequence of principles formulated in earlier case law. Following precedent is a matter of free choice of the Court, justified by two main considerations: 1) legal certainty and foreseeability and 2) equality before the law. Following precedents is the default rule, while departing from precedents is a permissible exception requiring a ‘good reason’. At the same time, the Court differentiates the precedential value of its judgments and decisions. Numerous judges feel bound to follow the Grand Chamber case law, even if they disagree with it, whereas others adopt the opposite viewpoint. Separate opinions usually focus on questions related to the correct identification and interpretation of the relevant case law. The Court develops its case law, usually without overtly departing from precedents. The developments often reflect societal change (under Article 8 of the ECHR), whereas the approach of the ECtHR seems more conservative in respect of more ‘technical’ legal issues.</w:t>
      </w:r>
    </w:p>
    <w:p>
      <w:pPr/>
      <w:r>
        <w:rPr>
          <w:b/>
        </w:rPr>
        <w:t>POSSIBLE 2021:</w:t>
      </w:r>
      <w:r>
        <w:t xml:space="preserve"> Insights on the environmental management system of the European port sector — https://doi.org/10.1016/j.scitotenv.2021.150550</w:t>
      </w:r>
    </w:p>
    <w:p>
      <w:pPr/>
      <w:r>
        <w:rPr>
          <w:b/>
        </w:rPr>
        <w:t>Shared claim-specific concepts:</w:t>
      </w:r>
      <w:r>
        <w:t xml:space="preserve"> given, they; EU scope visible. This is a provisional connection, not an outcome finding.</w:t>
      </w:r>
    </w:p>
    <w:p>
      <w:pPr>
        <w:pStyle w:val="SourceNote"/>
      </w:pPr>
      <w:r>
        <w:rPr>
          <w:b/>
        </w:rPr>
        <w:t>Available abstract (not full text):</w:t>
      </w:r>
      <w:r>
        <w:t xml:space="preserve"> This research focusses on assessing the environmental performance of European Ports based on a wide representation of EcoPorts members. The data is extracted from the Self-Diagnosis Method (SDM), a concise checklist against which port managers can self-assess the environmental management of their port in relation to the performance of the EcoPorts membership. A total number of 97 ports from 18 different European Maritime States contributed to this evaluation. They have answered questions related to the main components of internationally recognized Environmental Management System (EMS) standards. Similar periodic assessments have been carried out since 2013, allowing for the identification of benchmark performance. The geographical representation and characteristics of the participating ports are given along with the perceived ranking of priority environmental issues based on regular reviews. Air quality has been the top environmental priority for many years, followed by climate change, which has risen rapidly to the second position. Most of the ports have an environmental policy in place (96%) and a compilation of an inventory of significant environmental aspects (92%). Transparency is also very important to ports, with 91% of ports communicating their environmental policy to stakeholders, and 86% of ports making it publicly available on their website. Around 80% of ports have </w:t>
      </w:r>
    </w:p>
    <w:p>
      <w:pPr/>
      <w:r>
        <w:rPr>
          <w:b/>
        </w:rPr>
        <w:t>POSSIBLE 2021:</w:t>
      </w:r>
      <w:r>
        <w:t xml:space="preserve"> Governing displaced migration in Europe: housing and the role of the “local” — https://doi.org/10.1186/s40878-020-00209-x</w:t>
      </w:r>
    </w:p>
    <w:p>
      <w:pPr/>
      <w:r>
        <w:rPr>
          <w:b/>
        </w:rPr>
        <w:t>Shared claim-specific concepts:</w:t>
      </w:r>
      <w:r>
        <w:t xml:space="preserve"> approach, they; EU scope visible. This is a provisional connection, not an outcome finding.</w:t>
      </w:r>
    </w:p>
    <w:p>
      <w:pPr>
        <w:pStyle w:val="SourceNote"/>
      </w:pPr>
      <w:r>
        <w:rPr>
          <w:b/>
        </w:rPr>
        <w:t>Available abstract (not full text):</w:t>
      </w:r>
      <w:r>
        <w:t xml:space="preserve"> This article will explore the extent to which a focus on the 'local' can tell us something meaningful about recent developments in the governance of displaced migrants and refugees. Taking a multi-sited approach spanning cases in the south and north of Europe, we consider how the challenge of housing and accommodation in particular, a core sector of migrant reception and integration, can shed light on the ways local and city level approaches may negotiate, and sometimes diverge from, national level policy and rhetoric. While it can be said that despite variation, local authorities are by definition ultimately 'always subordinate' (Emilsson, Comparative Migration Studies, 3: 1-17, 2015: 4), they can also show evidence of 'decoupling' across geographies of policy delivery (Pope and Meyer, European Journal of Cultural and Political Sociology, 3: 280-305, 2016: 290). This article traces how possible local variations in different European cases are patterned by ground-level politics, local strategic networks, and pre-existing economic resources in a manner that is empirically detailed through the study of housing.</w:t>
      </w:r>
    </w:p>
    <w:p>
      <w:pPr>
        <w:pStyle w:val="Heading2"/>
      </w:pPr>
      <w:r>
        <w:t>665.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2022:</w:t>
      </w:r>
      <w:r>
        <w:t xml:space="preserve"> Hungarian Participation in JUICE Project of European Space Agency — https://doi.org/10.12700/aph.19.9.2022.9.2</w:t>
      </w:r>
    </w:p>
    <w:p>
      <w:pPr/>
      <w:r>
        <w:rPr>
          <w:b/>
        </w:rPr>
        <w:t>Shared claim-specific concepts:</w:t>
      </w:r>
      <w:r>
        <w:t xml:space="preserve"> hungarian, team, current, out; EU scope visible. This is a provisional connection, not an outcome finding.</w:t>
      </w:r>
    </w:p>
    <w:p>
      <w:pPr>
        <w:pStyle w:val="SourceNote"/>
      </w:pPr>
      <w:r>
        <w:rPr>
          <w:b/>
        </w:rPr>
        <w:t>Available abstract (not full text):</w:t>
      </w:r>
      <w:r>
        <w:t xml:space="preserve"> JUICE -JUpiter ICy moons Explorer -is the first large-class mission of ESA (European Space Agency). Planned for launch in Sept 2022 and arrival at Jupiter in 2029, it will spend at least three years making detailed observations of the giant gaseous planet Jupiter and three of its largest moons, Ganymede, Callisto and Europa.Space technical team developed power supply unit for PEP (Particle Enviroment Package) instrument.PEP and its sensors will examine the plasma environment in the Jovian system.PEP will measure density and fluxes of positive and negative ions, electrons, exospheric neutral gas, thermal plasma and energetic neutral atoms.The nominal onboard voltage is 28 V on the space probe.Space technical team had a job to develop power supply unit DCC (Direct Current Converter) for the sensors of PEP.The job was a great challenge because of the required high reliability and that reliable operation had to be ensured in extreme circumstances.We present in this article the realization of DCC.The DCC required for its tests to develop a special test equipment called EGSE (Electronic Ground Support Equipment).The EGSE was developed by the SGF Ltd. and supports checks of DCC.In this article we present the DCC, the quality insurance methods and the tests carried out by EGSE.</w:t>
      </w:r>
    </w:p>
    <w:p>
      <w:pPr/>
      <w:r>
        <w:rPr>
          <w:b/>
        </w:rPr>
        <w:t>POSSIBLE 2022:</w:t>
      </w:r>
      <w:r>
        <w:t xml:space="preserve"> The genetic origin of Huns, Avars, and conquering Hungarians — https://doi.org/10.1016/j.cub.2022.04.093</w:t>
      </w:r>
    </w:p>
    <w:p>
      <w:pPr/>
      <w:r>
        <w:rPr>
          <w:b/>
        </w:rPr>
        <w:t>Shared claim-specific concepts:</w:t>
      </w:r>
      <w:r>
        <w:t xml:space="preserve"> hungarian, identify, likely; EU scope visible. This is a provisional connection, not an outcome finding.</w:t>
      </w:r>
    </w:p>
    <w:p>
      <w:pPr>
        <w:pStyle w:val="SourceNote"/>
      </w:pPr>
      <w:r>
        <w:rPr>
          <w:b/>
        </w:rPr>
        <w:t>Available abstract (not full text):</w:t>
      </w:r>
      <w:r>
        <w:t xml:space="preserve"> centuries. Based on the historical data, each of these groups are thought to have arrived from Asia, although their exact origin and relation to other ancient and modern populations have been debated. Recently, hundreds of ancient genomes were analyzed from Central Asia, Mongolia, and China, from which we aimed to identify putative source populations for the above-mentioned groups. In this study, we have sequenced 9 Hun, 143 Avar, and 113 Hungarian conquest period samples and identified three core populations, representing immigrants from each period with no recent European ancestry. Our results reveal that this "immigrant core" of both Huns and Avars likely originated in present day Mongolia, and their origin can be traced back to Xiongnus (Asian Huns), as suggested by several historians. On the other hand, the "immigrant core" of the conquering Hungarians derived from an earlier admixture of Mansis, early Sarmatians, and descendants of late Xiongnus. We have also shown that a common "proto-Ugric" gene pool appeared in the Bronze Age from the admixture of Mezhovskaya and Nganasan people, supporting genetic and linguistic data. In addition, we detected shared Hun-related ancestry in numerous Avar and Hungarian conquest period genetic outliers, indicating a genetic link between these successive nomadic groups. Aside from the immigrant core groups, we identified that the majority</w:t>
      </w:r>
    </w:p>
    <w:p>
      <w:pPr/>
      <w:r>
        <w:rPr>
          <w:b/>
        </w:rPr>
        <w:t>POSSIBLE 2022:</w:t>
      </w:r>
      <w:r>
        <w:t xml:space="preserve"> Strategic coupling on the European periphery: A case study of a small Hungarian town — https://doi.org/10.17649/tet.36.3.3424</w:t>
      </w:r>
    </w:p>
    <w:p>
      <w:pPr/>
      <w:r>
        <w:rPr>
          <w:b/>
        </w:rPr>
        <w:t>Shared claim-specific concepts:</w:t>
      </w:r>
      <w:r>
        <w:t xml:space="preserve"> hungarian, key; EU scope visible. This is a provisional connection, not an outcome finding.</w:t>
      </w:r>
    </w:p>
    <w:p>
      <w:pPr>
        <w:pStyle w:val="SourceNote"/>
      </w:pPr>
      <w:r>
        <w:rPr>
          <w:b/>
        </w:rPr>
        <w:t>Available abstract (not full text):</w:t>
      </w:r>
      <w:r>
        <w:t xml:space="preserve"> The FDI-based economic development policies in East-Central Europe and the strategies of transnational firms seeking cost-efficient production locations close to the main markets of the EU have led during the last decades to the integration of the region into different global/regional production networks, mainly in the form of locations for industrial production. While the intensity of re-industrialization largely determines economic growth and spatial socioeconomic inequalities outside metropolitan regions, the long-term success of this model, which tends to result in a dual economy, dependent development, and the ‘middle-income trap’, has been challenged. According to the GPN literature, which comprises the main theoretical basis of our research, the means of integration is the key to understanding the potential outcomes of this economic model. The process seems to depend on the quality of global-local interactions based on enterprise strategies and multi-level regional assets and agency. Our article focuses on making a comparative analysis of two transnational companies in a small peripheral town and uses the concept of strategic coupling as the analytical framework for the interpretation of the global-local interactions and their developmental outcomes. Based on secondary and primary sources, we examine the key assets and actors in the local environment, follow the developm</w:t>
      </w:r>
    </w:p>
    <w:p>
      <w:pPr/>
      <w:r>
        <w:rPr>
          <w:b/>
        </w:rPr>
        <w:t>POSSIBLE 2021:</w:t>
      </w:r>
      <w:r>
        <w:t xml:space="preserve"> Sport and development in Hungary and the Central and Eastern European region — https://doi.org/10.4324/9781003024002-5</w:t>
      </w:r>
    </w:p>
    <w:p>
      <w:pPr/>
      <w:r>
        <w:rPr>
          <w:b/>
        </w:rPr>
        <w:t>Shared claim-specific concepts:</w:t>
      </w:r>
      <w:r>
        <w:t xml:space="preserve"> aim, trends, opportunities; EU scope visible. This is a provisional connection, not an outcome finding.</w:t>
      </w:r>
    </w:p>
    <w:p>
      <w:pPr>
        <w:pStyle w:val="SourceNote"/>
      </w:pPr>
      <w:r>
        <w:rPr>
          <w:b/>
        </w:rPr>
        <w:t>Available abstract (not full text):</w:t>
      </w:r>
      <w:r>
        <w:t xml:space="preserve"> Emerging markets mean business opportunities and a special challenge for companies whose goals are to build business. The aim of this paper is to analyse the trends of the leisure sports markets in the Central and Eastern European (CEE) region, with a special focus on Hungary. Comprehensive data collection was conducted between 2010 and 2019 on the leisure sports markets and people’s physical activity in eight post-soviet countries in our detailed investigation of supply and demand for leisure sport in emerging markets. Our research shows that for emerging countries, the development of the economy generally results in a significant increase in the service sector, including the leisure sport industry (revenues, market size, etc.). However, our results show that the level of physical activity and the number of people involved in leisure sports are not increasing. Furthermore, the number of those who never do sports has increased. Finally, we have found that while spending on sports goods has increased, fewer people are actually spending more. This chapter explores these results, the role of business development, and the responsibility of CEE governments in leisure sports.</w:t>
      </w:r>
    </w:p>
    <w:p>
      <w:pPr>
        <w:pStyle w:val="Heading2"/>
      </w:pPr>
      <w:r>
        <w:t>666.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2023:</w:t>
      </w:r>
      <w:r>
        <w:t xml:space="preserve"> SMART SPECIALIZATION STRATEGY AS AN INNOVATIVE BASIS OF GLOBAL ECONOMIC DEVELOPMENT: EUROPEAN EXPERIENCE — https://doi.org/10.20998/2519-4461.2023.2.95</w:t>
      </w:r>
    </w:p>
    <w:p>
      <w:pPr/>
      <w:r>
        <w:rPr>
          <w:b/>
        </w:rPr>
        <w:t>Shared claim-specific concepts:</w:t>
      </w:r>
      <w:r>
        <w:t xml:space="preserve"> find, specific; EU scope visible. This is a provisional connection, not an outcome finding.</w:t>
      </w:r>
    </w:p>
    <w:p>
      <w:pPr>
        <w:pStyle w:val="SourceNote"/>
      </w:pPr>
      <w:r>
        <w:rPr>
          <w:b/>
        </w:rPr>
        <w:t>Available abstract (not full text):</w:t>
      </w:r>
      <w:r>
        <w:t xml:space="preserve"> The strategy of smart specialization rightly serves as a key reference point for the economic development of individual industries and regions. This study is aimed at analyzing the European experience in applying the strategy of smart specialization as an innovative basis of global economic development. It is becoming increasingly clear that the strategy of smart specialization can fundamentally change the rules for many industries. The research focuses on the fact that by focusing on specific areas of knowledge and developing targeted capabilities, businesses and organizations can find unique niches and gain a competitive advantage. The smart specialization strategy also has drawbacks, as it requires a deep understanding of the industry and a willingness to invest in specialized skills and resources, or may need to move away from broader, more general strategies to achieve smart specialization. However, it is emphasized that the benefits of smart specialization are clear when it comes to standing out in a crowded marketplace, building deeper relationships with customers, and ultimately driving growth. As industries continue to develop and become more complex, the strategy of smart specialization does not lose its relevance, and the European experience of its implementation will be useful for Ukraine.</w:t>
      </w:r>
    </w:p>
    <w:p>
      <w:pPr/>
      <w:r>
        <w:rPr>
          <w:b/>
        </w:rPr>
        <w:t>POSSIBLE 2023:</w:t>
      </w:r>
      <w:r>
        <w:t xml:space="preserve"> Cost-effective adaptation strategies to rising river flood risk in Europe — https://doi.org/10.1038/s41558-022-01540-0</w:t>
      </w:r>
    </w:p>
    <w:p>
      <w:pPr/>
      <w:r>
        <w:rPr>
          <w:b/>
        </w:rPr>
        <w:t>Shared claim-specific concepts:</w:t>
      </w:r>
      <w:r>
        <w:t xml:space="preserve"> find, measures, level; EU scope visible. This is a provisional connection, not an outcome finding.</w:t>
      </w:r>
    </w:p>
    <w:p>
      <w:pPr>
        <w:pStyle w:val="SourceNote"/>
      </w:pPr>
      <w:r>
        <w:rPr>
          <w:b/>
        </w:rPr>
        <w:t>Available abstract (not full text):</w:t>
      </w:r>
      <w:r>
        <w:t xml:space="preserve">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r>
        <w:rPr>
          <w:b/>
        </w:rPr>
        <w:t>POSSIBLE 2023:</w:t>
      </w:r>
      <w:r>
        <w:t xml:space="preserve"> Symmetric or Asymmetric: How is Economic Growth Responding to Global Economic Uncertainty in Africa's Oil Exporters? — https://doi.org/10.18267/j.pep.836</w:t>
      </w:r>
    </w:p>
    <w:p>
      <w:pPr/>
      <w:r>
        <w:rPr>
          <w:b/>
        </w:rPr>
        <w:t>Shared claim-specific concepts:</w:t>
      </w:r>
      <w:r>
        <w:t xml:space="preserve"> find, uncertainty; EU scope visible. This is a provisional connection, not an outcome finding.</w:t>
      </w:r>
    </w:p>
    <w:p>
      <w:pPr>
        <w:pStyle w:val="SourceNote"/>
      </w:pPr>
      <w:r>
        <w:rPr>
          <w:b/>
        </w:rPr>
        <w:t>Available abstract (not full text):</w:t>
      </w:r>
      <w:r>
        <w:t xml:space="preserve"> Motivated by the persistent fall in oil prices due to incessant uncertainty-inducing events in recent years, this study empirically examined if economic growth in Africa's top five oil exporters (Algeria, Angola, Egypt, Libya, and Nigeria) is responding asymmetrically to changes in global economic uncertainty as well as uncertainties from U.S., Europe and China using nonlinear ARDL framework from 1997Q1 to 2021Q4. We find that rising global uncertainty hampers economic growth in these economies, while declining global uncertainty significantly enhances growth in Nigeria, Angola and Libya in the short run, but becomes growth-retarding in the long run. Thus, economic growth responds asymmetrically to global uncertainty, especially in the short run. The findings are robust to U.S., Europe, and China uncertainties, except that economic growth in Libya and Algeria remained unresponsive to U.S. and China uncertainties respectively. We concluded that Africa's oil exporters should embrace policies that can strengthen their resilience to global economic uncertainty as well as uncertainties from U.S., Europe, and China.</w:t>
      </w:r>
    </w:p>
    <w:p>
      <w:pPr/>
      <w:r>
        <w:rPr>
          <w:b/>
        </w:rPr>
        <w:t>POSSIBLE 2022:</w:t>
      </w:r>
      <w:r>
        <w:t xml:space="preserve"> Globalization, Political Institutions, and Redistribution in Central and Eastern Europe — https://doi.org/10.1177/00104140221100199</w:t>
      </w:r>
    </w:p>
    <w:p>
      <w:pPr/>
      <w:r>
        <w:rPr>
          <w:b/>
        </w:rPr>
        <w:t>Shared claim-specific concepts:</w:t>
      </w:r>
      <w:r>
        <w:t xml:space="preserve"> find, effect; EU scope visible. This is a provisional connection, not an outcome finding.</w:t>
      </w:r>
    </w:p>
    <w:p>
      <w:pPr>
        <w:pStyle w:val="SourceNote"/>
      </w:pPr>
      <w:r>
        <w:rPr>
          <w:b/>
        </w:rPr>
        <w:t>Available abstract (not full text):</w:t>
      </w:r>
      <w:r>
        <w:t xml:space="preserve"> We examine the role of political institutions in mediating the effects of globalization on economic redistribution in Central and Eastern Europe. The region represents a least-likely case of welfare state resilience in the face of global economic pressures given its reliance on foreign capital and considerable domestic elite support for neoliberal recipes during the postcommunist transition. Yet, contrary to the race-to-the-bottom hypothesis and consistent with the compensation perspective, we find that economic openness is on average related to higher redistribution. Using the high-quality European Union Statistics on Income and Living Conditions database for 2004–2018, we find that this effect is particularly pronounced in institutional environments where votes are more accurately translated into legislative seats (low disproportionality) and where governments face greater scrutiny both during elections (vertical accountability) and between them (diagonal accountability). Thus, even in a region that adopted “competitive deregulation,” the downward pressures of globalization were limited by electoral pressures for economic redistribution.</w:t>
      </w:r>
    </w:p>
    <w:p>
      <w:pPr/>
      <w:r>
        <w:rPr>
          <w:b/>
        </w:rPr>
        <w:t>POSSIBLE 2021:</w:t>
      </w:r>
      <w:r>
        <w:t xml:space="preserve"> Public attitudes toward economic growth versus environmental sustainability dilemma: Evidence from Europe — https://doi.org/10.1177/00207152211034224</w:t>
      </w:r>
    </w:p>
    <w:p>
      <w:pPr/>
      <w:r>
        <w:rPr>
          <w:b/>
        </w:rPr>
        <w:t>Shared claim-specific concepts:</w:t>
      </w:r>
      <w:r>
        <w:t xml:space="preserve"> find, measures, national, level; EU scope visible. This is a provisional connection, not an outcome finding.</w:t>
      </w:r>
    </w:p>
    <w:p>
      <w:pPr>
        <w:pStyle w:val="SourceNote"/>
      </w:pPr>
      <w:r>
        <w:rPr>
          <w:b/>
        </w:rPr>
        <w:t>Available abstract (not full text):</w:t>
      </w:r>
      <w:r>
        <w:t xml:space="preserve"> As global warming and other environmental threats intensify and become more visible, scientists are increasingly questioning the desirability of economic growth as an overarching national and global policy imperative. Several theories in environmental sociology and economics—degrowth, steady-state economy, and “agrowth”—offer compelling arguments that environmental sustainability and continuous economic growth are incompatible. However, there is a shortage of empirical evidence about public opinion on the growth versus environment dilemma, despite its great relevance for the social legitimacy of governments’ approach to the issue. In this article, we aim to narrow this research gap by applying multilevel models to data from the 2017 European Values Study (EVS). We find that the idea of sacrificing a certain level of growth for the sake of the environment receives high levels of support in most European countries. Nevertheless, within countries, we find clear indications of social divides in opinions regarding the growth versus environment dilemma: post-materialists, politically left-leaning people, the better-off, and the higher-educated are in favor of reduced growth, whereas materialists, right-wing individuals, and disadvantaged groups prioritize the economy over ecological concerns. At the country level, economic affluence is associated with greater support for reduced grow</w:t>
      </w:r>
    </w:p>
    <w:p>
      <w:pPr/>
      <w:r>
        <w:rPr>
          <w:b/>
        </w:rPr>
        <w:t>POSSIBLE 2021:</w:t>
      </w:r>
      <w:r>
        <w:t xml:space="preserve"> The impact of stock market integration on economic growth in Asia and Europe regions — https://doi.org/10.1063/5.0075998</w:t>
      </w:r>
    </w:p>
    <w:p>
      <w:pPr/>
      <w:r>
        <w:rPr>
          <w:b/>
        </w:rPr>
        <w:t>Shared claim-specific concepts:</w:t>
      </w:r>
      <w:r>
        <w:t xml:space="preserve"> find, index; EU scope visible. This is a provisional connection, not an outcome finding.</w:t>
      </w:r>
    </w:p>
    <w:p>
      <w:pPr>
        <w:pStyle w:val="SourceNote"/>
      </w:pPr>
      <w:r>
        <w:rPr>
          <w:b/>
        </w:rPr>
        <w:t>Available abstract (not full text):</w:t>
      </w:r>
      <w:r>
        <w:t xml:space="preserve"> The global increased of market integration for the past few decades has been staggering. Although numerous research have shown market integration as one of the main drivers of economic growth, existing literature has yet to find a conclusive result. Hence, this study examines the impact of stock market integration on economic growth in 32 countries of Asia and Europe regions. The study utilizes the Kalman Filter method to generate the stock market integration index and heterogenous panel models to investigate its relationship towards economic growth. Overall, the result shows that stock market integration has positive impact on economic growth in Asia and Europe high-income countries. However, the impact is not significant in Asia Middle-Income Countries, which suggest the insufficient absorptive capacities in these countries to benefit from the market integration. Such findings call for more appropriate market liberalization policies that fits the economic environment and geographical location of these countries.</w:t>
      </w:r>
    </w:p>
    <w:p>
      <w:pPr/>
      <w:r>
        <w:rPr>
          <w:b/>
        </w:rPr>
        <w:t>POSSIBLE 2021:</w:t>
      </w:r>
      <w:r>
        <w:t xml:space="preserve"> Global economic impacts of COVID-19 lockdown measures stand out in high-frequency shipping data — https://doi.org/10.1371/journal.pone.0248818</w:t>
      </w:r>
    </w:p>
    <w:p>
      <w:pPr/>
      <w:r>
        <w:rPr>
          <w:b/>
        </w:rPr>
        <w:t>Shared claim-specific concepts:</w:t>
      </w:r>
      <w:r>
        <w:t xml:space="preserve"> find, specific, measures, effect; EU scope visible. This is a provisional connection, not an outcome finding.</w:t>
      </w:r>
    </w:p>
    <w:p>
      <w:pPr>
        <w:pStyle w:val="SourceNote"/>
      </w:pPr>
      <w:r>
        <w:rPr>
          <w:b/>
        </w:rPr>
        <w:t>Available abstract (not full text):</w:t>
      </w:r>
      <w:r>
        <w:t xml:space="preserve"> The implementation of large-scale containment measures by governments to contain the spread of the COVID-19 virus has resulted in large impacts to the global economy. Here, we derive a new high-frequency indicator of economic activity using empirical vessel tracking data, and use it to estimate the global maritime trade losses during the first eight months of the pandemic. We go on to use this high-frequency dataset to infer the effect of individual non-pharmaceutical interventions on maritime exports, which we use as a proxy of economic activity. Our results show widespread port-level trade losses, with the largest absolute losses found for ports in China, the Middle-East and Western Europe, associated with the collapse of specific supply-chains (e.g. oil, vehicle manufacturing). In total, we estimate that global maritime trade reduced by -7.0% to -9.6% during the first eight months of 2020, which is equal to around 206-286 million tonnes in volume losses and up to 225-412 billion USD in value losses. We find large sectoral and geographical disparities in impacts. Manufacturing sectors are hit hardest, with losses up to 11.8%, whilst some small islands developing states and low-income economies suffered the largest relative trade losses. Moreover, we find a clear negative impact of COVID-19 related school and public transport closures on country-wide exports. Overall, we show </w:t>
      </w:r>
    </w:p>
    <w:p>
      <w:pPr/>
      <w:r>
        <w:rPr>
          <w:b/>
        </w:rPr>
        <w:t>POSSIBLE 2021:</w:t>
      </w:r>
      <w:r>
        <w:t xml:space="preserve"> How resilient is health financing policy in Europe to economic shocks? Evidence from the first year of the COVID-19 pandemic and the 2008 global financial crisis — https://doi.org/10.1016/j.healthpol.2021.11.002</w:t>
      </w:r>
    </w:p>
    <w:p>
      <w:pPr/>
      <w:r>
        <w:rPr>
          <w:b/>
        </w:rPr>
        <w:t>Shared claim-specific concepts:</w:t>
      </w:r>
      <w:r>
        <w:t xml:space="preserve"> find, national; EU scope visible. This is a provisional connection, not an outcome finding.</w:t>
      </w:r>
    </w:p>
    <w:p>
      <w:pPr>
        <w:pStyle w:val="SourceNote"/>
      </w:pPr>
      <w:r>
        <w:rPr>
          <w:b/>
        </w:rPr>
        <w:t>Available abstract (not full text):</w:t>
      </w:r>
      <w:r>
        <w:t xml:space="preserve"> The COVID-19 pandemic triggered an economic shock just ten years after the shock of the 2008 global financial crisis. Economic shocks are a challenge for health systems because they reduce government revenue at the same time as they increase the need for publicly financed health care. This article explores the resilience of health financing policy to economic shocks by reviewing policy responses to the financial crisis and COVID-19 in Europe. It finds that some health systems were weakened by responses to the 2008 crisis. Responses to the pandemic show evidence of lessons learnt from the earlier crisis but also reveal weaknesses in health financing policy that limit national preparedness to face economic shocks, particularly in countries with social health insurance schemes. These weaknesses highlight where permanent changes are needed to strengthen resilience in future: countries will have to find ways to reduce cyclicality in coverage policy and revenue-raising; increase the priority given to health in allocating public spending; and ensure that resources are used to meet equity and efficiency goals. Although many health systems are likely to face budgetary pressure in the years ahead, the experience of the 2008 crisis shows that austerity is not an option because it undermines resilience and progress towards universal health coverage.</w:t>
      </w:r>
    </w:p>
    <w:p>
      <w:pPr>
        <w:pStyle w:val="Heading2"/>
      </w:pPr>
      <w:r>
        <w:t>667.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2024:</w:t>
      </w:r>
      <w:r>
        <w:t xml:space="preserve"> Climate change and economic growth: Evidence for European countries — https://doi.org/10.1111/ajes.12605</w:t>
      </w:r>
    </w:p>
    <w:p>
      <w:pPr/>
      <w:r>
        <w:rPr>
          <w:b/>
        </w:rPr>
        <w:t>Shared claim-specific concepts:</w:t>
      </w:r>
      <w:r>
        <w:t xml:space="preserve"> different, methods; EU scope visible. This is a provisional connection, not an outcome finding.</w:t>
      </w:r>
    </w:p>
    <w:p>
      <w:pPr>
        <w:pStyle w:val="SourceNote"/>
      </w:pPr>
      <w:r>
        <w:rPr>
          <w:b/>
        </w:rPr>
        <w:t>Available abstract (not full text):</w:t>
      </w:r>
      <w:r>
        <w:t xml:space="preserve"> Abstract Climate change may affect economies and the welfare of people around the world. To design appropriate policy responses, the economic effects of climate change should be known. One strand in the literature empirically estimates the growth effects of climatic variations. However, those studies often neglect economic variables that have proven to be robust in explaining economic growth. Further, often they fail to check for the robustness of their results. The main aim of this study is to detect whether there exists a statistically significant robust relation between climate change and economic growth by estimating different model specifications. To do so panel estimation techniques for 24 European economies for the period from 2002 to 2019 are applied whereby panel fixed effects estimations and dynamic Generalized Methods of Moments estimations are resorted to. No statistically significant robust relationship between the temperature change and economic growth is found just as for precipitation that does not exert a significant effect on growth. As regards the institutional and macroeconomic control variables the rule of law, the fiscal variable, and the output gap are statistically significant and robust. It is argued that far‐reaching policy measures, such as the net zero goal of the European Union, should be given only based on robust results. Otherwise, economic polic</w:t>
      </w:r>
    </w:p>
    <w:p>
      <w:pPr/>
      <w:r>
        <w:rPr>
          <w:b/>
        </w:rPr>
        <w:t>POSSIBLE 2023:</w:t>
      </w:r>
      <w:r>
        <w:t xml:space="preserve"> Digitalisation and Economic Growth in the European Union — https://doi.org/10.3390/electronics12071718</w:t>
      </w:r>
    </w:p>
    <w:p>
      <w:pPr/>
      <w:r>
        <w:rPr>
          <w:b/>
        </w:rPr>
        <w:t>Shared claim-specific concepts:</w:t>
      </w:r>
      <w:r>
        <w:t xml:space="preserve"> empirical, take, consideration; EU scope visible. This is a provisional connection, not an outcome finding.</w:t>
      </w:r>
    </w:p>
    <w:p>
      <w:pPr>
        <w:pStyle w:val="SourceNote"/>
      </w:pPr>
      <w:r>
        <w:rPr>
          <w:b/>
        </w:rPr>
        <w:t>Available abstract (not full text):</w:t>
      </w:r>
      <w:r>
        <w:t xml:space="preserve">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pPr/>
      <w:r>
        <w:rPr>
          <w:b/>
        </w:rPr>
        <w:t>POSSIBLE 2022:</w:t>
      </w:r>
      <w:r>
        <w:t xml:space="preserve"> The impact of financial systems on economic growth in European Union member countries — https://doi.org/10.2478/picbe-2022-0068</w:t>
      </w:r>
    </w:p>
    <w:p>
      <w:pPr/>
      <w:r>
        <w:rPr>
          <w:b/>
        </w:rPr>
        <w:t>Shared claim-specific concepts:</w:t>
      </w:r>
      <w:r>
        <w:t xml:space="preserve"> different, case; EU scope visible. This is a provisional connection, not an outcome finding.</w:t>
      </w:r>
    </w:p>
    <w:p>
      <w:pPr>
        <w:pStyle w:val="SourceNote"/>
      </w:pPr>
      <w:r>
        <w:rPr>
          <w:b/>
        </w:rPr>
        <w:t>Available abstract (not full text):</w:t>
      </w:r>
      <w:r>
        <w:t xml:space="preserve"> Abstract As the economy develops, self-financed capital investments are less frequent, being replaced by financing through banking intermediation and later through capital markets. The development of financial systems has a positive effect on the mobilization of resources, improving corporate governance and risk management, leading to economic growth. The preponderance of previous research papers shows a positive relationship between financial development and economic growth. Studies using cross-sectional methodologies discover almost unanimously a positive link between financial development and economic growth, while studies with methodologies based on time series, panel data or case studies reach different conclusions depending on the period considered, the countries’ initial level of development and the structure of the financial systems. The purpose of this paper is to investigate the impact of financial systems on economic growth using panel regressions based on annual data regarding measures of financial development for the member countries of the European Union, for the period 1990-2020. The findings show that the development of the financial systems, through the activity of banks and capital markets, has a positive effect on the allocation of resources, the mobilization of savings and the efficient management of risks, leading in turn to economic growth if there is a co</w:t>
      </w:r>
    </w:p>
    <w:p>
      <w:pPr/>
      <w:r>
        <w:rPr>
          <w:b/>
        </w:rPr>
        <w:t>POSSIBLE 2022:</w:t>
      </w:r>
      <w:r>
        <w:t xml:space="preserve"> Analyzing the Level of Digitalization among the Enterprises of the European Union Member States and Their Impact on Economic Growth — https://doi.org/10.3390/joitmc8020070</w:t>
      </w:r>
    </w:p>
    <w:p>
      <w:pPr/>
      <w:r>
        <w:rPr>
          <w:b/>
        </w:rPr>
        <w:t>Shared claim-specific concepts:</w:t>
      </w:r>
      <w:r>
        <w:t xml:space="preserve"> both, issue; EU scope visible. This is a provisional connection, not an outcome finding.</w:t>
      </w:r>
    </w:p>
    <w:p>
      <w:pPr>
        <w:pStyle w:val="SourceNote"/>
      </w:pPr>
      <w:r>
        <w:rPr>
          <w:b/>
        </w:rPr>
        <w:t>Available abstract (not full text):</w:t>
      </w:r>
      <w:r>
        <w:t xml:space="preserve"> The dynamic development of information and communication technology (ICT) reported in recent years has caused significant changes in almost all areas of social and economic life. The digitalization process resulting from this development is now becoming a determinant of both progress and modernity. This issue has been addressed in this paper, and thereby we present a methodology developed to study the level of digitalization and the use of innovative technologies among the enterprises of the EU-27 countries. The research was conducted using selected indicators—determinants (10) characterizing the main digital technologies and infrastructure associated with their implementation in the enterprises under study. Based on these indicators, the Entropy-Multi-Objective Optimization on the basis of Ratio Analysis (MOORA) method was used to determine the index (level) of digitalization among the companies of the EU-27. The level of use of digital technologies and infrastructure for Industry 4.0 was also determined. Another important goal of the study was to determine a relationship between the values of the digitalization index for the EU-27 countries and the economic parameters characterizing their economies. For this analysis, non-parametric tests such as the Kendall’s Tau and Spearman’s rank correlation coefficients were applied. The results significantly enrich the knowledge of meth</w:t>
      </w:r>
    </w:p>
    <w:p>
      <w:pPr>
        <w:pStyle w:val="Heading2"/>
      </w:pPr>
      <w:r>
        <w:t>668.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2024:</w:t>
      </w:r>
      <w:r>
        <w:t xml:space="preserve"> True nature of hybrid work — https://doi.org/10.3389/forgp.2024.1448894</w:t>
      </w:r>
    </w:p>
    <w:p>
      <w:pPr/>
      <w:r>
        <w:rPr>
          <w:b/>
        </w:rPr>
        <w:t>Shared claim-specific concepts:</w:t>
      </w:r>
      <w:r>
        <w:t xml:space="preserve"> nature, work, them, influence; EU scope visible. This is a provisional connection, not an outcome finding.</w:t>
      </w:r>
    </w:p>
    <w:p>
      <w:pPr>
        <w:pStyle w:val="SourceNote"/>
      </w:pPr>
      <w:r>
        <w:rPr>
          <w:b/>
        </w:rPr>
        <w:t>Available abstract (not full text):</w:t>
      </w:r>
      <w:r>
        <w:t xml:space="preserve"> Introduction This article reviews the discussion concerning hybrid work (HW) during and after the pandemic. We argue that understanding hybrid work as simply dividing working time between an office and another location limits the potential of organizing work sustainably based on organizations' goals and employee needs. Understanding the core nature of hybridity as a flexible and systemic entity and a “combination of two or more things” impacting work outcomes such as wellbeing and performance opens a much richer view of organizing work now and in the future. The critical questions are: What is the core nature of hybridity when two or more things are combined in work, and what factors influence configuring them? Moreover, what are their potential wellbeing and performance outcomes? Methods To discover core elements, we reviewed how the HW concept was defined in consulting companies' publications, business journals, and international organizations' publications, mainly focusing on challenges and opportunities for hybrid work during COVID-19. We also analyzed how the concept was used in European questionnaire findings from 27 EU countries during the pandemic. The potential wellbeing and performance outcomes were studied using a sample of prior literature reviews on remote and telework. To identify “Two or more things” in the discussions, we broke down the HW concepts into the phys</w:t>
      </w:r>
    </w:p>
    <w:p>
      <w:pPr/>
      <w:r>
        <w:rPr>
          <w:b/>
        </w:rPr>
        <w:t>POSSIBLE 2024:</w:t>
      </w:r>
      <w:r>
        <w:t xml:space="preserve"> Nature of Work of Accountants: The Case of Accounting Service Firms in Hanoi, Vietnam — https://doi.org/10.25105/ijsmebs.v6i1.20525</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In accounting service firms in Hanoi, nature of work of accountants is consistent with the accountants, but not fully. The main objective of this study was to identify, evaluate, and to measure the attributes of nature of work of accountants in accounting service firms in Hanoi, Vietnam. The study was based on a field survey using a semi-structured questionnaire on a sample of 150 accountants. But only 120 filled questionnaires were satisfactory and therefore included in the analysis. By using seceral statistical analytical tools, i.e. descriptive statistics, Cronbach’s Alpha analysis, Independent t-test and ANOVA, the study has identified and measured five (5) attributes of nature of work of accountants in accounting service firms in Hanoi, Vietnam that have great effects on employees (or in this case study, accountants). There is not, statistically, significant difference in the level of nature of work of accountants in accounting service firms in Hanoi from these different genders and between the mentioned three groups of age. Based on the findings, some recommendations are given for accounting service firms to improve the nature of work of accountants.</w:t>
      </w:r>
    </w:p>
    <w:p>
      <w:pPr/>
      <w:r>
        <w:rPr>
          <w:b/>
        </w:rPr>
        <w:t>POSSIBLE 2024:</w:t>
      </w:r>
      <w:r>
        <w:t xml:space="preserve"> Nature, society, man, and culture in the system of being (1980) — https://doi.org/10.33910/2687-1262-2024-6-3-196-206</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article is based on the authorized copy of M. S. Kagan’s book ‘Systematic Approach and Humanitarian Knowledge’ (1991). It incorporates the hand-written edits made to the book by Kagan himself. The work is an attempt to understand the principles of structuring being. It discusses the relevant system of categories and the relationship between such concepts as nature, society, man, and culture. The author criticizes the ideas that lead to the dissolution of society in culture and the dissolution of society in nature. Kagan proposes a four-member principle of ontology. According to him, the identification of four basic forms of being — nature, society, man, and culture — allows us to overcome all types of reductionism (spiritualistic, psychological, biological, sociological). At the same time, this approach allows to maintain a monistic understanding of the material unity of the world and reveal the dialectic of the general and the particular in all the four specific forms of the motion of matter. The article describes theoretical consequences, practical significance and ideological meaning of Kagan’s tetra-based principle of ontology. A special focus is given to the prospects that this ontological principle opens up for the structural analysis of scientific knowledge, the organization of its various fields and the classification of sciences. The article emphasizes the relevanc</w:t>
      </w:r>
    </w:p>
    <w:p>
      <w:pPr/>
      <w:r>
        <w:rPr>
          <w:b/>
        </w:rPr>
        <w:t>POSSIBLE 2023:</w:t>
      </w:r>
      <w:r>
        <w:t xml:space="preserve"> Kant on Freedom, Nature, and Judgment — https://doi.org/10.1017/9781009036634</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Kant's Critique of Judgment seems not to be an obviously unified work. Unlike other attempts to comprehend it as a unity, which treat it as serving either practical or theoretical interests, Kristi Sweet's book posits it as examining a genuinely independent sphere of human life. In her in-depth account of Kant's Critical philosophical system, Sweet argues that the Critique addresses the question: for what may I hope? The answer is given in Kant's account of 'territory,' a region of experience that both underlies and mediates between freedom and nature. Territory forms the context in which purposiveness without a purpose, the Ideal of Beauty, the sensus communis, genius and aesthetic ideas, and Kant's conception of life and proof of God are best interpreted. Encounters in this sphere are shown to refer us to a larger, more cosmic sense of a whole to which both freedom and nature belong.</w:t>
      </w:r>
    </w:p>
    <w:p>
      <w:pPr/>
      <w:r>
        <w:rPr>
          <w:b/>
        </w:rPr>
        <w:t>POSSIBLE 2023:</w:t>
      </w:r>
      <w:r>
        <w:t xml:space="preserve"> Metabolic politics: Industrial relations as if nature mattered — https://doi.org/10.31235/osf.io/wxb3s</w:t>
      </w:r>
    </w:p>
    <w:p>
      <w:pPr/>
      <w:r>
        <w:rPr>
          <w:b/>
        </w:rPr>
        <w:t>Shared claim-specific concepts:</w:t>
      </w:r>
      <w:r>
        <w:t xml:space="preserve"> nature, work, they; EU scope not established. This is a provisional connection, not an outcome finding.</w:t>
      </w:r>
    </w:p>
    <w:p>
      <w:pPr>
        <w:pStyle w:val="SourceNote"/>
      </w:pPr>
      <w:r>
        <w:rPr>
          <w:b/>
        </w:rPr>
        <w:t>Available abstract (not full text):</w:t>
      </w:r>
      <w:r>
        <w:t xml:space="preserve"> Work is at the center of the social metabolism with nature. This means that industrial relations (IR) are always also environmental politics. This article reviews core contributions to IR literature, showing that they do not systematically address this role of nature and separate the politics of work from their ecological basis. Against this backdrop, the article develops an interdisciplinary approach, combining IR studies with geographical as well as historical perspectives. Drawing on these fields, it presents the concept of metabolic politics in which nature is an autonomous party of IR. This approach allows analysis to take into account systematically the effects of IR on nonhuman nature as well as nature's own shaping of IR. Such an interdisciplinary approach is necessary to understand the entanglement of IR with climate change and the broader ecological crisis.</w:t>
      </w:r>
    </w:p>
    <w:p>
      <w:pPr/>
      <w:r>
        <w:rPr>
          <w:b/>
        </w:rPr>
        <w:t>POSSIBLE 2023:</w:t>
      </w:r>
      <w:r>
        <w:t xml:space="preserve"> Reinventing Work Nature: The Changing Work Landscape in Malayalam Architecture Magazines in the Post-COVID-19 Pandemic Era — https://doi.org/10.52783/tjjpt.v44.i3.719</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COVID-19 pandemic has profoundly impacted various industries, including the field of architecture magazines. This study aims to analyze the ramifications of the pandemic on the work nature of architecture magazines, with particular attention given to the editorial, business, and mechanical departments. By utilizing a qualitative research approach involving in-depth interviews with experts, this research investigates the changes that have transpired within the nature of work in architecture magazines as a direct response to the pandemic. Many changes have occurred. Findings from this study contribute to a deeper understanding of the changes and transformations within the architecture magazine industry, shedding light on the evolving work nature, strategies, and practices in the post-pandemic era. The insights gained will inform the key players such as stakeholders and advertisers to navigate the multifaceted challenges within the media landscape, reinforcing the resilience of magazine organizations and paving the way for sustained growth in the future.</w:t>
      </w:r>
    </w:p>
    <w:p>
      <w:pPr/>
      <w:r>
        <w:rPr>
          <w:b/>
        </w:rPr>
        <w:t>POSSIBLE 2022:</w:t>
      </w:r>
      <w:r>
        <w:t xml:space="preserve"> The Nature of Work in the Media Industries: A Literature Review and Future Directions — https://doi.org/10.3390/journalmedia3010013</w:t>
      </w:r>
    </w:p>
    <w:p>
      <w:pPr/>
      <w:r>
        <w:rPr>
          <w:b/>
        </w:rPr>
        <w:t>Shared claim-specific concepts:</w:t>
      </w:r>
      <w:r>
        <w:t xml:space="preserve"> given, nature, work, potentially, over, approaches; EU scope not established. This is a provisional connection, not an outcome finding.</w:t>
      </w:r>
    </w:p>
    <w:p>
      <w:pPr>
        <w:pStyle w:val="SourceNote"/>
      </w:pPr>
      <w:r>
        <w:rPr>
          <w:b/>
        </w:rPr>
        <w:t>Available abstract (not full text):</w:t>
      </w:r>
      <w:r>
        <w:t xml:space="preserve"> Media work is a culture-making activity affecting the ways people understand the world and, therefore, workers in the media industries have a critical role in shaping collective memories, traditions, and belief systems. While studies regarding the characteristics impacting the nature of work in the media industries have significantly been increasing over the last years, the literature in this area remains highly fragmented. This paper begins to address that shortcoming by conducting an in-depth review of 36 scholarly papers in influential journals published from 2006 to 2020 to provide a comprehensive view of the literature and its approaches. This study elaborates on the concept of media work by organizing previous efforts into five subthemes, including commonalities, contested terrain, gendered profession, emerging practices, and influencing factors. Previous research has emphasized that media workers’ subjective experiences need to be explored further and more in-depth; however, if we wish to depict a more holistic but realistic picture, those experiences should be contextualized and thus linked with the specific organizational configurations and macro structures in which media work is embedded. The present review depicts how work in the media may take different meanings when addressing it through various theoretical frameworks. Our study can enrich future studies regarding </w:t>
      </w:r>
    </w:p>
    <w:p>
      <w:pPr/>
      <w:r>
        <w:rPr>
          <w:b/>
        </w:rPr>
        <w:t>POSSIBLE 2022:</w:t>
      </w:r>
      <w:r>
        <w:t xml:space="preserve"> Automation and the Changing Nature of Work — https://doi.org/10.1371/journal.pone.0266326</w:t>
      </w:r>
    </w:p>
    <w:p>
      <w:pPr/>
      <w:r>
        <w:rPr>
          <w:b/>
        </w:rPr>
        <w:t>Shared claim-specific concepts:</w:t>
      </w:r>
      <w:r>
        <w:t xml:space="preserve"> nature, work, they; EU scope visible. This is a provisional connection, not an outcome finding.</w:t>
      </w:r>
    </w:p>
    <w:p>
      <w:pPr>
        <w:pStyle w:val="SourceNote"/>
      </w:pPr>
      <w:r>
        <w:rPr>
          <w:b/>
        </w:rPr>
        <w:t>Available abstract (not full text):</w:t>
      </w:r>
      <w:r>
        <w:t xml:space="preserve"> This study identifies the job attributes, and in particular skills and abilities, which predict the likelihood a job is recently automatable drawing on the Josten and Lordan (2020) classification of automatability, EU labour force survey data and a machine learning regression approach. We find that skills and abilities which relate to non-linear abstract thinking are those that are the safest from automation. We also find that jobs that require 'people' engagement interacted with 'brains' are also less likely to be automated. The skills that are required for these jobs include soft skills. Finally, we find that jobs that require physically making objects or physicality more generally are most likely to be automated unless they involve interaction with 'brains' and/or 'people'.</w:t>
      </w:r>
    </w:p>
    <w:p>
      <w:pPr/>
      <w:r>
        <w:rPr>
          <w:b/>
        </w:rPr>
        <w:t>POSSIBLE 2022:</w:t>
      </w:r>
      <w:r>
        <w:t xml:space="preserve"> Nature, Work, and Transcendence — https://doi.org/10.1515/ejss-2022-2067</w:t>
      </w:r>
    </w:p>
    <w:p>
      <w:pPr/>
      <w:r>
        <w:rPr>
          <w:b/>
        </w:rPr>
        <w:t>Shared claim-specific concepts:</w:t>
      </w:r>
      <w:r>
        <w:t xml:space="preserve"> nature, work, they, them; EU scope visible. This is a provisional connection, not an outcome finding.</w:t>
      </w:r>
    </w:p>
    <w:p>
      <w:pPr>
        <w:pStyle w:val="SourceNote"/>
      </w:pPr>
      <w:r>
        <w:rPr>
          <w:b/>
        </w:rPr>
        <w:t>Available abstract (not full text):</w:t>
      </w:r>
      <w:r>
        <w:t xml:space="preserve"> Abstract This article analyzes the function of Christian intertexts in Selma Lagerlöf’sNils Holgersson’s Marvelous Journey Through Sweden(1906/7). The intertexts structure the story both narratively and ethically. For the most part, however, they are not explicitly used as Christian. The intention of the book is not to transmit these stories, but to translate them into the new, national discourse. They were stripped of their original religious context and placed in the service of what might be called a national religion. In this process, the loss of the Christian framework did not mean the abolition of central ethical elements that were significant for Protestant practice. In particular, the pietistic heritage of a work ethic, the necessity of learning and education in order to become a true Christian – or, in its secular version, a true human citizen of the world with respect for others, taking responsibility for one’s own life and that of others, being humble and industrious – are central to the propagated morality of Nils Holgersson’s travelling school. Moreover, the transition from vertically to horizontally ordered space in the course of nationalizing the organization of the imagined community of Sweden seems to demand that the location of metaphysical transcendence be moved from heaven to earth; nature takes the place of the divine.</w:t>
      </w:r>
    </w:p>
    <w:p>
      <w:pPr/>
      <w:r>
        <w:rPr>
          <w:b/>
        </w:rPr>
        <w:t>POSSIBLE 2022:</w:t>
      </w:r>
      <w:r>
        <w:t xml:space="preserve"> Principles for urban nature-based solutions — https://doi.org/10.1007/s13280-021-01685-w</w:t>
      </w:r>
    </w:p>
    <w:p>
      <w:pPr/>
      <w:r>
        <w:rPr>
          <w:b/>
        </w:rPr>
        <w:t>Shared claim-specific concepts:</w:t>
      </w:r>
      <w:r>
        <w:t xml:space="preserve"> given, nature, work, application; EU scope not established. This is a provisional connection, not an outcome finding.</w:t>
      </w:r>
    </w:p>
    <w:p>
      <w:pPr>
        <w:pStyle w:val="SourceNote"/>
      </w:pPr>
      <w:r>
        <w:rPr>
          <w:b/>
        </w:rPr>
        <w:t>Available abstract (not full text):</w:t>
      </w:r>
      <w:r>
        <w:t xml:space="preserve"> Nature-based solutions (NBS) were introduced as integrated, multifunctional and multi-beneficial solutions to a wide array of socio-ecological challenges. Although principles for a common understanding and implementation of NBS were already developed on a landscape scale, specific principles are needed with regard to an application in urban areas. Urban areas come with particular challenges including (i) spatial conflicts with urban system nestedness, (ii) specific urban biodiversity, fragmentation and altered environments, (iii) value plurality, multi-actor interdependencies and environmental injustices, (iv) path-dependencies with cultural and planning legacies and (v) a potential misconception of cities as being artificial landscapes disconnected from nature. Given these challenges, in this perspective paper, we build upon and integrate knowledge from the most recent academic work on NBS in urban areas and introduce five distinct, integrated principles for urban NBS design, planning and implementation. Our five principles should help to transcend governance gaps and advance the scientific discourse of urban NBS towards a more effective and sustainable urban development. To contribute to resilient urban futures, the design, planning, policy and governance of NBS should (1) consider the need for a systemic understanding, (2) contribute to benefiting people and biodiversity, (3</w:t>
      </w:r>
    </w:p>
    <w:p>
      <w:pPr>
        <w:pStyle w:val="Heading2"/>
      </w:pPr>
      <w:r>
        <w:t>669.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2021:</w:t>
      </w:r>
      <w:r>
        <w:t xml:space="preserve"> The Contraction of European Economic Distances through Sustainable Tourism in the Pre-Pandemic Period — https://doi.org/10.2478/zireb-2021-0013</w:t>
      </w:r>
    </w:p>
    <w:p>
      <w:pPr/>
      <w:r>
        <w:rPr>
          <w:b/>
        </w:rPr>
        <w:t>Shared claim-specific concepts:</w:t>
      </w:r>
      <w:r>
        <w:t xml:space="preserve"> period, other; EU scope visible. This is a provisional connection, not an outcome finding.</w:t>
      </w:r>
    </w:p>
    <w:p>
      <w:pPr>
        <w:pStyle w:val="SourceNote"/>
      </w:pPr>
      <w:r>
        <w:rPr>
          <w:b/>
        </w:rPr>
        <w:t>Available abstract (not full text):</w:t>
      </w:r>
      <w:r>
        <w:t xml:space="preserve"> Abstract The current importance of tourism leads us to analyze the extent to which the receipts from international tourism, and tourism in general, influence the capacity of European countries to reduce the development gaps of this sector in the European context and the extent to which the economic growth is sensitive to changes in tourist arrivals, tourism receipts and expenditures. Studying the GDP per capita and the receipts from international tourism for the period 1995-2017, we find that the European tourism has an important role in economy but secondary to capital stock and exports. The methodology used is a sensitivity analysis and a multiple linear regression with two models. The results show that, on short term, the gap in the European tourism sector is explained by the ability to attract income from the international tourism. The European growth of the tourism sector depends to a large extent on the amount of expenditures that tourists are making, on tourism receipts and, to a lesser extent, on tourist arrivals, but in all cases, the connection is a direct and positive one but, even so, the capital stock and the exports continue to play a very important role for the European economy. The analysis suggests that tourism is not a panacea for growth. On the contrary, it is one of the activities that stimulate growth along with investments, technology, or any other form of</w:t>
      </w:r>
    </w:p>
    <w:p>
      <w:pPr/>
      <w:r>
        <w:rPr>
          <w:b/>
        </w:rPr>
        <w:t>POSSIBLE 2021:</w:t>
      </w:r>
      <w:r>
        <w:t xml:space="preserve"> Storm and fire disturbances in Europe: Distribution and trends — https://doi.org/10.1111/gcb.15679</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Abiotic forest disturbances are an important driver of ecosystem dynamics. In Europe, storms and fires have been identified as the most important abiotic disturbances in the recent past. Yet, how strongly these agents drive local disturbance regimes compared to other agents (e.g., biotic, human) remains unresolved. Furthermore, whether storms and fires are responsible for the observed increase in forest disturbances in Europe is debated. Here, we provide quantitative evidence for the prevalence of storm and fire disturbances in Europe 1986-2016. For 27 million disturbance patches mapped from satellite data, we determined whether they were caused by storm or fire, using a random forest classifier and a large reference dataset of true disturbance occurrences. We subsequently analyzed patterns of disturbance prevalence (i.e., the share of an agent on the overall area disturbed) in space and time. Storm- and fire-related disturbances each accounted for approximately 7% of all disturbances recorded in Europe in the period 1986-2016. Storm-related disturbances were most prevalent in western and central Europe, where they locally accounted for &gt;50% of all disturbances, but we also identified storm-related disturbances in south-eastern and eastern Europe. Fire-related disturbances were a major disturbance agent in southern and south-eastern Europe, but fires also occurred in eastern an</w:t>
      </w:r>
    </w:p>
    <w:p>
      <w:pPr/>
      <w:r>
        <w:rPr>
          <w:b/>
        </w:rPr>
        <w:t>POSSIBLE 2021:</w:t>
      </w:r>
      <w:r>
        <w:t xml:space="preserve"> Western Europe — https://doi.org/10.1017/9781316671603.003</w:t>
      </w:r>
    </w:p>
    <w:p>
      <w:pPr/>
      <w:r>
        <w:rPr>
          <w:b/>
        </w:rPr>
        <w:t>Shared claim-specific concepts:</w:t>
      </w:r>
      <w:r>
        <w:t xml:space="preserve"> period, suggested; EU scope visible. This is a provisional connection, not an outcome finding.</w:t>
      </w:r>
    </w:p>
    <w:p>
      <w:pPr>
        <w:pStyle w:val="SourceNote"/>
      </w:pPr>
      <w:r>
        <w:rPr>
          <w:b/>
        </w:rPr>
        <w:t>Available abstract (not full text):</w:t>
      </w:r>
      <w:r>
        <w:t xml:space="preserve"> This chapter considers the growth performance of western European countries since 1870, and relates this to the degree of openness. A theoretical explanation of why convergence is predicted by economic theory is presented and some statistics are presented on GDP per capita and the contributions of various factors to growth performance. Three periods are considered: 1870 until World War I; the interwar period; and after World War II. The first and the last are associated with globalization and convergence, whereas the interwar period witnessed increasing levels of economic isolation and lack of convergence. All western European countries are much richer today than they were in 1870, but some countries have performed much more strongly than others. Over- and underperforming countries, whose growth performances were markedly different from what might be expected from their initial levels of income, are highlighted, and possible interpretations suggested.</w:t>
      </w:r>
    </w:p>
    <w:p>
      <w:pPr>
        <w:pStyle w:val="Heading2"/>
      </w:pPr>
      <w:r>
        <w:t>670.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2025:</w:t>
      </w:r>
      <w:r>
        <w:t xml:space="preserve"> Art Core Competency in Chinese Secondary Vocational Schools: A Systematic Literature Review — https://doi.org/10.6007/ijarbss/v15-i1/24498</w:t>
      </w:r>
    </w:p>
    <w:p>
      <w:pPr/>
      <w:r>
        <w:rPr>
          <w:b/>
        </w:rPr>
        <w:t>Shared claim-specific concepts:</w:t>
      </w:r>
      <w:r>
        <w:t xml:space="preserve"> core, competencies, professional, training, educational; EU scope not established. This is a provisional connection, not an outcome finding.</w:t>
      </w:r>
    </w:p>
    <w:p>
      <w:pPr>
        <w:pStyle w:val="SourceNote"/>
      </w:pPr>
      <w:r>
        <w:rPr>
          <w:b/>
        </w:rPr>
        <w:t>Available abstract (not full text):</w:t>
      </w:r>
      <w:r>
        <w:t xml:space="preserve"> The education system greatly emphasises cultivating the students' skills to succeed in the 21st century.The Ministry of Education in China advocates for the developing students' core competencies and has introduced the concept of art core competencies to integrate more closely with the art discipline.Teachers aim to cultivate art core competencies as an educational goal.However, The current literature lacks a scope review of relevant research on the core competencies of vocational art in the context of core competencies.Therefore, researchers emphasize the need for a systematic review of existing studies to gather information on the research regarding art core competencies in Chinese secondary vocational schools.This review identifies three key questions: (1) What are the dominant themes associated with art core competency in secondary vocational schools in China?(2) How do secondary vocational schools cultivate art core competencies in China?(3) What difficulties are encountered in cultivating art core competencies?The literature review on art core competencies in Chinese secondary vocational schools reveals that student-centered approaches, multimedia-assisted teaching, problem-based learning contexts, and diversified assessment strategies are the primary methods art teachers use to implement core competencies.Moreover, the findings also indicate that teachers face challenges</w:t>
      </w:r>
    </w:p>
    <w:p>
      <w:pPr/>
      <w:r>
        <w:rPr>
          <w:b/>
        </w:rPr>
        <w:t>POSSIBLE 2025:</w:t>
      </w:r>
      <w:r>
        <w:t xml:space="preserve"> Economists, Economic Knowledge, and Central Banks — https://doi.org/10.31235/osf.io/acymv_v1</w:t>
      </w:r>
    </w:p>
    <w:p>
      <w:pPr/>
      <w:r>
        <w:rPr>
          <w:b/>
        </w:rPr>
        <w:t>Shared claim-specific concepts:</w:t>
      </w:r>
      <w:r>
        <w:t xml:space="preserve"> economists, process, national; EU scope not established. This is a provisional connection, not an outcome finding.</w:t>
      </w:r>
    </w:p>
    <w:p>
      <w:pPr>
        <w:pStyle w:val="SourceNote"/>
      </w:pPr>
      <w:r>
        <w:rPr>
          <w:b/>
        </w:rPr>
        <w:t>Available abstract (not full text):</w:t>
      </w:r>
      <w:r>
        <w:t xml:space="preserve"> What do economists do in central banks? Why do central banks hire economists? This book investigates the evolving role of economists and economic knowledge within central banks, arguing that their current centrality is neither self-evident nor historically inevitable. While the presence and influence of economists in central banks today may seem natural, this book shows that it is the result of a complex, gradual, and uneven historical process shaped by institutional structures, disciplinary transformations, and shifting relationships between science and policy. Drawing on a rich but dispersed body of literature, the book traces how economists progressively gained authority through the establishment of statistics departments, the adoption of macroeconometric models, and the emergence of a shared cognitive infrastructure between academia and central banks. Rather than focusing on individuals or doctrines, it examines general trends and institutional shifts across a series of national case studies to show how central banks function as boundary organizations, at the intersection of policy and science.[Version Submitted to Cambridge University Press Elements series.]</w:t>
      </w:r>
    </w:p>
    <w:p>
      <w:pPr/>
      <w:r>
        <w:rPr>
          <w:b/>
        </w:rPr>
        <w:t>POSSIBLE 2025:</w:t>
      </w:r>
      <w:r>
        <w:t xml:space="preserve"> EMPLOYERS' PERCEPTIONS OF THE ROLE OF ENGLISH-LANGUAGE COMPETENCE OF ECONOMISTS IN THE DEVELOPMENT OF INNOVATIVE ACTIVITY OF ENTERPRISES — https://doi.org/10.30525/2256-0742/2025-11-5-414-424</w:t>
      </w:r>
    </w:p>
    <w:p>
      <w:pPr/>
      <w:r>
        <w:rPr>
          <w:b/>
        </w:rPr>
        <w:t>Shared claim-specific concepts:</w:t>
      </w:r>
      <w:r>
        <w:t xml:space="preserve"> economists, they, professional, training, ukraine, individual; EU scope not established. This is a provisional connection, not an outcome finding.</w:t>
      </w:r>
    </w:p>
    <w:p>
      <w:pPr>
        <w:pStyle w:val="SourceNote"/>
      </w:pPr>
      <w:r>
        <w:rPr>
          <w:b/>
        </w:rPr>
        <w:t>Available abstract (not full text):</w:t>
      </w:r>
      <w:r>
        <w:t xml:space="preserve"> Economic transformation and intensified international competition increase the demand for specialists capable of operating across linguistic and cultural borders. This study examines how employers in Ukraine assess economists’ English language competence and how they relate it to enterprise innovation. The aim is to explore employers’ evaluations of economists’ English skills and their perceived contribution to innovation-related activities and overall company performance. The analysis is based on a quantitative survey of 50 employers from the IT, financial, service, and production sectors who evaluated selected economist employees using five-point Likert scales. The questionnaire captures three groups of indicators: perceived level and use of English at work, perceived impact of English on individual performance, and perceived impact of English on enterprise development. Descriptive statistics show that employers rate initial English proficiency at 3.6 points on average, frequency of use at 3.9, and quality of English-mediated task performance at 3.7, which indicates regular use with considerable room for improvement. Employers also give high scores to the impact of English on communication with partners and clients (4.6) and on overall work effectiveness (4.4), while they rate its contribution to participation in new or international projects at 4.1. At the enterprise level t</w:t>
      </w:r>
    </w:p>
    <w:p>
      <w:pPr/>
      <w:r>
        <w:rPr>
          <w:b/>
        </w:rPr>
        <w:t>POSSIBLE 2024:</w:t>
      </w:r>
      <w:r>
        <w:t xml:space="preserve"> Entrepreneurial competencies in the success of enterprises: A bibliometric analysis of the publications in the field — https://doi.org/10.15295/bmij.v12i2.2390</w:t>
      </w:r>
    </w:p>
    <w:p>
      <w:pPr/>
      <w:r>
        <w:rPr>
          <w:b/>
        </w:rPr>
        <w:t>Shared claim-specific concepts:</w:t>
      </w:r>
      <w:r>
        <w:t xml:space="preserve"> core, competencies; EU scope visible. This is a provisional connection, not an outcome finding.</w:t>
      </w:r>
    </w:p>
    <w:p>
      <w:pPr>
        <w:pStyle w:val="SourceNote"/>
      </w:pPr>
      <w:r>
        <w:rPr>
          <w:b/>
        </w:rPr>
        <w:t>Available abstract (not full text):</w:t>
      </w:r>
      <w:r>
        <w:t xml:space="preserve"> There has been an acceleration in competence-based management in recent years, which has, in turn, influenced entrepreneurial success by strengthening entrepreneurial competencies. This study aims to analyse and predict the future of the research on entrepreneurial competencies using bibliometric methods. For this purpose, VOSviewer software was used for co-word analysis. Bibliometric methods such as citation analysis and co-author analysis were used to analyse the studies related to entrepreneurial competencies. It was found that most publications were published in 2019 based on a search in the Web of Science database between 1995 and 2023. The analysis of 1403 publications revealed that 460 proceeding papers, 10 early access and 210 book chapters were involved in the search. After reducing the set to include articles, 914 papers were evaluated. Results show that the authors most cited over the years are Lans Thomas, Al Mamun Abdullah, Mulder Martin, and Obschonka. Furthermore, it was found that Spain had the highest number of published works, followed by China and the USA respectively. Study findings also revealed that entrepreneurial competencies are more related to core, emotional, and network competencies and sustainable development, creativity, innovation, social capital, and higher education.</w:t>
      </w:r>
    </w:p>
    <w:p>
      <w:pPr/>
      <w:r>
        <w:rPr>
          <w:b/>
        </w:rPr>
        <w:t>POSSIBLE 2024:</w:t>
      </w:r>
      <w:r>
        <w:t xml:space="preserve"> Reciprocity and caregiver competencies. — https://doi.org/10.7146/qs.v9i1.143675</w:t>
      </w:r>
    </w:p>
    <w:p>
      <w:pPr/>
      <w:r>
        <w:rPr>
          <w:b/>
        </w:rPr>
        <w:t>Shared claim-specific concepts:</w:t>
      </w:r>
      <w:r>
        <w:t xml:space="preserve"> competencies, professional, training; EU scope not established. This is a provisional connection, not an outcome finding.</w:t>
      </w:r>
    </w:p>
    <w:p>
      <w:pPr>
        <w:pStyle w:val="SourceNote"/>
      </w:pPr>
      <w:r>
        <w:rPr>
          <w:b/>
        </w:rPr>
        <w:t>Available abstract (not full text):</w:t>
      </w:r>
      <w:r>
        <w:t xml:space="preserve"> Despite the impact of dementia, people’s needs to connect with others and their environment remains. With progression of a dementia disease, a person will gradually be more dependent on assistance and care. In this study, we aimed to conceptualise our understanding of person-centred dementia care, theoretically based on Tom Kitwood’s ontology of personhood. A hermeneutic constructivist approach with four explorative phases allowed for a metaphorical way of working with implicit knowledge related to professional caregiving. We used Lego Serious Play™ for data collection and as a method for exploring, articulating, and conceptualising how we understood caregiver interactions. Based on our analysis, we developed a co-created, condensed model suggesting an ideographic understanding of person-attuned interactions in caregiving, emphasizing knowledge about personhood and reciprocity. We unfolded how professional caregivers represent an essential value in dementia care by providing a feeling of safety through person-attuned interactions, introspection and mentalisation. We found that caregiver competencies depend on resources, culture, and interdisciplinary collaboration, which puts a strong demand on continuous training and supervision and for political and societal priorities.</w:t>
      </w:r>
    </w:p>
    <w:p>
      <w:pPr/>
      <w:r>
        <w:rPr>
          <w:b/>
        </w:rPr>
        <w:t>POSSIBLE 2023:</w:t>
      </w:r>
      <w:r>
        <w:t xml:space="preserve"> The Key Competencies for the Future of Work—A Bibliometric Study — https://doi.org/10.47297/wspchrmwsp2040-800501.20231401</w:t>
      </w:r>
    </w:p>
    <w:p>
      <w:pPr/>
      <w:r>
        <w:rPr>
          <w:b/>
        </w:rPr>
        <w:t>Shared claim-specific concepts:</w:t>
      </w:r>
      <w:r>
        <w:t xml:space="preserve"> competencies, process, training; EU scope not established. This is a provisional connection, not an outcome finding.</w:t>
      </w:r>
    </w:p>
    <w:p>
      <w:pPr>
        <w:pStyle w:val="SourceNote"/>
      </w:pPr>
      <w:r>
        <w:rPr>
          <w:b/>
        </w:rPr>
        <w:t>Available abstract (not full text):</w:t>
      </w:r>
      <w:r>
        <w:t xml:space="preserve"> The constant technological transformations that have emerged over the last few decades have forced a fast adjustment caused both by the digitalization and automation processes that have revolutionized the job market. Even though the fourth industrial revolution allows the emergence of numerous job opportunities, it brings different restrictions that directly affect the daily lives of professionals and organizations. On the other hand, this implementation requires not only a large financial investment but also, and perhaps the most critical obstacle in this process, the training of human resources to be able to assimilate the complexity of these digital transformations. Thus, the main objective of this research is to try to understand which skills will be most required by the labor market in the future. To achieve this primary objective, a bibliometric study was carried out, based on the World Economic Forum report and two main databases: Web of Science and Scopus.</w:t>
      </w:r>
    </w:p>
    <w:p>
      <w:pPr/>
      <w:r>
        <w:rPr>
          <w:b/>
        </w:rPr>
        <w:t>POSSIBLE 2022:</w:t>
      </w:r>
      <w:r>
        <w:t xml:space="preserve"> Core Competencies for Maritime Business Educators in the Digital Era — https://doi.org/10.3389/fpsyg.2022.915980</w:t>
      </w:r>
    </w:p>
    <w:p>
      <w:pPr/>
      <w:r>
        <w:rPr>
          <w:b/>
        </w:rPr>
        <w:t>Shared claim-specific concepts:</w:t>
      </w:r>
      <w:r>
        <w:t xml:space="preserve"> core, competencies, universities, training; EU scope not established. This is a provisional connection, not an outcome finding.</w:t>
      </w:r>
    </w:p>
    <w:p>
      <w:pPr>
        <w:pStyle w:val="SourceNote"/>
      </w:pPr>
      <w:r>
        <w:rPr>
          <w:b/>
        </w:rPr>
        <w:t>Available abstract (not full text):</w:t>
      </w:r>
      <w:r>
        <w:t xml:space="preserve"> In light of digitalization, the objectives of this study are to (1) identify the emerging, core competencies of maritime business educators (MBE) and (2) examine their effects on perceived teaching performance. A systematic review of the contemporary literature was first performed to build a competency framework. Subsequently, an online survey was administered to 196 faculty members of the top 10 leading maritime universities as identified from the Worldwide Maritime School Rankings produced by Hong Kong Polytechnic University. The collected data were analyzed using Exploratory Factor Analysis to extract the main competencies of MBE. The results uncovered five key competencies from 22 sub-competencies. Thereafter, Hierarchical Regression Modeling was used to examine the effects of the key competencies on perceived teaching performance. After controlling for teaching experience and job position, it was found that the five competency requirements, in descending order of their importance, have significant positive effects on teaching performance: Pedagogy, Maritime, Interpersonal, Business and Digital. Academically, this study consolidates the literature and identifies the emerging core competencies that are expected from MBE in the digital era. The study also implicates education policy formulation, offering directions for institutions to allocate their resources, develop suitabl</w:t>
      </w:r>
    </w:p>
    <w:p>
      <w:pPr/>
      <w:r>
        <w:rPr>
          <w:b/>
        </w:rPr>
        <w:t>POSSIBLE 2022:</w:t>
      </w:r>
      <w:r>
        <w:t xml:space="preserve"> Should organising premier-level European football be a monopoly? And who should run it? – An economists' perspective — https://doi.org/10.4324/9781003305989-6</w:t>
      </w:r>
    </w:p>
    <w:p>
      <w:pPr/>
      <w:r>
        <w:rPr>
          <w:b/>
        </w:rPr>
        <w:t>Shared claim-specific concepts:</w:t>
      </w:r>
      <w:r>
        <w:t xml:space="preserve"> economists, they, professional; EU scope visible. This is a provisional connection, not an outcome finding.</w:t>
      </w:r>
    </w:p>
    <w:p>
      <w:pPr>
        <w:pStyle w:val="SourceNote"/>
      </w:pPr>
      <w:r>
        <w:rPr>
          <w:b/>
        </w:rPr>
        <w:t>Available abstract (not full text):</w:t>
      </w:r>
      <w:r>
        <w:t xml:space="preserve"> In this conceptual and theoretical chapter from the perspective of sport economics, the authors ask whether organising premier-level European football should be a monopoly, and who should be in charge. In their attempt to locate the scope for a necessary monopoly, the two economists discuss the merits and shortcomings of the established European pyramidal model of sports governance. In economics, monopolies are associated with severe consumer (fan) welfare loss and massive dynamic inefficiencies. Therefore, effective competition in every market is the generally preferred organisation of commercial activities and, subsequently, the main goal of competition law and policy. Yet they also find that there may be situations where a single supplier of a good may exceptionally be superior to competition. Organising premier-level sports is often viewed to be such an exception, they argue, as in the EU with the pyramid structure of sports associations governing professional (and commercial) sports. The authors revisit this assertion from a modern economics perspective, looking for economic arguments in favour of the pyramid structure, counter-arguments as well the potential for balancing the two. For the identified monopoly areas, they ask who should run them in order to maximise social and consumer (fan) welfare, suggesting that regular competitions for the market such as tender procedu</w:t>
      </w:r>
    </w:p>
    <w:p>
      <w:pPr/>
      <w:r>
        <w:rPr>
          <w:b/>
        </w:rPr>
        <w:t>POSSIBLE 2022:</w:t>
      </w:r>
      <w:r>
        <w:t xml:space="preserve"> The role of the core competence and core resource features of a sharing economy on the achievement of SDGs 2030 — https://doi.org/10.1016/j.jik.2022.100283</w:t>
      </w:r>
    </w:p>
    <w:p>
      <w:pPr/>
      <w:r>
        <w:rPr>
          <w:b/>
        </w:rPr>
        <w:t>Shared claim-specific concepts:</w:t>
      </w:r>
      <w:r>
        <w:t xml:space="preserve"> core, economy; EU scope not established. This is a provisional connection, not an outcome finding.</w:t>
      </w:r>
    </w:p>
    <w:p>
      <w:pPr>
        <w:pStyle w:val="SourceNote"/>
      </w:pPr>
      <w:r>
        <w:rPr>
          <w:b/>
        </w:rPr>
        <w:t>Available abstract (not full text):</w:t>
      </w:r>
      <w:r>
        <w:t xml:space="preserve"> Globally, sustainable development goals (SDGs), which need to be achieved using the sharing economy, are the focus of many recent studies. This article investigates the impact of sharing economy features such as core competence and resources on achieving SDGs in the tourism industry in the BRICS countries (Brazil, Russia, India, China, and South Africa). It examines the mediating impact of distinctive competitive advantage between the core competence and core resource features of a sharing economy, and achievement of the SDGs. The study also examines the moderating role of institutional support on the nexus of distinctive competitive advantage and achievement of SDGs in the BRICS countries. Questionnaires are used to collect primary data and Smart-PLS is used to analyse the data. The results indicate that the core competence and core resource features have a positive association with the achievement of SDGs, and that distinctive competitive advantage significantly mediates the association between core competence, core resources, and achievement of the SDGs. The outcomes reveal that institutional support significantly moderates the nexus of distinctive competitive advantage and achievement of SDGs. The research provides guidelines for regulators establishing policies related to the achievement of SDGs using the sharing economy.</w:t>
      </w:r>
    </w:p>
    <w:p>
      <w:pPr/>
      <w:r>
        <w:rPr>
          <w:b/>
        </w:rPr>
        <w:t>POSSIBLE 2022:</w:t>
      </w:r>
      <w:r>
        <w:t xml:space="preserve"> Digital Competencies in Selected European Countries among University and High-School Students: Programming is lagging behind — https://doi.org/10.2478/bsrj-2022-0019</w:t>
      </w:r>
    </w:p>
    <w:p>
      <w:pPr/>
      <w:r>
        <w:rPr>
          <w:b/>
        </w:rPr>
        <w:t>Shared claim-specific concepts:</w:t>
      </w:r>
      <w:r>
        <w:t xml:space="preserve"> competencies, process, educational; EU scope visible. This is a provisional connection, not an outcome finding.</w:t>
      </w:r>
    </w:p>
    <w:p>
      <w:pPr>
        <w:pStyle w:val="SourceNote"/>
      </w:pPr>
      <w:r>
        <w:rPr>
          <w:b/>
        </w:rPr>
        <w:t>Available abstract (not full text):</w:t>
      </w:r>
      <w:r>
        <w:t xml:space="preserve"> Abstract Background: Constant integration of digital technologies in economic and social life is rapidly and significantly shaping and changing our environment and ourselves. To function in such a world, even in daily routines, it is necessary to possess certain digital competencies. Objectives: This paper aims to examine how university and high-school students of economic orientations from selected European countries self-assess their digital competencies, and to analyse the identified differences. This will enable further understanding of university and high-school students’ digital competencies that can serve as guidance for improving teaching practices and curricula. Methods/Approach: A survey was conducted to collect data that were analysed using non-parametric statistic tests (Mann-Whitney U test and Kruskal-Wallis H test) and Spearman Rank-Order Correlation coefficient. Results: University and high-school students consider to have below intermediate level of digital competencies. High-school students self-assessed digital competencies at a higher level than university students. University students of higher years of study self-assessed digital competencies at a higher level. There is no universal pattern among high-school students of different years of study. University students in the Accounting module and high-school students in the Tourism module assessed their digita</w:t>
      </w:r>
    </w:p>
    <w:p>
      <w:pPr/>
      <w:r>
        <w:rPr>
          <w:b/>
        </w:rPr>
        <w:t>POSSIBLE 2022:</w:t>
      </w:r>
      <w:r>
        <w:t xml:space="preserve"> Are Quantity Surveyors competent to value for Civil Engineering Works? Evaluating QSs' competencies and militating factors — https://doi.org/10.6084/m9.figshare.19758772</w:t>
      </w:r>
    </w:p>
    <w:p>
      <w:pPr/>
      <w:r>
        <w:rPr>
          <w:b/>
        </w:rPr>
        <w:t>Shared claim-specific concepts:</w:t>
      </w:r>
      <w:r>
        <w:t xml:space="preserve"> core, competencies, professional, outlined; EU scope not established. This is a provisional connection, not an outcome finding.</w:t>
      </w:r>
    </w:p>
    <w:p>
      <w:pPr>
        <w:pStyle w:val="SourceNote"/>
      </w:pPr>
      <w:r>
        <w:rPr>
          <w:b/>
        </w:rPr>
        <w:t>Available abstract (not full text):</w:t>
      </w:r>
      <w:r>
        <w:t xml:space="preserve"> The role of the quantity surveyor is one that is often unclear amongst the general public. This study discussed the competencies of the quantity surveyor in measuring and managing civil engineering works and also carrying out the financial management for civil engineering construction projects; also outlined the various competencies and skills required of quantity surveyors in discharging and managing their professional duties. The core activities of quantity surveyors include determining project budgets, measuring project quantities, preparing contract documentation (such as Bills of Quantities and cost control documents), administering contracts, and preparing final accounts. The study also examines recent developments in the profession, which have led to the quantity surveyor delivering a number of management related consultancy services, in response to rising client expectations and demands. The militating factors to QS participation in the Nigeria AEC industry were identified as skills and knowledge, competencies, identity or branding issues, fewer QS in public service among others. The study advocated a change in culture and the inclusion of quantity surveyors on civil engineering projects in order for the industry to leverage on the dynamism of the quantity surveying profession.</w:t>
      </w:r>
    </w:p>
    <w:p>
      <w:pPr/>
      <w:r>
        <w:rPr>
          <w:b/>
        </w:rPr>
        <w:t>POSSIBLE 2021:</w:t>
      </w:r>
      <w:r>
        <w:t xml:space="preserve"> Digital intelligence of a modern economist: an exploratory case study — https://doi.org/10.1051/shsconf/202110403001</w:t>
      </w:r>
    </w:p>
    <w:p>
      <w:pPr/>
      <w:r>
        <w:rPr>
          <w:b/>
        </w:rPr>
        <w:t>Shared claim-specific concepts:</w:t>
      </w:r>
      <w:r>
        <w:t xml:space="preserve"> economists, they, training, educational; EU scope not established. This is a provisional connection, not an outcome finding.</w:t>
      </w:r>
    </w:p>
    <w:p>
      <w:pPr>
        <w:pStyle w:val="SourceNote"/>
      </w:pPr>
      <w:r>
        <w:rPr>
          <w:b/>
        </w:rPr>
        <w:t>Available abstract (not full text):</w:t>
      </w:r>
      <w:r>
        <w:t xml:space="preserve"> In the current context of digitalization of various spheres of life, an important characteristic of participants in a digital society is the level of their digital intelligence. The level at which future economists develop their digital intelligence skills during university depends on their successful employment and career development. The presented article analyses the concept of digital intelligence of an economist on the basis of the Digital Quotient framework developed by the Digital Intelligence Institute, characterizing the levels of “Digital Citizen”, “Digital Creator”, “Digital Entrepreneur” for such components of digital intelligence as: Digital Changemaker Identity, Digital Use, Safety Digital, Digital Security, Digital Emotional Intelligence, Digital Communication, Digital Literacy, Digital Rights. For the first time, the contents of an academic discipline of a university training programme for future economists have been proposed, in the course of which digital intelligence skills can be developed. The authors demonstrate the stages of formation, indicators for different levels of formation, content and examples of educational representation of material. They offer the stages of Digital intelligence development in the framework of studying the course modules, the implementation of project work and the solution of the real case studies during academic training. The r</w:t>
      </w:r>
    </w:p>
    <w:p>
      <w:pPr>
        <w:pStyle w:val="Heading2"/>
      </w:pPr>
      <w:r>
        <w:t>671.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2024:</w:t>
      </w:r>
      <w:r>
        <w:t xml:space="preserve"> Analysis of CCS Technology Applied in Green Building — https://doi.org/10.62051/08xctb54</w:t>
      </w:r>
    </w:p>
    <w:p>
      <w:pPr/>
      <w:r>
        <w:rPr>
          <w:b/>
        </w:rPr>
        <w:t>Shared claim-specific concepts:</w:t>
      </w:r>
      <w:r>
        <w:t xml:space="preserve"> ccs, steel, production, emissions; EU scope not established. This is a provisional connection, not an outcome finding.</w:t>
      </w:r>
    </w:p>
    <w:p>
      <w:pPr>
        <w:pStyle w:val="SourceNote"/>
      </w:pPr>
      <w:r>
        <w:rPr>
          <w:b/>
        </w:rPr>
        <w:t>Available abstract (not full text):</w:t>
      </w:r>
      <w:r>
        <w:t xml:space="preserve"> As the global climate change crisis intensifies, the integration of green building practices with carbon capture and storage (CCS) technology is increasingly emerging as a focal point of research within the architectural domain. Green buildings prioritize resource efficiency, environmental sustainability, and long-term viability, while CCS technology serves as an effective mechanism for mitigating carbon emissions. This paper examined the application of CCS technology in green buildings and identifies its significant potential across various stages of building design, construction, and operation. Firstly, CCS technology can substantially reduce carbon emissions during the production processes of construction materials—particularly in high-emission sectors such as cement and steel manufacturing. Furthermore, by synergizing CCS technology with energy systems utilized in building operations, it becomes feasible to capture carbon emissions generated from routine energy consumption, thereby facilitating a near-zero carbon footprint. Nonetheless, challenges related to integration complexity and elevated costs hinder the deployment of CCS technology within existing structures—especially older buildings where spatial constraints and infrastructural limitations pose considerable obstacles. The lack of clear economic incentives has deterred numerous construction projects from investing i</w:t>
      </w:r>
    </w:p>
    <w:p>
      <w:pPr/>
      <w:r>
        <w:rPr>
          <w:b/>
        </w:rPr>
        <w:t>POSSIBLE 2024:</w:t>
      </w:r>
      <w:r>
        <w:t xml:space="preserve"> Carbon Dioxide Capture and Storage (CCS) in Saline Aquifers versus Depleted Gas Fields — https://doi.org/10.3390/geosciences14060146</w:t>
      </w:r>
    </w:p>
    <w:p>
      <w:pPr/>
      <w:r>
        <w:rPr>
          <w:b/>
        </w:rPr>
        <w:t>Shared claim-specific concepts:</w:t>
      </w:r>
      <w:r>
        <w:t xml:space="preserve"> ccs, production, co2, compared, emissions; EU scope not established. This is a provisional connection, not an outcome finding.</w:t>
      </w:r>
    </w:p>
    <w:p>
      <w:pPr>
        <w:pStyle w:val="SourceNote"/>
      </w:pPr>
      <w:r>
        <w:rPr>
          <w:b/>
        </w:rPr>
        <w:t>Available abstract (not full text):</w:t>
      </w:r>
      <w:r>
        <w:t xml:space="preserve"> Saline aquifers have been used for CO2 storage as a dedicated greenhouse gas mitigation strategy since 1996. Depleted gas fields are now being planned for large-scale CCS projects. Although basalt host reservoirs are also going to be used, saline aquifers and depleted gas fields will make up most of the global geological repositories for CO2. At present, depleted gas fields and saline aquifers seem to be treated as if they are a single entity, but they have distinct differences that are examined here. Depleted gas fields have far more pre-existing information about the reservoir, top-seal caprock, internal architecture of the site, and about fluid flow properties than saline aquifers due to the long history of hydrocarbon project development and fluid production. The fluid pressure evolution paths for saline aquifers and depleted gas fields are distinctly different because, unlike saline aquifers, depleted gas fields are likely to be below hydrostatic pressure before CO2 injection commences. Depressurised depleted gas fields may require an initial injection of gas-phase CO2 instead of dense-phase CO2 typical of saline aquifers, but the greater pressure difference may allow higher initial injection rates in depleted gas fields than saline aquifers. Depressurised depleted gas fields may lead to CO2-injection-related stress paths that are distinct from saline aquifers depending on</w:t>
      </w:r>
    </w:p>
    <w:p>
      <w:pPr/>
      <w:r>
        <w:rPr>
          <w:b/>
        </w:rPr>
        <w:t>POSSIBLE 2024:</w:t>
      </w:r>
      <w:r>
        <w:t xml:space="preserve"> Kickstarting CCS Adoption: Tailoring Subsidies to Emitters' Needs — https://openalex.org/W4400372560</w:t>
      </w:r>
    </w:p>
    <w:p>
      <w:pPr/>
      <w:r>
        <w:rPr>
          <w:b/>
        </w:rPr>
        <w:t>Shared claim-specific concepts:</w:t>
      </w:r>
      <w:r>
        <w:t xml:space="preserve"> ccs, emissions, current; EU scope visible. This is a provisional connection, not an outcome finding.</w:t>
      </w:r>
    </w:p>
    <w:p>
      <w:pPr>
        <w:pStyle w:val="SourceNote"/>
      </w:pPr>
      <w:r>
        <w:rPr>
          <w:b/>
        </w:rPr>
        <w:t>Available abstract (not full text):</w:t>
      </w:r>
      <w:r>
        <w:t xml:space="preserve"> Despite being an essential technology in industrial decarbonization scenarios, Carbon Capture and Storage (CCS) struggles to achieve large-scale deployment.Indeed, emitters face a coordination problem, which prevents them from forming the critical mass the transportation operator needs to develop a network that leverages economies of scale.In response, many public entities have multiplied financing mechanisms to support CCS adoption. However, current subsidy mechanisms overlook the network infrastructure and do not acknowledge the heterogeneity of emitters.This paper introduces a methodology for distributing subsidies among industrial emitters based on their capture costs and network cost contribution while accounting for potential budgetary constraints. Firstly, we evaluate each emitter's contribution to the network cost through the Shapley value. Secondly, we define each emitter's subsidy claim by combining results from the first step with their capture cost.We then distribute the subsidies according to the Proportional bankruptcy solution (i.e., proportionally to each emitter's claim). We justify this solution based on properties (axioms) we desire our subsidy distribution to verify. A key feature of our methodology is its flexibility. Indeed, each step can be adapted to suit the normative framework that a future study or policymaker wishes to posit.We apply our methodology </w:t>
      </w:r>
    </w:p>
    <w:p>
      <w:pPr/>
      <w:r>
        <w:rPr>
          <w:b/>
        </w:rPr>
        <w:t>POSSIBLE 2023:</w:t>
      </w:r>
      <w:r>
        <w:t xml:space="preserve"> Is Carbon Capture and Storage (CCS) Really So Expensive? An Analysis of Cascading Costs and CO 2 Emissions Reduction of Industrial CCS Implementation on the Construction of a Bridge — https://doi.org/10.1021/acs.est.2c05724</w:t>
      </w:r>
    </w:p>
    <w:p>
      <w:pPr/>
      <w:r>
        <w:rPr>
          <w:b/>
        </w:rPr>
        <w:t>Shared claim-specific concepts:</w:t>
      </w:r>
      <w:r>
        <w:t xml:space="preserve"> show, ccs, steel, plant, emissions, current; EU scope not established. This is a provisional connection, not an outcome finding.</w:t>
      </w:r>
    </w:p>
    <w:p>
      <w:pPr>
        <w:pStyle w:val="SourceNote"/>
      </w:pPr>
      <w:r>
        <w:rPr>
          <w:b/>
        </w:rPr>
        <w:t>Available abstract (not full text):</w:t>
      </w:r>
      <w:r>
        <w:t xml:space="preserve"> High Resolution Image Download MS PowerPoint Slide Carbon capture and storage (CCS) is an essential technology to mitigate global CO 2 emissions from power and industry sectors. Despite the increasing recognition of its importance to achieve the net-zero target, current CCS deployment is far behind targeted ambitions. A key reason is that CCS is often perceived as too expensive. The costs of CCS have however traditionally been looked at from the industrial plant perspective, which does not necessarily reflect the end user’s one. This paper addresses the incomplete view by investigating the impact of implementing CCS in industrial facilities on the overall costs and CO 2 emissions of end-user products and services. As an example, we examine the extent to which an increase in costs of raw materials (cement and steel) due to CCS impacts the costs of building a bridge. Results show that although CCS significantly increases cement and steel costs, the subsequent increment in the overall bridge construction cost remains marginal (∼1%). This 1% cost increase, however, enables a deep reduction in CO 2 emissions (∼51%) associated with the bridge construction. Although more research is needed in this area, this work is the first step to a better understanding of the real cost and benefits of CCS.</w:t>
      </w:r>
    </w:p>
    <w:p>
      <w:pPr/>
      <w:r>
        <w:rPr>
          <w:b/>
        </w:rPr>
        <w:t>POSSIBLE 2023:</w:t>
      </w:r>
      <w:r>
        <w:t xml:space="preserve"> Reduction potential of the energy penalty for CO2 capture in CCS — https://doi.org/10.1007/s11708-023-0864-x</w:t>
      </w:r>
    </w:p>
    <w:p>
      <w:pPr/>
      <w:r>
        <w:rPr>
          <w:b/>
        </w:rPr>
        <w:t>Shared claim-specific concepts:</w:t>
      </w:r>
      <w:r>
        <w:t xml:space="preserve"> ccs, co2;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Comparing the Expressiveness of the π-calculus and CCS — https://doi.org/10.1145/3611013</w:t>
      </w:r>
    </w:p>
    <w:p>
      <w:pPr/>
      <w:r>
        <w:rPr>
          <w:b/>
        </w:rPr>
        <w:t>Shared claim-specific concepts:</w:t>
      </w:r>
      <w:r>
        <w:t xml:space="preserve"> show, ccs, finally; EU scope not established. This is a provisional connection, not an outcome finding.</w:t>
      </w:r>
    </w:p>
    <w:p>
      <w:pPr>
        <w:pStyle w:val="SourceNote"/>
      </w:pPr>
      <w:r>
        <w:rPr>
          <w:b/>
        </w:rPr>
        <w:t>Available abstract (not full text):</w:t>
      </w:r>
      <w:r>
        <w:t xml:space="preserve"> This paper shows that the π-calculus with implicit matching is no more expressive than CCS γ , a variant of CCS in which the result of a synchronisation of two actions is itself an action subject to relabelling or restriction, rather than the silent action τ. This is done by exhibiting a compositional translation from the π-calculus with implicit matching to CCS γ that is valid up to strong barbed bisimilarity. The full π-calculus can be similarly expressed in CCS γ enriched with the triggering operation of Meije . I also show that these results cannot be recreated with CCS in the rôle of CCS γ , not even up to reduction equivalence, and not even for the asynchronous π-calculus without restriction or replication. Finally, I observe that CCS cannot be encoded in the π-calculus.</w:t>
      </w:r>
    </w:p>
    <w:p>
      <w:pPr/>
      <w:r>
        <w:rPr>
          <w:b/>
        </w:rPr>
        <w:t>POSSIBLE 2023:</w:t>
      </w:r>
      <w:r>
        <w:t xml:space="preserve"> Regulatory framework for CCS in the Nordic countries — https://doi.org/10.6027/temanord2023-521</w:t>
      </w:r>
    </w:p>
    <w:p>
      <w:pPr/>
      <w:r>
        <w:rPr>
          <w:b/>
        </w:rPr>
        <w:t>Shared claim-specific concepts:</w:t>
      </w:r>
      <w:r>
        <w:t xml:space="preserve"> ccs, co2, emissions; EU scope not established. This is a provisional connection, not an outcome finding.</w:t>
      </w:r>
    </w:p>
    <w:p>
      <w:pPr>
        <w:pStyle w:val="SourceNote"/>
      </w:pPr>
      <w:r>
        <w:rPr>
          <w:b/>
        </w:rPr>
        <w:t>Available abstract (not full text):</w:t>
      </w:r>
      <w:r>
        <w:t xml:space="preserve"> All Nordic countries have set ambitious targets to achieve net-zero greenhouse gas emissions through various national goals and legislation. Carbon Capture and Storage (CCS) has a key role in strategies to achieve net-zero emissions through mitigating emissions from fossil fuels and removing CO2 permanently from the atmosphere. This project aimed to analyse regulatory aspects that are relevant for deployment of CCS-based mitigation options in a Nordic context. The report identifies similarities and differences between the Nordic countries concerning CCS regulation, barriers to CCS deployment due to regulatory frameworks, and currently ongoing regulatory development aimed at promoting responsible CCS deployment. Recommendations are provided concerning areas where further development, coordination, and capacity building might be prioritised by the Nordic countries.</w:t>
      </w:r>
    </w:p>
    <w:p>
      <w:pPr/>
      <w:r>
        <w:rPr>
          <w:b/>
        </w:rPr>
        <w:t>POSSIBLE 2023:</w:t>
      </w:r>
      <w:r>
        <w:t xml:space="preserve"> EOS-CG-2021: A Mixture Model for the Calculation of Thermodynamic Properties of CCS Mixtures — https://doi.org/10.1007/s10765-023-03263-6</w:t>
      </w:r>
    </w:p>
    <w:p>
      <w:pPr/>
      <w:r>
        <w:rPr>
          <w:b/>
        </w:rPr>
        <w:t>Shared claim-specific concepts:</w:t>
      </w:r>
      <w:r>
        <w:t xml:space="preserve"> show, ccs; EU scope not established. This is a provisional connection, not an outcome finding.</w:t>
      </w:r>
    </w:p>
    <w:p>
      <w:pPr>
        <w:pStyle w:val="SourceNote"/>
      </w:pPr>
      <w:r>
        <w:rPr>
          <w:b/>
        </w:rPr>
        <w:t>Available abstract (not full text):</w:t>
      </w:r>
      <w:r>
        <w:t xml:space="preserve"> Abstract Thermodynamic properties for CCS-relevant mixtures can be calculated with the fundamental equation of state presented in this work over wide ranges of pressure, temperature, and composition for gas, liquid, and supercritical states, as well as for phase equilibria. The mixture model is formulated in terms of the Helmholtz energy and is based on the EOS-CG model of Gernert and Span (J Chem Thermodyn 93:274, 2016]. The new model presented here (EOS-CG-2021) is an update and extension of the previous version, and covers the following sixteen components: carbon dioxide, water, nitrogen, oxygen, argon, carbon monoxide, hydrogen, methane, hydrogen sulfide, sulfur dioxide, monoethanolamine, diethanolamine, hydrogen chloride, chlorine, ammonia, and methyl diethanolamine. Previously published elements of the model are summarized, and new elements are validated and analyzed with the use of comparisons to experimental data and by assessing the physical and extrapolation behavior of the equations. A comprehensive study on the representation of multicomponent mixture data was carried out to show the high accuracy and application range of the EOS-CG-2021.</w:t>
      </w:r>
    </w:p>
    <w:p>
      <w:pPr/>
      <w:r>
        <w:rPr>
          <w:b/>
        </w:rPr>
        <w:t>POSSIBLE 2023:</w:t>
      </w:r>
      <w:r>
        <w:t xml:space="preserve"> Modeling CO2 Pipeline Systems: An Analytical Lens for CCS Regulation — https://doi.org/10.5547/2160-5890.12.2.anic</w:t>
      </w:r>
    </w:p>
    <w:p>
      <w:pPr/>
      <w:r>
        <w:rPr>
          <w:b/>
        </w:rPr>
        <w:t>Shared claim-specific concepts:</w:t>
      </w:r>
      <w:r>
        <w:t xml:space="preserve"> show, ccs, production, co2, compared, emissions; EU scope not established. This is a provisional connection, not an outcome finding.</w:t>
      </w:r>
    </w:p>
    <w:p>
      <w:pPr>
        <w:pStyle w:val="SourceNote"/>
      </w:pPr>
      <w:r>
        <w:rPr>
          <w:b/>
        </w:rPr>
        <w:t>Available abstract (not full text):</w:t>
      </w:r>
      <w:r>
        <w:t xml:space="preserve"> Carbon Capture and Storage (CCS) is regularly depicted as a crucial technology to reduce the social cost of achieving carbon neutrality.However, its deployment critically depends on the installation of CO 2 infrastructures.As the regulatory procedures governing their provision are yet to be clarified, this paper aims to assess the social and environmental impacts of such regulations.We show how the engineering equations of a CO 2 pipeline implicitly define a Cobb-Douglas production function.We then infer that the resulting cost function exhibits economies of scale and verifies the technological condition for a natural monopoly.As the possible exertion of market power is a concern, we evaluate the social distortion of the unregulated monopoly and the average-cost pricing solution, which we compare to the outcomes of the welfare-maximizing solution.While the deadweight loss obtained under average-cost pricing remains lower than 5% compared to the firstbest solution, our findings indicate that allocative efficiency is an issue, with more than a quarter of the CO 2 emissions not being transported.This analysis will usefully inform the emerging regulatory policy debates on CCS by providing the first analytically determined cost function of a CO 2 pipeline.</w:t>
      </w:r>
    </w:p>
    <w:p>
      <w:pPr/>
      <w:r>
        <w:rPr>
          <w:b/>
        </w:rPr>
        <w:t>POSSIBLE 2022:</w:t>
      </w:r>
      <w:r>
        <w:t xml:space="preserve"> The development of carbon capture and storage (CCS) in India: A critical review — https://doi.org/10.1016/j.ccst.2022.100036</w:t>
      </w:r>
    </w:p>
    <w:p>
      <w:pPr/>
      <w:r>
        <w:rPr>
          <w:b/>
        </w:rPr>
        <w:t>Shared claim-specific concepts:</w:t>
      </w:r>
      <w:r>
        <w:t xml:space="preserve"> ccs, co2, emissions; EU scope not established. This is a provisional connection, not an outcome finding.</w:t>
      </w:r>
    </w:p>
    <w:p>
      <w:pPr>
        <w:pStyle w:val="SourceNote"/>
      </w:pPr>
      <w:r>
        <w:rPr>
          <w:b/>
        </w:rPr>
        <w:t>Available abstract (not full text):</w:t>
      </w:r>
      <w:r>
        <w:t xml:space="preserve"> Carbon capture and sequestration (CCS) is a three-tier process- carbon capture, transport andstorage. The capture consists of pre-combustion, oxy-combustion and post-combustion capture.Transport of CO2 is most viable through pipelines.The biotic CO2storage occurs throughterrestrial or oceanic pathways and can be simulated naturally or artificially. The abiotic/geologicstorage is achieved through sequestering CO2 in depleting/depleted hydrocarbon reserves, indeep saline aquifers or through mineral carbonation. At the district level, 64 out of 641 districts(2013 government reports) accounted for ~ 60% of the total CO2 emissions. Controlling CO2emissions comes with the challenge of sustainable socio-economic growth of the country- ademanding task for the economy. Indian organizations have made international collaborations.India holds a substantial geological sequestration potential in its basaltic rocks, coal seams,depleted oil reserves, soils, deep saline aquifers and sedimentary basins. At this point, no carboncapture and storage / clean development mechanism projects are operational in the country. Thenext 10-15 years would be very crucial for India to attain technological advancement to deploylarge-scale CCS projects.</w:t>
      </w:r>
    </w:p>
    <w:p>
      <w:pPr/>
      <w:r>
        <w:rPr>
          <w:b/>
        </w:rPr>
        <w:t>POSSIBLE 2022:</w:t>
      </w:r>
      <w:r>
        <w:t xml:space="preserve"> Cost estimation of CCS integration into thermal power plants in Japan — https://doi.org/10.1299/mej.22-00028</w:t>
      </w:r>
    </w:p>
    <w:p>
      <w:pPr/>
      <w:r>
        <w:rPr>
          <w:b/>
        </w:rPr>
        <w:t>Shared claim-specific concepts:</w:t>
      </w:r>
      <w:r>
        <w:t xml:space="preserve"> ccs, co2, reductions, emissions; EU scope visible. This is a provisional connection, not an outcome finding.</w:t>
      </w:r>
    </w:p>
    <w:p>
      <w:pPr>
        <w:pStyle w:val="SourceNote"/>
      </w:pPr>
      <w:r>
        <w:rPr>
          <w:b/>
        </w:rPr>
        <w:t>Available abstract (not full text):</w:t>
      </w:r>
      <w:r>
        <w:t xml:space="preserve"> full chain') is necessary to realize CO2 emissions reductions.Notably, there are multiple technological options to realize each sub-process, with the 'optimal' option being case-dependent.For example, in North America, onshore storage sites are abundant, and an existing CO2 pipeline network provides relatively low-cost transport (GCCSI, 2021).On the other hand, in Europe and Japan, the potential storage sites are primarily offshore, making shipping of CO2 more feasible than pipelines (Baroudi et al., 2021).Despite the abundance of technological solutions available, CCS has not been deployed at the rate expected by modelers (Peters et al., 2017) or required by pledges of CO2 emissions reductions (Wang et al., 2021).It is often stated that the main barrier hindering the rapid implementation of CCS is its high cost.Naturally, if the price of polluting (e.g.,</w:t>
      </w:r>
    </w:p>
    <w:p>
      <w:pPr/>
      <w:r>
        <w:rPr>
          <w:b/>
        </w:rPr>
        <w:t>POSSIBLE 2021:</w:t>
      </w:r>
      <w:r>
        <w:t xml:space="preserve"> Promoting CCS in Europe: A Case for Green Strategic Trade Policy? — https://doi.org/10.5547/01956574.43.6.faun</w:t>
      </w:r>
    </w:p>
    <w:p>
      <w:pPr/>
      <w:r>
        <w:rPr>
          <w:b/>
        </w:rPr>
        <w:t>Shared claim-specific concepts:</w:t>
      </w:r>
      <w:r>
        <w:t xml:space="preserve"> ccs, production, co2, emissions, current; EU scope visible. This is a provisional connection, not an outcome finding.</w:t>
      </w:r>
    </w:p>
    <w:p>
      <w:pPr>
        <w:pStyle w:val="SourceNote"/>
      </w:pPr>
      <w:r>
        <w:rPr>
          <w:b/>
        </w:rPr>
        <w:t>Available abstract (not full text):</w:t>
      </w:r>
      <w:r>
        <w:t xml:space="preserve"> According to IEA (2018), there is a huge gap between the first-best social optimal utilization of Carbon Capture and Storage (CCS) technologies to lower global CO2 emissions and the current, negligible diffusion of this technology. This calls for a financial support mechanism for CCS. We study to what extent promotion of CCS in Europe should be through subsidizing development and production of CCS technologies—an upstream subsidy—or by subsidising the purchasers of CCS technologies—a downstream subsidy. This question is examined theoretically in a stylized model and numerically by using a new approach that integrates strategic trade policy with an economic model of the European energy markets. The theory model suggests that upstream subsidies should clearly be preferred, and this is confirmed by the numerical simulations. For the European power market, the numerical simulations suggest that subsidies to CCS coal power should exceed subsidies to CCS gas power.</w:t>
      </w:r>
    </w:p>
    <w:p>
      <w:pPr>
        <w:pStyle w:val="Heading2"/>
      </w:pPr>
      <w:r>
        <w:t>672.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r>
        <w:rPr>
          <w:b/>
        </w:rPr>
        <w:t>POSSIBLE 2023:</w:t>
      </w:r>
      <w:r>
        <w:t xml:space="preserve"> Public Debt and Economic Growth after Covid-19 in Europe: Challenges and Policy Implications — https://doi.org/10.5539/res.v15n4p31</w:t>
      </w:r>
    </w:p>
    <w:p>
      <w:pPr/>
      <w:r>
        <w:rPr>
          <w:b/>
        </w:rPr>
        <w:t>Shared claim-specific concepts:</w:t>
      </w:r>
      <w:r>
        <w:t xml:space="preserve"> finally, drawing, covid-19, pandemic, exploring, sustainability; EU scope visible. This is a provisional connection, not an outcome finding.</w:t>
      </w:r>
    </w:p>
    <w:p>
      <w:pPr>
        <w:pStyle w:val="SourceNote"/>
      </w:pPr>
      <w:r>
        <w:rPr>
          <w:b/>
        </w:rPr>
        <w:t>Available abstract (not full text):</w:t>
      </w:r>
      <w:r>
        <w:t xml:space="preserve">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pPr/>
      <w:r>
        <w:rPr>
          <w:b/>
        </w:rPr>
        <w:t>POSSIBLE 2023:</w:t>
      </w:r>
      <w:r>
        <w:t xml:space="preserve"> Tracing the Origin and Early Progression of COVID-19 in Europe: An Epidemiological Descriptive Study — https://doi.org/10.61186/iem.9.3.249</w:t>
      </w:r>
    </w:p>
    <w:p>
      <w:pPr/>
      <w:r>
        <w:rPr>
          <w:b/>
        </w:rPr>
        <w:t>Shared claim-specific concepts:</w:t>
      </w:r>
      <w:r>
        <w:t xml:space="preserve"> finally, covid-19, pandemic, across; EU scope visible. This is a provisional connection, not an outcome finding.</w:t>
      </w:r>
    </w:p>
    <w:p>
      <w:pPr>
        <w:pStyle w:val="SourceNote"/>
      </w:pPr>
      <w:r>
        <w:rPr>
          <w:b/>
        </w:rPr>
        <w:t>Available abstract (not full text):</w:t>
      </w:r>
      <w:r>
        <w:t xml:space="preserve"> Background: The ongoing global health crisis caused by the infectious coronavirus disease, known as COVID-19, is attributed to the SARS-CoV-2 virus. The pandemic has significantly impacted people of all ages and nationalities and has spread across all continents, with an initial focus on Asia and subsequently reaching Europe. The objective of this study was to analyze the progression of COVID-19 in Europe in contrast to other continents around the world by examining the pandemic's trajectory across different geographic areas, allowing us to gain insights into the effectiveness of containment measures, and identifying potential patterns of virus spread. Materials &amp; Methods: The data source was a curated dataset provided by Our World in Data (OWD), regularly updated during the COVID-19 pandemic. The dataset consisted of 207,316 records with 67 attributes, covering 244 locations, including countries from six continents. These attributes encompassed a wide range of COVID-19-related metrics, such as cases, deaths, testing, vaccinations, and demographic indicators. This comprehensive comparative study specifically focused on the European continent data from January 01, 2020, to August 08, 2022. Findings: The analysis revealed distinct groups of European countries with different experiences with the virus. First, some countries were found to be severely affected by the virus, grapplin</w:t>
      </w:r>
    </w:p>
    <w:p>
      <w:pPr/>
      <w:r>
        <w:rPr>
          <w:b/>
        </w:rPr>
        <w:t>POSSIBLE 2023:</w:t>
      </w:r>
      <w:r>
        <w:t xml:space="preserve"> Did COVID-19 Blur Partisan Boundaries? A Comparison of Partisan Affinity and Source Heterophily in Online Alternative News-Sharing Networks Before and During the COVID-19 Pandemic — https://doi.org/10.1177/20563051231192963</w:t>
      </w:r>
    </w:p>
    <w:p>
      <w:pPr/>
      <w:r>
        <w:rPr>
          <w:b/>
        </w:rPr>
        <w:t>Shared claim-specific concepts:</w:t>
      </w:r>
      <w:r>
        <w:t xml:space="preserve"> finally, drawing, covid-19, pandemic, across; EU scope visible. This is a provisional connection, not an outcome finding.</w:t>
      </w:r>
    </w:p>
    <w:p>
      <w:pPr>
        <w:pStyle w:val="SourceNote"/>
      </w:pPr>
      <w:r>
        <w:rPr>
          <w:b/>
        </w:rPr>
        <w:t>Available abstract (not full text):</w:t>
      </w:r>
      <w:r>
        <w:t xml:space="preserve"> This study explores partisan and group heterophily within cross-platform online communities that share alternative news media content in Denmark, Sweden, Germany, and Austria. The analysis is related to the emergence of anti-systemic cross-partisan counter-publics in Europe that have gained momentum with the outbreak of COVID-19 and the subsequent resistance against government restrictions. Comparing two periods (before and after the outbreak of COVID-19), we investigate whether these developments foster cross-partisan information sharing in online communities that form around right-wing, left-wing, and anti-systemic alternative news media content. Drawing on a network-analytical approach, we study networks formed around URL sharing of alternative news content across Facebook, Instagram, Twitter, Reddit, Telegram, TikTok, YouTube, and VKontakte. Data include 30 million social media posts from January 2019 to September 2021. The results show that overall source heterophily in online alternative news networks increases slightly with the COVID-19 pandemic, mainly due to the increased proliferation of anti-system news. This increase is, however, not an expression of a more profound collapse of bi-partisan, left-right cleavages and is contingent on country contexts. Except for the time of the initial outbreak, the overall sharing of COVID-19-related content tends to increase rather </w:t>
      </w:r>
    </w:p>
    <w:p>
      <w:pPr/>
      <w:r>
        <w:rPr>
          <w:b/>
        </w:rPr>
        <w:t>POSSIBLE 2022:</w:t>
      </w:r>
      <w:r>
        <w:t xml:space="preserve"> COVID‐19 and European Multi‐Level Democracy — https://doi.org/10.1111/jcms.13417</w:t>
      </w:r>
    </w:p>
    <w:p>
      <w:pPr/>
      <w:r>
        <w:rPr>
          <w:b/>
        </w:rPr>
        <w:t>Shared claim-specific concepts:</w:t>
      </w:r>
      <w:r>
        <w:t xml:space="preserve"> covid-19, pandemic, across; EU scope visible. This is a provisional connection, not an outcome finding.</w:t>
      </w:r>
    </w:p>
    <w:p>
      <w:pPr>
        <w:pStyle w:val="SourceNote"/>
      </w:pPr>
      <w:r>
        <w:rPr>
          <w:b/>
        </w:rPr>
        <w:t>Available abstract (not full text):</w:t>
      </w:r>
      <w:r>
        <w:t xml:space="preserve"> The COVID-19 pandemic that hit Europe in early 2020 radically reshaped the political agenda at all levels of Europe's multi-level system within a matter of weeks. It continued to overshadow all other public concerns throughout 2021. The single most important development that distinguished the second year of the pandemic from the first was that, from early 2021, COVID-19 vaccines became widely available and were rolled out throughout Europe. Early hopes that vaccination might offer full protection against infection were soon dashed. However, the availability of vaccines propelled governments to reorient policy from strict containment to approaches that meant 'learning to live with the virus'. This shift was not linear. Partly driven by the emergence of new COVID-19 'variants of interest and concern', policy changes and reversals were frequent. But during 2021, restrictions on individual and civil liberties justified on public health grounds became complemented by the reliance on vaccination as the chief means to combat the pandemic. Vaccination meant that public policies became increasingly differentiated between the (fully) vaccinated and the non-vaccinated (for details, see Hale et al., 2022), often provoking intensive protest. The year 2021 was also when the full political and institutional implications of the pandemic became ever more apparent, as the long-term nature of the</w:t>
      </w:r>
    </w:p>
    <w:p>
      <w:pPr/>
      <w:r>
        <w:rPr>
          <w:b/>
        </w:rPr>
        <w:t>POSSIBLE 2022:</w:t>
      </w:r>
      <w:r>
        <w:t xml:space="preserve"> Children’s representations of the COVID-19 lockdown and pandemic through drawings — https://doi.org/10.3389/fpsyg.2022.960893</w:t>
      </w:r>
    </w:p>
    <w:p>
      <w:pPr/>
      <w:r>
        <w:rPr>
          <w:b/>
        </w:rPr>
        <w:t>Shared claim-specific concepts:</w:t>
      </w:r>
      <w:r>
        <w:t xml:space="preserve"> drawing, covid-19, pandemic, exploring, explore; EU scope visible. This is a provisional connection, not an outcome finding.</w:t>
      </w:r>
    </w:p>
    <w:p>
      <w:pPr>
        <w:pStyle w:val="SourceNote"/>
      </w:pPr>
      <w:r>
        <w:rPr>
          <w:b/>
        </w:rPr>
        <w:t>Available abstract (not full text):</w:t>
      </w:r>
      <w:r>
        <w:t xml:space="preserve"> The COVID-19 pandemic and the measures to face it have placed children and their caregivers in front of many challenges that could represent sources of stress. This work aims to explore the point of view of children through drawing, as a spontaneous means of expression, relating it to parents' perceptions of children's difficulties, strengths, and mentalization skills. The sample consists of 18 children (mean age = 8.22, SD = 1.79). Parents were asked to complete: a socio-demographic questionnaire with information on the impact of COVID-19 on the family, the Strengths and Difficulties Questionnaire, and the Everyday Mindreading Scale. Children were asked to draw three moments: "Before" the pandemic, "During" the lockdown, and "After," when the COVID-19 will be passed. The drawings were coded by constructing a content and expressive analysis grid, adapting coding systems found in the literature. Data were collected at the beginning of the summer of 2020, just after the first lockdown period (from March to May 2020 in Italy). The results of the present work are in line with previous studies that reported experiences of wellbeing and tranquility of children in time spent at home with family during the pandemic. From the drawings emerges that children feel sufficiently able to master the situation, as reflected by including themselves in drawings and providing many details of the h</w:t>
      </w:r>
    </w:p>
    <w:p>
      <w:pPr/>
      <w:r>
        <w:rPr>
          <w:b/>
        </w:rPr>
        <w:t>POSSIBLE 2022:</w:t>
      </w:r>
      <w:r>
        <w:t xml:space="preserve"> Advances in COVID-19 mRNA vaccine development — https://doi.org/10.1038/s41392-022-00950-y</w:t>
      </w:r>
    </w:p>
    <w:p>
      <w:pPr/>
      <w:r>
        <w:rPr>
          <w:b/>
        </w:rPr>
        <w:t>Shared claim-specific concepts:</w:t>
      </w:r>
      <w:r>
        <w:t xml:space="preserve"> drawing, covid-19, pandemic, capacity; EU scope not established. This is a provisional connection, not an outcome finding.</w:t>
      </w:r>
    </w:p>
    <w:p>
      <w:pPr>
        <w:pStyle w:val="SourceNote"/>
      </w:pPr>
      <w:r>
        <w:rPr>
          <w:b/>
        </w:rPr>
        <w:t>Available abstract (not full text):</w:t>
      </w:r>
      <w:r>
        <w:t xml:space="preserve"> To date, the coronavirus disease 2019 (COVID-19) caused by severe acute respiratory syndrome coronavirus 2 (SARS-CoV-2) has determined 399,600,607 cases and 5,757,562 deaths worldwide. COVID-19 is a serious threat to human health globally. The World Health Organization (WHO) has declared COVID-19 pandemic a major public health emergency. Vaccination is the most effective and economical intervention for controlling the spread of epidemics, and consequently saving lives and protecting the health of the population. Various techniques have been employed in the development of COVID-19 vaccines. Among these, the COVID-19 messenger RNA (mRNA) vaccine has been drawing increasing attention owing to its great application prospects and advantages, which include short development cycle, easy industrialization, simple production process, flexibility to respond to new variants, and the capacity to induce better immune response. This review summarizes current knowledge on the structural characteristics, antigen design strategies, delivery systems, industrialization potential, quality control, latest clinical trials and real-world data of COVID-19 mRNA vaccines as well as mRNA technology. Current challenges and future directions in the development of preventive mRNA vaccines for major infectious diseases are also discussed.</w:t>
      </w:r>
    </w:p>
    <w:p>
      <w:pPr/>
      <w:r>
        <w:rPr>
          <w:b/>
        </w:rPr>
        <w:t>POSSIBLE 2021:</w:t>
      </w:r>
      <w:r>
        <w:t xml:space="preserve"> Understanding the effectiveness of government interventions against the resurgence of COVID-19 in Europe — https://doi.org/10.1038/s41467-021-26013-4</w:t>
      </w:r>
    </w:p>
    <w:p>
      <w:pPr/>
      <w:r>
        <w:rPr>
          <w:b/>
        </w:rPr>
        <w:t>Shared claim-specific concepts:</w:t>
      </w:r>
      <w:r>
        <w:t xml:space="preserve"> covid-19, pandemic, modelling; EU scope visible. This is a provisional connection, not an outcome finding.</w:t>
      </w:r>
    </w:p>
    <w:p>
      <w:pPr>
        <w:pStyle w:val="SourceNote"/>
      </w:pPr>
      <w:r>
        <w:rPr>
          <w:b/>
        </w:rPr>
        <w:t>Available abstract (not full text):</w:t>
      </w:r>
      <w:r>
        <w:t xml:space="preserve"> Abstract As European governments face resurging waves of COVID-19, non-pharmaceutical interventions (NPIs) continue to be the primary tool for infection control. However, updated estimates of their relative effectiveness have been absent for Europe’s second wave, largely due to a lack of collated data that considers the increased subnational variation and diversity of NPIs. We collect the largest dataset of NPI implementation dates in Europe, spanning 114 subnational areas in 7 countries, with a systematic categorisation of interventions tailored to the second wave. Using a hierarchical Bayesian transmission model, we estimate the effectiveness of 17 NPIs from local case and death data. We manually validate the data, address limitations in modelling from previous studies, and extensively test the robustness of our estimates. The combined effect of all NPIs was smaller relative to estimates from the first half of 2020, indicating the strong influence of safety measures and individual protective behaviours--such as distancing--that persisted after the first wave. Closing specific businesses was highly effective. Gathering restrictions were highly effective but only for the strictest limits. We find smaller effects for closing educational institutions compared to the first wave, suggesting that safer operation of schools was possible with a set of stringent safety measures includi</w:t>
      </w:r>
    </w:p>
    <w:p>
      <w:pPr/>
      <w:r>
        <w:rPr>
          <w:b/>
        </w:rPr>
        <w:t>POSSIBLE 2021:</w:t>
      </w:r>
      <w:r>
        <w:t xml:space="preserve"> War Metaphors in Political Communication on Covid-19 — https://doi.org/10.3389/fsoc.2020.583680</w:t>
      </w:r>
    </w:p>
    <w:p>
      <w:pPr/>
      <w:r>
        <w:rPr>
          <w:b/>
        </w:rPr>
        <w:t>Shared claim-specific concepts:</w:t>
      </w:r>
      <w:r>
        <w:t xml:space="preserve"> finally, drawing, covid-19, pandemic, discuss, expand; EU scope not established. This is a provisional connection, not an outcome finding.</w:t>
      </w:r>
    </w:p>
    <w:p>
      <w:pPr>
        <w:pStyle w:val="SourceNote"/>
      </w:pPr>
      <w:r>
        <w:rPr>
          <w:b/>
        </w:rPr>
        <w:t>Available abstract (not full text):</w:t>
      </w:r>
      <w:r>
        <w:t xml:space="preserve"> Although militaristic metaphors have been pervasive during health crisis in political and science communication, few works have examined how these linguistic devices may influence crisis communication. Drawing on critical discourse analysis (CDA) and on crisis communication literature, I show how political representatives have used the war metaphor for very different purposes in terms of crisis communication and management of the current Covid-19 pandemic. I suggest that these findings challenge previous criticisms of the war metaphor as inherently negative and damaging. Finally, I discuss possibilities of using CDA, and specifically, metaphor analysis to inform and expand crisis communication.</w:t>
      </w:r>
    </w:p>
    <w:p>
      <w:pPr/>
      <w:r>
        <w:rPr>
          <w:b/>
        </w:rPr>
        <w:t>POSSIBLE 2021:</w:t>
      </w:r>
      <w:r>
        <w:t xml:space="preserve"> Regulating the health workforce in Europe: implications of the COVID-19 pandemic — https://doi.org/10.1186/s12960-021-00624-w</w:t>
      </w:r>
    </w:p>
    <w:p>
      <w:pPr/>
      <w:r>
        <w:rPr>
          <w:b/>
        </w:rPr>
        <w:t>Shared claim-specific concepts:</w:t>
      </w:r>
      <w:r>
        <w:t xml:space="preserve"> drawing, covid-19, pandemic, need, zone, across; EU scope visible. This is a provisional connection, not an outcome finding.</w:t>
      </w:r>
    </w:p>
    <w:p>
      <w:pPr>
        <w:pStyle w:val="SourceNote"/>
      </w:pPr>
      <w:r>
        <w:rPr>
          <w:b/>
        </w:rPr>
        <w:t>Available abstract (not full text):</w:t>
      </w:r>
      <w:r>
        <w:t xml:space="preserve"> In the European free movement zone, various mechanisms aim to harmonize how the competence of physicians and nurses is developed and maintained to facilitate the cross-country movement of professionals. This commentary addresses these mechanisms and discusses their implications during the COVID-19 pandemic, drawing lessons for future policy. It argues that EU-wide regulatory mechanisms should be reviewed to ensure that they provide an adequate foundation for determining competence and enabling health workforce flexibility during health system shocks. Currently, EU regulation focuses on the automatic recognition of the primary education of physicians and nurses. New, flexible mechanisms should be developed for specializations, such as intensive or emergency care. Documenting new skills, such as the ones acquired during rapid training in the pandemic, in a manner that is comparable across countries should be explored, both for usual practice and in light of outbreak preparedness. Initiatives to strengthen continuing education and professional development should be supported further. Funding under the EU4Health programme should be dedicated to this endeavour, along with revisiting the scope of necessary skills following the experience of COVID-19. Mechanisms for cross-country sharing of information on violations of good practice standards should be maintained and strengthened to e</w:t>
      </w:r>
    </w:p>
    <w:p>
      <w:pPr/>
      <w:r>
        <w:rPr>
          <w:b/>
        </w:rPr>
        <w:t>POSSIBLE 2021:</w:t>
      </w:r>
      <w:r>
        <w:t xml:space="preserve"> COVID-19 Pandemic and Drawing Lessons for Future Crises to Indian Federalism — https://openalex.org/W7219388642</w:t>
      </w:r>
    </w:p>
    <w:p>
      <w:pPr/>
      <w:r>
        <w:rPr>
          <w:b/>
        </w:rPr>
        <w:t>Shared claim-specific concepts:</w:t>
      </w:r>
      <w:r>
        <w:t xml:space="preserve"> drawing, covid-19, pandemic; EU scope not established. This is a provisional connection, not an outcome finding.</w:t>
      </w:r>
    </w:p>
    <w:p>
      <w:pPr>
        <w:pStyle w:val="SourceNote"/>
      </w:pPr>
      <w:r>
        <w:rPr>
          <w:b/>
        </w:rPr>
        <w:t>Available abstract (not full text):</w:t>
      </w:r>
      <w:r>
        <w:t xml:space="preserve"> In the past year-and-a-half, the COVID-19 pandemic has laid bare the strengths and weaknesses of all forms of political systems and structures: democratic and authoritarian; unitary and federal; and every model in-between. This paper focuses on federalism. Given the diffused and decentralised overall pathway followed by a federal structure of government, there were legitimate concerns over how countries with such a system could handle a rapidly spreading pandemic of a highly infectious disease. It acquired a serious tone when the pandemic began exposing the vulnerabilities of the United States (US), a federal country that has what is generally presumed to be an advanced healthcare system that will be able to withstand such an emergency. Analysts raised concerns about what they said were the inherent disadvantages of a federal political system against a pandemic that requires rapid and unitary response.Indeed, political analysts in the US started calling on the government to abandon the rigid dual federal system where health is an exclusive domain of states and local governments. Observers contrasted the US’s early experience against China’s swift response in Wuhan, as proof of the efficacy of a centralised response.</w:t>
      </w:r>
    </w:p>
    <w:p>
      <w:pPr>
        <w:pStyle w:val="Heading2"/>
      </w:pPr>
      <w:r>
        <w:t>673.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2023:</w:t>
      </w:r>
      <w:r>
        <w:t xml:space="preserve"> The Energy Price Shock—Impact, Policy Responses, and Reform Options — https://doi.org/10.5089/9798400246135.018</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The surge in energy prices due to Russia’s war in Ukraine inflicted a sharp terms of trade shock on the UK economy. While energy prices have since declined, the future energy price path remains uncertain, with futures-implied prices substantially above their levels prior to October 2021, when Russian natural gas imports to Europe began to be curtailed. In this context, section I analyzes the impact of the energy price shock on UK households and firms; section II describes the energy support measures introduced by the UK government; and section III provides staff’s assessment of these measures and sets out some options to optimize the policy response to a possible resurgence in energy prices. These include structural measures to ensure energy security and raise resilience to spikes in energy prices, and options to refine, especially the targeting of, support measures that could be introduced in response.</w:t>
      </w:r>
    </w:p>
    <w:p>
      <w:pPr/>
      <w:r>
        <w:rPr>
          <w:b/>
        </w:rPr>
        <w:t>POSSIBLE 2022:</w:t>
      </w:r>
      <w:r>
        <w:t xml:space="preserve"> European Union criminal procedure policy as part of the European Union's policy in the field of the fight against criminality — https://doi.org/10.24144/2788-6018.2021.03.35</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This article is devoted to finding the term that would be optimal for naming the procedural part of the European Union's policy in the field of the fight against criminality. The terms «EU policy in the field of the fight against criminality», «EU criminal policy», «EU law enforcement policy» are used to refer to a separate type of European Union policy. Adhering to the position of giving preference to the use of the term «policy in the field of the fight against criminality», it is seen that such a construction can be applied in the context of the European Union and, as we see, is in demand. However, it should be recognized that a significant number of European scholars use the term «criminal policy of the European Union». Thus, it is proposed to use the term «European Union policy in the field of the fight against criminality» as a generalized concept that better reflects its non-level, but namely complex structure and relatively independent but interconnected basic elements, parts, first of all, EU criminal policy and EU criminal procedure policy. Of course, we can talk about other parts of the European Union's policy in the field of the fight against criminality, in particular, criminology, but the primary interest in the study is its procedural component. There are various terminologies in the literature that define it. For example, the following options can be identified:</w:t>
      </w:r>
    </w:p>
    <w:p>
      <w:pPr/>
      <w:r>
        <w:rPr>
          <w:b/>
        </w:rPr>
        <w:t>POSSIBLE 2022:</w:t>
      </w:r>
      <w:r>
        <w:t xml:space="preserve"> Ukraine’s Balance Policy between European Union and Russia — https://doi.org/10.18276/ap.2022.54-07</w:t>
      </w:r>
    </w:p>
    <w:p>
      <w:pPr/>
      <w:r>
        <w:rPr>
          <w:b/>
        </w:rPr>
        <w:t>Shared claim-specific concepts:</w:t>
      </w:r>
      <w:r>
        <w:t xml:space="preserve"> terms, options, participation; EU scope visible. This is a provisional connection, not an outcome finding.</w:t>
      </w:r>
    </w:p>
    <w:p>
      <w:pPr>
        <w:pStyle w:val="SourceNote"/>
      </w:pPr>
      <w:r>
        <w:rPr>
          <w:b/>
        </w:rPr>
        <w:t>Available abstract (not full text):</w:t>
      </w:r>
      <w:r>
        <w:t xml:space="preserve"> Having declared independence in 1991, after the dissolution of the Soviet Union, Ukraine gained strategic importance in terms of its geographical location. It is regarded a “buffer zone” for both the European Union (EU) and Russia. There is a division within the country into the pro-Western and pro-Russian options. Ukraine’s aspiration for the UE membership has faced Russia’s objection since time immemorial. In the past, Ukraine preferred to pursue a balance policy between Russia and the EU. Ukraine’s attempt to approach the West with the Orange Revolution, its inclusion in the European Neighbourhood Policy, its participation in the Eastern Partnership program were perceived as a threat by Russia. The Ukrainian crisis, in particular, brought these two countries face to face. This crisis also deeply affected both the EU’s energy policy and its relations with Russia. After all the developments that followed, the issue of Ukraine’s membership in the EU remains uncertain.</w:t>
      </w:r>
    </w:p>
    <w:p>
      <w:pPr/>
      <w:r>
        <w:rPr>
          <w:b/>
        </w:rPr>
        <w:t>POSSIBLE 2022:</w:t>
      </w:r>
      <w:r>
        <w:t xml:space="preserve"> Governing Europe's forests for multiple ecosystem services: Opportunities, challenges, and policy options — https://doi.org/10.1016/j.forpol.2022.102849</w:t>
      </w:r>
    </w:p>
    <w:p>
      <w:pPr/>
      <w:r>
        <w:rPr>
          <w:b/>
        </w:rPr>
        <w:t>Shared claim-specific concepts:</w:t>
      </w:r>
      <w:r>
        <w:t xml:space="preserve"> options, participation, among, integration; EU scope visible. This is a provisional connection, not an outcome finding.</w:t>
      </w:r>
    </w:p>
    <w:p>
      <w:pPr>
        <w:pStyle w:val="SourceNote"/>
      </w:pPr>
      <w:r>
        <w:rPr>
          <w:b/>
        </w:rPr>
        <w:t>Available abstract (not full text):</w:t>
      </w:r>
      <w:r>
        <w:t xml:space="preserve"> Europe's forest provide multiple ecosystem services for societies, ranging from provisioning (e.g. wood) and regulating (e.g. climate mitigation and biodiversity) to cultural (e.g. recreation) services. In this paper, we assess the state and prospects of forest ecosystem services provision in Europe, introducing new data from the European collaborative research projects SINCERE, NOBEL and CLEARING HOUSE, and combining it with findings from the literature. We identify six challenges (1 an insufficient alignment of FES supply and demand, 2 lacking policy integration, 3 ambiguous and conflicting regulatory frameworks, 4 a lack of precise information on FES demand and provision, and innovations to align both, 5 an increasing pressure to adapt to climate change, and 6 a striking diversity constraining European level policy solutions) and three opportunities (1 increasingly heterogenous forest owner objectives potentially matching pluralistic societal demands, 2 diversifying forest enterprises levering innovations in regulating and cultural ecosystem services provision, and 3 the potential of forests to mitigate climate change). Subsequently, we introduce four distinct but complimentary policy pathways for European forest policy to better align forest ecosystem services provision and demand: 1 Better monitoring of FES supply and demand, 2 Enhanced policy integration, 3 Payments for e</w:t>
      </w:r>
    </w:p>
    <w:p>
      <w:pPr/>
      <w:r>
        <w:rPr>
          <w:b/>
        </w:rPr>
        <w:t>POSSIBLE 2021:</w:t>
      </w:r>
      <w:r>
        <w:t xml:space="preserve"> Future options for organic farming policy support in Europe — https://openalex.org/W3200370314</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Policy support has been very important for the development of organic farming in Europe since the 1990s. Measures include regulations defining organic in the marketplace, support payments for organic conversion and maintenance, and action plans aimed at integrating market and rural development support. Such support has been justified in terms of the environmental and other societal benefits delivered, as well as the economic benefits of the market for organic food. While the evidence for public benefits from organic farming is clear and increasing, the mechanisms for rewarding these benefits have been focused, as other agri-environment measures, on income foregone and costs incurred. With the introduction of a new CAP, involving Member State Strategic Plans and Ecoschemes, the focus of policy is shifting to results. This paper explores the implications of the for future organic farming support, including how public benefits from complex, multi-functional systems can be identified, quantified and valued at an affordable cost.</w:t>
      </w:r>
    </w:p>
    <w:p>
      <w:pPr>
        <w:pStyle w:val="Heading2"/>
      </w:pPr>
      <w:r>
        <w:t>674.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2024:</w:t>
      </w:r>
      <w:r>
        <w:t xml:space="preserve"> An anti-money laundering authority for the European Union: a new center of gravity in AML enforcement — https://doi.org/10.1007/s12027-024-00805-9</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Abstract The establishment of an Anti-Money Laundering Authority (AMLA) heralds a milestone in the European Union’s (EU) institutional framework for the enforcement of anti-money laundering and countering the financing of terrorism (AML/CFT) rules. This contribution explores the competence and powers of the new AML/CFT supervisor. While AMLA is a true enforcement actor with investigative and sanctioning powers to address breaches of AML/CFT requirements, the scope of AMLA’s enforcement powers will be limited. AMLA will nevertheless have an important regulatory impact and it will enhance the fight against cross-border financial crime by supporting the work of other bodies and agencies in the field.</w:t>
      </w:r>
    </w:p>
    <w:p>
      <w:pPr/>
      <w:r>
        <w:rPr>
          <w:b/>
        </w:rPr>
        <w:t>POSSIBLE 2023:</w:t>
      </w:r>
      <w:r>
        <w:t xml:space="preserve"> THE EUROPEAN UNION: THE HISTORY OF ESTABLISHMENT AND SIGNIFICANCE FOR UKRAINE — https://doi.org/10.30970/vla.2023.76.015</w:t>
      </w:r>
    </w:p>
    <w:p>
      <w:pPr/>
      <w:r>
        <w:rPr>
          <w:b/>
        </w:rPr>
        <w:t>Shared claim-specific concepts:</w:t>
      </w:r>
      <w:r>
        <w:t xml:space="preserve"> establishment, powers, process, role, they, played; EU scope visible. This is a provisional connection, not an outcome finding.</w:t>
      </w:r>
    </w:p>
    <w:p>
      <w:pPr>
        <w:pStyle w:val="SourceNote"/>
      </w:pPr>
      <w:r>
        <w:rPr>
          <w:b/>
        </w:rPr>
        <w:t>Available abstract (not full text):</w:t>
      </w:r>
      <w:r>
        <w:t xml:space="preserve"> The article reveals the prerequisites for the formation and development of European integration, reveals the processes of creating the European Union as a new form of European integration, and analyzes the achievements of Ukraine in European integration processes. It is noted that the idea of uniting the peoples and states of Europe has a long history. In various historical periods, European rulers and politicians sought to implement the idea of European unification. The idea of European unity was developed and defended in their writings by philosophers, scientists, religious figures, etc. This idea is based on the principles of territorial and civilizational kinship and unity of Europeans and runs through the entire history of European nations. The formation and development of European integration institutions was the result of the consistent development of the unification process of the countries of Western Europe, which went through several stages in their development. Integration involved an active search for ways and means of political, legal, economic (and in some cases, social and cultural) unification of European states with the aim of establishing their close, first of all, economic cooperation. An important role in integration processes was and continues to be played by the economic basis of the development of states. European integration is based on economic integrat</w:t>
      </w:r>
    </w:p>
    <w:p>
      <w:pPr/>
      <w:r>
        <w:rPr>
          <w:b/>
        </w:rPr>
        <w:t>POSSIBLE 2022:</w:t>
      </w:r>
      <w:r>
        <w:t xml:space="preserve"> The relationship between Willy Brandt and the Norwegian Labor Party, and the process of change and establishment of Brandt’s thoughts seen from the publication of The Purpose of War of Great Powers and a New Europe — https://doi.org/10.17995/kjgs.2022.2.49.93</w:t>
      </w:r>
    </w:p>
    <w:p>
      <w:pPr/>
      <w:r>
        <w:rPr>
          <w:b/>
        </w:rPr>
        <w:t>Shared claim-specific concepts:</w:t>
      </w:r>
      <w:r>
        <w:t xml:space="preserve"> establishment, powers, relationship, process; EU scope visible. This is a provisional connection, not an outcome finding.</w:t>
      </w:r>
    </w:p>
    <w:p>
      <w:pPr>
        <w:pStyle w:val="SourceNote"/>
      </w:pPr>
      <w:r>
        <w:rPr>
          <w:b/>
        </w:rPr>
        <w:t>Available abstract (not full text):</w:t>
      </w:r>
      <w:r>
        <w:t xml:space="preserve"> 노르웨이 노동당은 브란트의 삶과 사상의 궤적에 큰 영향을 끼쳤다. 특히, 브란트가 사회주의, 자유, 민주주의, 유럽연방주의 사상을 정립해 가는 데 있어서 많은 자극과 영감을 주었다. 노르웨이 망명기간 동안 브란트는 그 곳 노동당의 도움을 많이 받았다. 그러면서 노르웨이 노동당의 노선과 실체에 대해 많은 것을 새롭게 느끼고 깨닫게 되었다. 그리하여 이 시기에 대한 연구는 청년 브란트의 사상과 삶, 국제 네트워크를 이해하는데 매우 유익하다. 특히, 코민테른과 소련에 대한 노르웨이 노동당과 빌리 브란트의 이해와 반응의 유사성이 매우 흥미롭다. 이 유사성들이 상호 관계에 크게 작용했음은 매우 주목할 만한 내용이다. 이 과정에서 브란트는 고향 뤼벡 시절에서와는 다르게 자유와 민주주의 그리고 유럽연방주의에 대한 개념을 더욱 깊게 하고 사회주의와의 관계를 체계화하였다. 이러한 과정과 결과들 이 『강대국의 전쟁목적과 새로운 유럽』 책 속에 녹아들어 갔다. 이 책을 통해 노르웨이 노동당과 빌리 브란트의 관계 그리고 그의 활동은 더욱 활 성화 될 것이었다. 그러나 나치 독일의 노르웨이 점령으로 그렇게 되지 못 하고 험난한 운명을 맞이했다.</w:t>
      </w:r>
    </w:p>
    <w:p>
      <w:pPr/>
      <w:r>
        <w:rPr>
          <w:b/>
        </w:rPr>
        <w:t>POSSIBLE 2022:</w:t>
      </w:r>
      <w:r>
        <w:t xml:space="preserve"> The Delegation of Powers to EU Agencies After the Financial Crisis — https://doi.org/10.15166/2499-8249/535</w:t>
      </w:r>
    </w:p>
    <w:p>
      <w:pPr/>
      <w:r>
        <w:rPr>
          <w:b/>
        </w:rPr>
        <w:t>Shared claim-specific concepts:</w:t>
      </w:r>
      <w:r>
        <w:t xml:space="preserve"> establishment, powers, role, they; EU scope visible. This is a provisional connection, not an outcome finding.</w:t>
      </w:r>
    </w:p>
    <w:p>
      <w:pPr>
        <w:pStyle w:val="SourceNote"/>
      </w:pPr>
      <w:r>
        <w:rPr>
          <w:b/>
        </w:rPr>
        <w:t>Available abstract (not full text):</w:t>
      </w:r>
      <w:r>
        <w:t xml:space="preserve"> The financial crisis has set new challenges for European integration, including the revision of priorities, principles and mechanisms of micro-prudential supervision of financial markets. Amongst the significant institutional reforms, the intensification of controls on financial markets has been pursued through the establishment of the European Supervisory Authorities in the financial markets (ESAs). This Article aims to analyse the role that these Authorities have been playing in shaping the EU legal order after the financial crisis. As a result of the EMU-related regulation aimed at enhancing EU financial stability after the crisis, the ESAs institutionalise administrative cooperation in micro-prudential supervision. The combination of agencification and crisis management is not new to the development of European integration nor specific to the case of financial markets. Nevertheless, the ESAs represent a peculiar regulatory experience, which share many characteristics of EU agencies, yet move towards an embryonic model of independent regulators. Compared to other EU agencies, in fact, they enjoy wider powers and a much more autonomous status from the Commission. They have acquired highly relevant competences that enhance their role in the internal market regulation. In addition, the CJEU engaged in a partial revision of the interpretative boundaries of the Meroni doctrine co</w:t>
      </w:r>
    </w:p>
    <w:p>
      <w:pPr/>
      <w:r>
        <w:rPr>
          <w:b/>
        </w:rPr>
        <w:t>POSSIBLE 2021:</w:t>
      </w:r>
      <w:r>
        <w:t xml:space="preserve"> The Emergence of New States in Eastern Europe in 1918—Lessons for All of Europe — https://doi.org/10.2478/bjes-2021-0001</w:t>
      </w:r>
    </w:p>
    <w:p>
      <w:pPr/>
      <w:r>
        <w:rPr>
          <w:b/>
        </w:rPr>
        <w:t>Shared claim-specific concepts:</w:t>
      </w:r>
      <w:r>
        <w:t xml:space="preserve"> establishment, powers, well, efforts, crucial, process; EU scope visible. This is a provisional connection, not an outcome finding.</w:t>
      </w:r>
    </w:p>
    <w:p>
      <w:pPr>
        <w:pStyle w:val="SourceNote"/>
      </w:pPr>
      <w:r>
        <w:rPr>
          <w:b/>
        </w:rPr>
        <w:t>Available abstract (not full text):</w:t>
      </w:r>
      <w:r>
        <w:t xml:space="preserve"> Abstract The year of 1918 was a crucial point in the history of Europe. Its importance does not only stem from the end of World War I, but also from the establishment of new states. Eastern Europe was particularly an arena where many new states emerged after the dissolution of tsarist Russia. The abovementioned process was correlated with the outcome of World War I (the defeat of the Central Powers on the Western Front and their victory on the Eastern Front against the tsarist Russia resulting in imposing their protectorate over Eastern Europe) but simultaneously it was influenced by the 1917 Bolshevik Revolution originating from a structural crisis of Russia. The legacy of nation-building processes, taking place in the period of 1917–1921 in the European part of the tsarist Russia— even when some of the states did not manage to survive— occupies a key role in the historical memories of those countries. The importance of this legacy originates from the fact that these states often constituted the most progressive nation-building efforts in the world. The wider context of these developments and the important interlinkages existing between them are very often unfamiliar to many Europeans today. Despite that, the state-building attempts, undertaken in Eastern Europe between 1917 and 1921, had a huge impact on the trajectory of European history. Contextualising this particular acad</w:t>
      </w:r>
    </w:p>
    <w:p>
      <w:pPr/>
      <w:r>
        <w:rPr>
          <w:b/>
        </w:rPr>
        <w:t>POSSIBLE 2021:</w:t>
      </w:r>
      <w:r>
        <w:t xml:space="preserve"> Philanthrocapitalism and the Separation of Powers — https://doi.org/10.1146/annurev-lawsocsci-120220-074323</w:t>
      </w:r>
    </w:p>
    <w:p>
      <w:pPr/>
      <w:r>
        <w:rPr>
          <w:b/>
        </w:rPr>
        <w:t>Shared claim-specific concepts:</w:t>
      </w:r>
      <w:r>
        <w:t xml:space="preserve"> powers, major; EU scope visible. This is a provisional connection, not an outcome finding.</w:t>
      </w:r>
    </w:p>
    <w:p>
      <w:pPr>
        <w:pStyle w:val="SourceNote"/>
      </w:pPr>
      <w:r>
        <w:rPr>
          <w:b/>
        </w:rPr>
        <w:t>Available abstract (not full text):</w:t>
      </w:r>
      <w:r>
        <w:t xml:space="preserve"> This article discusses the rise of an approach to philanthropic giving known as philanthrocapitalism. I relate it to a new paradigm in management theory that has claimed that private profit making naturally aligns with improved public welfare. I show how growing belief in the inherent “compatibility” of corporate missions and public benefits has led to new laws and contributed to major shifts in how giving practices are structured and legitimated. The original point made in this article is that the philanthrocapitalist turn is more than simply an organizational change in the structure of different philanthropic institutions. Rather, the belief that profit-making and public welfare are naturally aligned also has significant, undertheorized implications for different principles in European-American legal traditions. The ascendancy of the philanthrocapitalist approach represents a subtle but profound displacement of belief in the need for democratic checks and balances on the use of public funds for private enrichment.</w:t>
      </w:r>
    </w:p>
    <w:p>
      <w:pPr/>
      <w:r>
        <w:rPr>
          <w:b/>
        </w:rPr>
        <w:t>POSSIBLE 2021:</w:t>
      </w:r>
      <w:r>
        <w:t xml:space="preserve"> The EU’s ‘watchdogs’: assessing the powers of the European Ombudsman and European Court of Auditors — https://openalex.org/W3168197065</w:t>
      </w:r>
    </w:p>
    <w:p>
      <w:pPr/>
      <w:r>
        <w:rPr>
          <w:b/>
        </w:rPr>
        <w:t>Shared claim-specific concepts:</w:t>
      </w:r>
      <w:r>
        <w:t xml:space="preserve"> powers, assessing, role, they, play; EU scope visible. This is a provisional connection, not an outcome finding.</w:t>
      </w:r>
    </w:p>
    <w:p>
      <w:pPr>
        <w:pStyle w:val="SourceNote"/>
      </w:pPr>
      <w:r>
        <w:rPr>
          <w:b/>
        </w:rPr>
        <w:t>Available abstract (not full text):</w:t>
      </w:r>
      <w:r>
        <w:t xml:space="preserve"> The European Ombudsman and European Court of Auditors both play an important role in guaranteeing the EU’s transparency, accountability and integrity. Anchrit Wille and Mark Bovens argue that the key to understanding the impact of the two institutions lies in the use of their powers, rather than the formal remits they have been assigned.</w:t>
      </w:r>
    </w:p>
    <w:p>
      <w:pPr/>
      <w:r>
        <w:rPr>
          <w:b/>
        </w:rPr>
        <w:t>POSSIBLE 2021:</w:t>
      </w:r>
      <w:r>
        <w:t xml:space="preserve"> EU Operational Powers and Legal Protection: A Legal Theory Perspective on the Operational Powers of the European Border and Coast Guard — https://doi.org/10.1017/glj.2021.29</w:t>
      </w:r>
    </w:p>
    <w:p>
      <w:pPr/>
      <w:r>
        <w:rPr>
          <w:b/>
        </w:rPr>
        <w:t>Shared claim-specific concepts:</w:t>
      </w:r>
      <w:r>
        <w:t xml:space="preserve"> powers, process, they; EU scope visible. This is a provisional connection, not an outcome finding.</w:t>
      </w:r>
    </w:p>
    <w:p>
      <w:pPr>
        <w:pStyle w:val="SourceNote"/>
      </w:pPr>
      <w:r>
        <w:rPr>
          <w:b/>
        </w:rPr>
        <w:t>Available abstract (not full text):</w:t>
      </w:r>
      <w:r>
        <w:t xml:space="preserve"> Abstract For the first time in its history, the EU is in the process of acquiring significant and genuine permanent operational powers. A new Regulation on the European Border and Coast Guard provides Frontex with a permanent corps of 10,000 border guards—3,000 of which will be EU agents—its own equipment, and its own competences to intervene along the EU borders and beyond. The operational powers will allow the EU to directly and physically intervene in tangible reality. This Article argues that the conferral of operational powers on the EU poses a risk to individual legal protection. This is because once authorities have acquired operational powers of a certain extent and quality, they can afford to act against or without the law by simply overpowering or eluding the legal mechanisms that normally constrain the exercise of public power. So far, Members of the European Parliament and academics critical of Frontex and the new Regulation have overlooked this issue and concentrated exclusively on how to legally constrain the exercise of operational powers. This Article addresses this blind spot by examining whether and how public law should place legal constraints not only on the exercise but also on the build-up of operational powers.</w:t>
      </w:r>
    </w:p>
    <w:p>
      <w:pPr>
        <w:pStyle w:val="Heading2"/>
      </w:pPr>
      <w:r>
        <w:t>675.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2025:</w:t>
      </w:r>
      <w:r>
        <w:t xml:space="preserve"> Spatial shifts of seasonal vegetation cycles in Europe over time — https://doi.org/10.5194/egusphere-egu25-11953</w:t>
      </w:r>
    </w:p>
    <w:p>
      <w:pPr/>
      <w:r>
        <w:rPr>
          <w:b/>
        </w:rPr>
        <w:t>Shared claim-specific concepts:</w:t>
      </w:r>
      <w:r>
        <w:t xml:space="preserve"> show, first, time, over, climate, however; EU scope visible. This is a provisional connection, not an outcome finding.</w:t>
      </w:r>
    </w:p>
    <w:p>
      <w:pPr>
        <w:pStyle w:val="SourceNote"/>
      </w:pPr>
      <w:r>
        <w:rPr>
          <w:b/>
        </w:rPr>
        <w:t>Available abstract (not full text):</w:t>
      </w:r>
      <w:r>
        <w:t xml:space="preserve">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pPr/>
      <w:r>
        <w:rPr>
          <w:b/>
        </w:rPr>
        <w:t>POSSIBLE 2025:</w:t>
      </w:r>
      <w:r>
        <w:t xml:space="preserve"> The spatiotemporal dynamics of COVID-19 in Europe: time-series clustering maps 5 distinct trajectories to spatial patterns — https://doi.org/10.1186/s12963-025-00405-w</w:t>
      </w:r>
    </w:p>
    <w:p>
      <w:pPr/>
      <w:r>
        <w:rPr>
          <w:b/>
        </w:rPr>
        <w:t>Shared claim-specific concepts:</w:t>
      </w:r>
      <w:r>
        <w:t xml:space="preserve"> show, first, time, within; EU scope visible. This is a provisional connection, not an outcome finding.</w:t>
      </w:r>
    </w:p>
    <w:p>
      <w:pPr>
        <w:pStyle w:val="SourceNote"/>
      </w:pPr>
      <w:r>
        <w:rPr>
          <w:b/>
        </w:rPr>
        <w:t>Available abstract (not full text):</w:t>
      </w:r>
      <w:r>
        <w:t xml:space="preserve"> The COVID-19 pandemic affected Europe unevenly, with surges in infections and deaths fluctuating across different regions and time periods. Hyper-localised hotspots and staggered timelines created intense, asynchronous waves of infections and deaths that distort country-level and cumulative data, obscuring the pandemic's spatiotemporal dynamics through aggregation. Despite extensive research comparing states and analysing subnational variance within individual countries, the detailed subnational and transnational dynamics of the COVID-19 pandemic across Europe as a whole have not been comprehensively described. Here we show that time-series clustering, applied to weekly excess mortality estimates for subnational NUTS3 administrative regions of 27 countries in Europe, identifies five distinct pandemic trajectories which map to spatial patterns. The trajectories comprise two subgroups, representing contrasting pandemic dynamics in eastern and western Europe. Western Europe exhibits concentric arrangements of mortality impact, with secondary and tertiary impact zones surrounding outbreak epicenters. Eastern Europe exhibits internally homogeneous spatial dynamics, possibly due to the deferral of the first major mortality wave.</w:t>
      </w:r>
    </w:p>
    <w:p>
      <w:pPr/>
      <w:r>
        <w:rPr>
          <w:b/>
        </w:rPr>
        <w:t>POSSIBLE 2025:</w:t>
      </w:r>
      <w:r>
        <w:t xml:space="preserve"> #154 Time trends in European paediatric kidney transplantation: an ESPN/ERA Registry study — https://doi.org/10.1093/ndt/gfaf116.0876</w:t>
      </w:r>
    </w:p>
    <w:p>
      <w:pPr/>
      <w:r>
        <w:rPr>
          <w:b/>
        </w:rPr>
        <w:t>Shared claim-specific concepts:</w:t>
      </w:r>
      <w:r>
        <w:t xml:space="preserve"> first, time, differences, over; EU scope visible. This is a provisional connection, not an outcome finding.</w:t>
      </w:r>
    </w:p>
    <w:p>
      <w:pPr>
        <w:pStyle w:val="SourceNote"/>
      </w:pPr>
      <w:r>
        <w:rPr>
          <w:b/>
        </w:rPr>
        <w:t>Available abstract (not full text):</w:t>
      </w:r>
      <w:r>
        <w:t xml:space="preserve"> Abstract Background and Aims Kidney transplantation is the optimal treatment modality for most patients with kidney failure particularly in childhood due to survival advantages and improved physical and psychosocial development. While most children initiate kidney replacement therapy (KRT) on dialysis, they are expected to receive a kidney transplant during childhood. We know that in Europe there are substantial differences in the access to kidney transplantation, but information on time trends is lacking. The aim of this study was therefore to report on time trends in paediatric kidney transplantation rates and recipient characteristics between 2010 and 2021 in Europe, overall and by country macro-economic level. Method Thirty-one countries contributing with data to the ESPN/ERA Registry on kidney transplant recipients below 18 years (covering about 90% of Europe) between 2010 and 2021 were included. The main analysis focused on the period of 2010–19. Additionally, the years 2020–21 were analysed separately, because of the potential effect of the COVID-19 pandemic. We reported trends in kidney transplantation per million age related population (pmarp) in Europe, overall and by country groups based on macro-economic level [low, middle or high income countries according to the gross domestic product (GDP) per capita in 2021]. Time trends were reported as annual percentage change</w:t>
      </w:r>
    </w:p>
    <w:p>
      <w:pPr/>
      <w:r>
        <w:rPr>
          <w:b/>
        </w:rPr>
        <w:t>POSSIBLE 2024:</w:t>
      </w:r>
      <w:r>
        <w:t xml:space="preserve"> “EUROPE”: A Patriotic Ballet for the First World War — https://doi.org/10.1080/19475020.2024.2352853</w:t>
      </w:r>
    </w:p>
    <w:p>
      <w:pPr/>
      <w:r>
        <w:rPr>
          <w:b/>
        </w:rPr>
        <w:t>Shared claim-specific concepts:</w:t>
      </w:r>
      <w:r>
        <w:t xml:space="preserve"> show, first, time, associated, however, within; EU scope visible. This is a provisional connection, not an outcome finding.</w:t>
      </w:r>
    </w:p>
    <w:p>
      <w:pPr>
        <w:pStyle w:val="SourceNote"/>
      </w:pPr>
      <w:r>
        <w:rPr>
          <w:b/>
        </w:rPr>
        <w:t>Available abstract (not full text):</w:t>
      </w:r>
      <w:r>
        <w:t xml:space="preserve"> From September 1914 to January 1915, the Empire Theatre in London staged what was billed as a patriotic ballet called Europe. In addition to its lengthy run in the capital, a second version of the show toured the country, appearing at theatres in Manchester, Newcastle, Glasgow, Sheffield, Liverpool, Bradford, Nottingham and Portsmouth. The show received unanimous praise in both national and regional newspapers. However, despite its reach, popularity and impact, Europe has been mostly forgotten. Since it was a dance-based performance, no script was submitted to the Lord Chamberlain’s office. Although the piece did include music, it produced no hit songs captured on gramophone records or sheet music. Moreover, once the reality of the First World War began to hit home, the manner in which the show trivialised and glorified the conflict quickly fell out of step with public opinion. Therefore, when Europe’s run ended, it was permanently shelved and assigned to the passing of time. Nevertheless, the show left an archival imprint scattered through newspapers, theatre programmes, magazines and autobiographies. The following article draws these fragments together to form a blueprint of this hitherto discarded piece of popular culture. This reconstruction reveals a strikingly complex and rich piece of theatre, both in terms of its technical construction and how cultural conventions were </w:t>
      </w:r>
    </w:p>
    <w:p>
      <w:pPr/>
      <w:r>
        <w:rPr>
          <w:b/>
        </w:rPr>
        <w:t>POSSIBLE 2023:</w:t>
      </w:r>
      <w:r>
        <w:t xml:space="preserve"> “The first difficulty is time”: The impact of gestational age limits on reproductive health and justice in the context of cross-border travel for abortion care in Europe — https://doi.org/10.1016/j.socscimed.2023.115760</w:t>
      </w:r>
    </w:p>
    <w:p>
      <w:pPr/>
      <w:r>
        <w:rPr>
          <w:b/>
        </w:rPr>
        <w:t>Shared claim-specific concepts:</w:t>
      </w:r>
      <w:r>
        <w:t xml:space="preserve"> show, first, time; EU scope visible. This is a provisional connection, not an outcome finding.</w:t>
      </w:r>
    </w:p>
    <w:p>
      <w:pPr>
        <w:pStyle w:val="SourceNote"/>
      </w:pPr>
      <w:r>
        <w:rPr>
          <w:b/>
        </w:rPr>
        <w:t>Available abstract (not full text):</w:t>
      </w:r>
      <w:r>
        <w:t xml:space="preserve"> Drawing on qualitative and quantitative data collected during a 5-year multi-disciplinary European research project, in this article we show how restrictions on access to legal abortion, and particularly gestational age (GA) limits at the end of the first trimester of pregnancy, negatively affect women and pregnant people living in European countries where abortion is legal on request or on broad grounds. First, we examine why most European legislations establish GA limits, and illustrate how abortion is framed in national laws and in the current national and international legal and political debates on abortion rights. We then show, based on research data we collected during our 5-year project and contextualized with existing data and statistics, how these restrictions force thousands of people to travel across borders from European countries where abortion is legal, delaying access to care, and increasing pregnant people's health risks. Finally, we explore, from an anthropological perspective, how pregnant people who travel across borders for abortion care conceptualize abortion access, and the relationship between the right to abortion care and the GA restrictions that limit this right. Our study participants criticize the time restrictions established by the laws in their countries of residence as failing to meet pregnant people's needs, highlight the crucial importance of </w:t>
      </w:r>
    </w:p>
    <w:p>
      <w:pPr/>
      <w:r>
        <w:rPr>
          <w:b/>
        </w:rPr>
        <w:t>POSSIBLE 2022:</w:t>
      </w:r>
      <w:r>
        <w:t xml:space="preserve"> Impact of the first wave of the COVID-19 pandemic on birth rates in Europe: a time series analysis in 24 countries — https://doi.org/10.1093/humrep/deac215</w:t>
      </w:r>
    </w:p>
    <w:p>
      <w:pPr/>
      <w:r>
        <w:rPr>
          <w:b/>
        </w:rPr>
        <w:t>Shared claim-specific concepts:</w:t>
      </w:r>
      <w:r>
        <w:t xml:space="preserve"> first, time, power, differences, over, associated; EU scope visible. This is a provisional connection, not an outcome finding.</w:t>
      </w:r>
    </w:p>
    <w:p>
      <w:pPr>
        <w:pStyle w:val="SourceNote"/>
      </w:pPr>
      <w:r>
        <w:rPr>
          <w:b/>
        </w:rPr>
        <w:t>Available abstract (not full text):</w:t>
      </w:r>
      <w:r>
        <w:t xml:space="preserve"> STUDY QUESTION: Did the first wave of the COVID-19 pandemic have an impact on monthly birth rates in Europe? SUMMARY ANSWER: Using datasets on live births per month in Europe, collected from the Human Fertility Database, we found a -14.1% decline in live births in January 2021 (i.e. 9-10 months after the epidemic peaks and first lockdowns), compared to the average number of live births in January 2018 and 2019. WHAT IS KNOWN ALREADY: Previous pandemics in the 20th and 21st centuries have been associated with a decline in birth rates 9 months after their peak, and a rebound in births over time. Lockdowns were necessary to control the first wave of the COVID-19 pandemic and may have had an impact on subsequent birth rates. STUDY DESIGN, SIZE, DURATION: Monthly time series data on live births from January 2018 to March 2021 were extracted to provide a time-series analysis of birthrates during and after the first wave of the COVID-19 pandemic in 24 European countries. PARTICIPANTS/MATERIALS, SETTING, METHODS: We conducted a random-effect generalized least squares regression to assess the seasonality of births from January 2018 to March 2021, and to identify potential differences in monthly live births after the first wave of the COVID-19 pandemic, considering the seasonality of births. To quantify these potential differences, we estimated the variation rate between the monthly live</w:t>
      </w:r>
    </w:p>
    <w:p>
      <w:pPr/>
      <w:r>
        <w:rPr>
          <w:b/>
        </w:rPr>
        <w:t>POSSIBLE 2022:</w:t>
      </w:r>
      <w:r>
        <w:t xml:space="preserve"> High-Resolution Mapping of Winter Cereals in Europe by Time Series Landsat and Sentinel Images for 2016–2020 — https://doi.org/10.3390/rs14092120</w:t>
      </w:r>
    </w:p>
    <w:p>
      <w:pPr/>
      <w:r>
        <w:rPr>
          <w:b/>
        </w:rPr>
        <w:t>Shared claim-specific concepts:</w:t>
      </w:r>
      <w:r>
        <w:t xml:space="preserve"> show, first, time, total, over, respectively; EU scope visible. This is a provisional connection, not an outcome finding.</w:t>
      </w:r>
    </w:p>
    <w:p>
      <w:pPr>
        <w:pStyle w:val="SourceNote"/>
      </w:pPr>
      <w:r>
        <w:rPr>
          <w:b/>
        </w:rPr>
        <w:t>Available abstract (not full text):</w:t>
      </w:r>
      <w:r>
        <w:t xml:space="preserve"> Winter cereals, including wheat, rye, barley, and triticale, are important food crops, and it is crucial to identify the distribution of winter cereals for monitoring crop growth and predicting yield. The production and plating area of winter cereals in Europe both contribute 12.57% to the total global cereal production and plating area in 2020. However, the distribution maps of winter cereals with high spatial resolution are scarce in Europe. Here, we first used synthetic aperture radar (SAR) data from Sentinel-1 A/B, in the Interferometric Wide (IW) swath mode, to distinguish rapeseed and winter cereals; we then used a time-weighted dynamic time warping (TWDTW) method to discriminate winter cereals from other crops by comparing the similarity of seasonal changes in the Normalized Difference Vegetation Index (NDVI) from Landsat and Sentinel-2 images. We generated winter cereal maps for 2016–2020 that cover 32 European countries with 30 m spatial resolution. Validation using field samples obtained from the Google Earth Engine (GEE) platform show that the producer’s and user’s accuracies are 91% ± 7.8% and 89% ± 10.3%, respectively, averaged over 32 countries in Europe. The winter cereal map agrees well with agricultural census data for planted winter cereal areas at municipal and country levels, with the averaged coefficient of determination R2 as 0.77 ± 0.15 for 2016–2019. In </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show, first, time, power, total, energy;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2021:</w:t>
      </w:r>
      <w:r>
        <w:t xml:space="preserve"> Islam and space in Europe: the politics of race, time, and secularism — https://doi.org/10.1080/01419870.2021.1918739</w:t>
      </w:r>
    </w:p>
    <w:p>
      <w:pPr/>
      <w:r>
        <w:rPr>
          <w:b/>
        </w:rPr>
        <w:t>Shared claim-specific concepts:</w:t>
      </w:r>
      <w:r>
        <w:t xml:space="preserve"> show, first, time; EU scope visible. This is a provisional connection, not an outcome finding.</w:t>
      </w:r>
    </w:p>
    <w:p>
      <w:pPr>
        <w:pStyle w:val="SourceNote"/>
      </w:pPr>
      <w:r>
        <w:rPr>
          <w:b/>
        </w:rPr>
        <w:t>Available abstract (not full text):</w:t>
      </w:r>
      <w:r>
        <w:t xml:space="preserve"> This introduction to the Special Issue “Rethinking Islam and Space in Europe” advocates for an analytical turn in the study of Islam in Europe by using space as a central conceptual lens. While spatial approaches are gaining traction in the study of religion, migration, ethnicity, and race, we argue that the critical potential of spatial approaches remains largely unexplored. This paper offers a threefold contribution. First, we show how combining spatial perspectives with local histories contributes to de-exceptionalising the contemporary study of Islam in urban contexts. Second, by “localising secularism” we can uncover concrete formations of exclusion and erasure, while also providing a more refined picture of the ways in which the agency of Muslims is negotiated. Third, we demonstrate how scrutinizing the nexus of time, race and Europe reveals colonial pasts and continuities that are disrupted and transformed by the movement of bodies through public spaces.</w:t>
      </w:r>
    </w:p>
    <w:p>
      <w:pPr/>
      <w:r>
        <w:rPr>
          <w:b/>
        </w:rPr>
        <w:t>POSSIBLE 2021:</w:t>
      </w:r>
      <w:r>
        <w:t xml:space="preserve"> Depression and loneliness of older adults in Europe and Israel after the first wave of covid-19 — https://doi.org/10.1007/s10433-021-00640-8</w:t>
      </w:r>
    </w:p>
    <w:p>
      <w:pPr/>
      <w:r>
        <w:rPr>
          <w:b/>
        </w:rPr>
        <w:t>Shared claim-specific concepts:</w:t>
      </w:r>
      <w:r>
        <w:t xml:space="preserve"> show, first, time, however; EU scope visible. This is a provisional connection, not an outcome finding.</w:t>
      </w:r>
    </w:p>
    <w:p>
      <w:pPr>
        <w:pStyle w:val="SourceNote"/>
      </w:pPr>
      <w:r>
        <w:rPr>
          <w:b/>
        </w:rPr>
        <w:t>Available abstract (not full text):</w:t>
      </w:r>
      <w:r>
        <w:t xml:space="preserve"> Epidemic control measures that aim to introduce social distancing help to decelerate the spread of the COVID-19 pandemic. However, their consequences in terms of mental well-being might be negative, especially for older adults. While existing studies mainly focus on the time during the first lockdown, we look at the weeks afterward in order to measure the medium-term consequences of the first wave of the pandemic. Using data from the SHARE Corona Survey, we include retired respondents aged 60 and above from 25 European countries plus Israel. Combining SHARE data with macro-data from the Oxford COVID-19 Government Response Tracker allows us to include macro-indicators at the country level, namely the number of deaths per 100,000 and the number of days with stringent epidemic control measures, in addition to individual characteristics. The findings show that both macro-indicators are influential for increased feelings of sadness/depression, but that individual factors are crucial for explaining increased feelings of loneliness in the time after the first lockdown. Models with interaction terms reveal that the included macro-indicators have negative well-being consequences, particularly for the oldest survey participants. Additionally, the results reveal that especially those living alone had a higher risk for increased loneliness in the time after the first COVID-19 wave. Supplem</w:t>
      </w:r>
    </w:p>
    <w:p>
      <w:pPr/>
      <w:r>
        <w:rPr>
          <w:b/>
        </w:rPr>
        <w:t>POSSIBLE 2021:</w:t>
      </w:r>
      <w:r>
        <w:t xml:space="preserve"> Time–Motion Analysis by Playing Positions of Male Handball Players during the European Championship 2020 — https://doi.org/10.3390/ijerph18062787</w:t>
      </w:r>
    </w:p>
    <w:p>
      <w:pPr/>
      <w:r>
        <w:rPr>
          <w:b/>
        </w:rPr>
        <w:t>Shared claim-specific concepts:</w:t>
      </w:r>
      <w:r>
        <w:t xml:space="preserve"> first, time, system, differences, total; EU scope visible. This is a provisional connection, not an outcome finding.</w:t>
      </w:r>
    </w:p>
    <w:p>
      <w:pPr>
        <w:pStyle w:val="SourceNote"/>
      </w:pPr>
      <w:r>
        <w:rPr>
          <w:b/>
        </w:rPr>
        <w:t>Available abstract (not full text):</w:t>
      </w:r>
      <w:r>
        <w:t xml:space="preserve"> The aim of this study was to analyze time–motion characteristics of elite male handball players during the last European Championship 2020. A total of 414 players from 24 national teams were analyzed during 65 matches using a local positioning system (LPS) for the first time in a European Championship. Players (n = 1865) covered significantly (p &lt; 0.001; ES = 0.48) more total distance in offense (1217.48 ± 699.33 m) and in all locomotion categories (p &lt; 0.001) than in defense (900.96 ± 538.95 m), with a similar average total time on court (13.40 ± 8.19 min in offense and 13.27 ± 8.59 min; p &gt; 0.05). The running pace was significantly higher in offense 96.53 ± 22.57 m/min than in defense 82.72 ± 43.28 m/min (p &lt; 0.001; ES = 0.47). By playing positions, the Left Wing players covered significantly (p &lt; 0.001) higher distances (2547.14 ± 1309.52) and showed longer playing time (32.08 ± 17.01). Center Back was the playing position that showed the highest global running pace (98.34 m/min). Players with higher running pace in offense (p &lt; 0.001) were Left Backs (105.95 ± 25.20) and the Center Backs in defense (95.76 ± 48.90). There were no significant differences between winners and losers or between top ranked and lower ranked teams in terms of time played, distance covered, and running pace. Specific physical conditioning is necessary to maximize performance and minimize fatigue whe</w:t>
      </w:r>
    </w:p>
    <w:p>
      <w:pPr>
        <w:pStyle w:val="Heading2"/>
      </w:pPr>
      <w:r>
        <w:t>676.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2025:</w:t>
      </w:r>
      <w:r>
        <w:t xml:space="preserve"> High resolution soil property maps and their uncertainty for Europe — https://openalex.org/W7110658065</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pPr/>
      <w:r>
        <w:rPr>
          <w:b/>
        </w:rPr>
        <w:t>POSSIBLE 2025:</w:t>
      </w:r>
      <w:r>
        <w:t xml:space="preserve"> Assessing data uncertainty in large-scale energy model — https://doi.org/10.26868/25222708.2025.1706</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pPr/>
      <w:r>
        <w:rPr>
          <w:b/>
        </w:rPr>
        <w:t>POSSIBLE 2025:</w:t>
      </w:r>
      <w:r>
        <w:t xml:space="preserve"> Data Uncertainty of Flood Susceptibility Using Non-Flood Samples — https://doi.org/10.3390/rs17030375</w:t>
      </w:r>
    </w:p>
    <w:p>
      <w:pPr/>
      <w:r>
        <w:rPr>
          <w:b/>
        </w:rPr>
        <w:t>Shared claim-specific concepts:</w:t>
      </w:r>
      <w:r>
        <w:t xml:space="preserve"> data, uncertainty, three, high, low, factors; EU scope not established. This is a provisional connection, not an outcome finding.</w:t>
      </w:r>
    </w:p>
    <w:p>
      <w:pPr>
        <w:pStyle w:val="SourceNote"/>
      </w:pPr>
      <w:r>
        <w:rPr>
          <w:b/>
        </w:rPr>
        <w:t>Available abstract (not full text):</w:t>
      </w:r>
      <w:r>
        <w:t xml:space="preserve"> Flood susceptibility provides scientific support for flood prevention planning and infrastructure development by identifying and assessing flood-prone areas. The uncertainty posed by non-flood sample datasets remains a key challenge in flood susceptibility mapping. Therefore, this study proposes a novel sampling method for non-flood points. A flood susceptibility model is constructed using a machine learning algorithm to examine the uncertainty in flood susceptibility due to non-flood point selection. The influencing factors of flood susceptibility are analyzed through interpretable models. Compared to non-flood datasets generated by random sampling with the buffer method, the non-flood dataset constructed using the spatial range identified by the frequency ratio model and sampling method of one-class support vector machine achieves higher accuracy. This significantly improves the simulation accuracy of the flood susceptibility model, with an accuracy increase of 24% in the ENSEMBLE model. (2) In constructing the flood susceptibility model using the optimal non-flood dataset, the ENSEMBLE learning algorithm demonstrates higher accuracy than other machine learning methods, with an AUC of 0.95. (3) The northern and southeastern regions of the Zijiang River Basin have extremely high flood susceptibility. Elevation and drainage density are identified as key factors causing high flo</w:t>
      </w:r>
    </w:p>
    <w:p>
      <w:pPr/>
      <w:r>
        <w:rPr>
          <w:b/>
        </w:rPr>
        <w:t>POSSIBLE 2024:</w:t>
      </w:r>
      <w:r>
        <w:t xml:space="preserve"> Uncertainty Estimation of Lake Ice Cover Maps From a Random Forest Classifier Using MODIS TOA Reflectance Data — https://doi.org/10.1109/jstars.2024.3518306</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This article presents a method to improve the usability of lake ice cover (LIC) maps generated from moderate resolution imaging spectroradiometer (MODIS) top-of-atmosphere reflectance data by providing estimates of aleatoric and epistemic uncertainty. We used a random forest (RF) classifier, which has been shown to have superior performance in classifying lake ice, open water, and clouds, to generate daily LIC maps with inherent (aleatoric) and model (epistemic) uncertainties. RF allows for the learning of different hypotheses (trees), producing diverse predictions that can be utilized to quantify aleatoric and epistemic uncertainty. We use a decomposition of Shannon entropy to quantify these uncertainties and apply pixel-based uncertainty estimation. Our results show that using uncertainty values to reject the classification of uncertain pixels significantly improves recall and precision. The method presented herein is under consideration for integration into the processing chain implemented for the production of daily LIC maps as part of the European Space Agency's Climate Change Initiative (CCI+) Lakes project.</w:t>
      </w:r>
    </w:p>
    <w:p>
      <w:pPr/>
      <w:r>
        <w:rPr>
          <w:b/>
        </w:rPr>
        <w:t>POSSIBLE 2024:</w:t>
      </w:r>
      <w:r>
        <w:t xml:space="preserve"> Voicing Uncertainty: How Speech, Text, and Visualizations Influence Decisions with Data Uncertainty — https://doi.org/10.1109/uncertaintyvisualization63963.2024.00007</w:t>
      </w:r>
    </w:p>
    <w:p>
      <w:pPr/>
      <w:r>
        <w:rPr>
          <w:b/>
        </w:rPr>
        <w:t>Shared claim-specific concepts:</w:t>
      </w:r>
      <w:r>
        <w:t xml:space="preserve"> data, uncertainty, factors; EU scope not established. This is a provisional connection, not an outcome finding.</w:t>
      </w:r>
    </w:p>
    <w:p>
      <w:pPr>
        <w:pStyle w:val="SourceNote"/>
      </w:pPr>
      <w:r>
        <w:rPr>
          <w:b/>
        </w:rPr>
        <w:t>Available abstract (not full text):</w:t>
      </w:r>
      <w:r>
        <w:t xml:space="preserve"> Understanding and communicating data uncertainty is crucial for informed decision-making across various domains, including finance, healthcare, and public policy. This study investigates the impact of gender and acoustic variables on decision-making, confidence, and trust through a crowdsourced experiment. We compared visualization-only representations of uncertainty to text-forward and speech-forward bimodal representations, including multiple synthetic voices across gender. Speech-forward representations led to an increase in risky decisions, and text-forward representations led to lower confidence. Contrary to prior work, speech-forward forecasts did not receive higher ratings of trust. Higher normalized pitch led to a slight increase in decision confidence, but other voice characteristics had minimal impact on decisions and trust. An exploratory analysis of accented speech showed consistent results with the main experiment and additionally indicated lower trust ratings for information presented in Indian and Kenyan accents. The results underscore the importance of considering acoustic and contextual factors in presentation of data uncertainty.</w:t>
      </w:r>
    </w:p>
    <w:p>
      <w:pPr/>
      <w:r>
        <w:rPr>
          <w:b/>
        </w:rPr>
        <w:t>POSSIBLE 2023:</w:t>
      </w:r>
      <w:r>
        <w:t xml:space="preserve"> Uncertainty of atmospheric scattering functions relevant for Satellite Ocean Colour Radiometry in European Seas — https://doi.org/10.1080/01431161.2023.2247531</w:t>
      </w:r>
    </w:p>
    <w:p>
      <w:pPr/>
      <w:r>
        <w:rPr>
          <w:b/>
        </w:rPr>
        <w:t>Shared claim-specific concepts:</w:t>
      </w:r>
      <w:r>
        <w:t xml:space="preserve"> data, uncertainty, three, ocean; EU scope visible. This is a provisional connection, not an outcome finding.</w:t>
      </w:r>
    </w:p>
    <w:p>
      <w:pPr>
        <w:pStyle w:val="SourceNote"/>
      </w:pPr>
      <w:r>
        <w:rPr>
          <w:b/>
        </w:rPr>
        <w:t>Available abstract (not full text):</w:t>
      </w:r>
      <w:r>
        <w:t xml:space="preserve"> Uncertainty assessment of Ocean Colour Radiometry (OCR) usually relies on the comparison between satellite marine reflectance and concurrent in situ radiometric measurements. However, when dealing with the standard atmospheric correction (AC), uncertainty of marine reflectance originates fundamentally from two sources: (i) uncertainty of the Level-1 calibration at top of the atmosphere, and (ii) uncertainty of the atmospheric scattering functions computed by the AC (atmospheric path reflectance and transmittance). The aim of this alternative work is thus to assess the uncertainty of these scattering functions, thanks to inherent optical properties of aerosols extracted from the AErosol Robotic NETwork (AERONET) and ingested in a radiative transfer code. The study is conducted for the MEdium Resolution Imaging Spectrometer (MERIS), over three AERONET sites selected in European seas (Aqua Alta Oceanographic Tower, AAOT; Gustav Dalen Tower, GDT; Lampedusa) and Lanai in the Pacific Ocean as a reference. We develop an uncertainty budget based on the statistical analysis of the errors between MERIS and AERONET-derived data. At 443 nm, uncertainty of MERIS atmospheric path reflectance due to random effects is estimated around 2%, while that of total atmospheric transmittance is between 0.6% and 1%. Propagation of these uncertainties to OCR is achieved following metrological principles</w:t>
      </w:r>
    </w:p>
    <w:p>
      <w:pPr/>
      <w:r>
        <w:rPr>
          <w:b/>
        </w:rPr>
        <w:t>POSSIBLE 2023:</w:t>
      </w:r>
      <w:r>
        <w:t xml:space="preserve"> Data for paper "Magnetohydrodynamic Equilibrium Reconstruction with Consistent Uncertainties" — https://doi.org/10.5281/zenodo.8063360</w:t>
      </w:r>
    </w:p>
    <w:p>
      <w:pPr/>
      <w:r>
        <w:rPr>
          <w:b/>
        </w:rPr>
        <w:t>Shared claim-specific concepts:</w:t>
      </w:r>
      <w:r>
        <w:t xml:space="preserve"> data, uncertainty, low; EU scope visible. This is a provisional connection, not an outcome finding.</w:t>
      </w:r>
    </w:p>
    <w:p>
      <w:pPr>
        <w:pStyle w:val="SourceNote"/>
      </w:pPr>
      <w:r>
        <w:rPr>
          <w:b/>
        </w:rPr>
        <w:t>Available abstract (not full text):</w:t>
      </w:r>
      <w:r>
        <w:t xml:space="preserve"> Data and scripts for the conference paper "Magnetohydrodynamic Equilibrium Reconstruction with Consistent Uncertainties" for the 42nd International Workshop on Bayesian Inference and Maximum Entropy Methods in Science and Engineering. Abstract: We report on progress towards a probabilistic framework for consistent uncertainty quantification and propagation in analysis and numerical modeling of physics in magnetically confined plasmas with stellarator symmetry. A frequent starting point in this process is the calculation of a magnetohydrodynamic equilibrium from plasma profiles. Equilibrium and profiles are typically reconstructed from experimental data. What sets equilibrium reconstruction apart from usual inverse problems is that profiles are given as functions over a magnetic flux derived from the magnetic field, rather than spatial coordinates. This makes it a fixed-point problem that is traditionally left inconsistent or solved iteratively in a least-squares sense[1–3]. The aim here is towards a straightforward and transparent process to quantify and propagate uncertainties and their correlations for function-valued fields and profiles in this setting. We propose a framework that utilizes a low dimensional prior distribution of equilibria, constructed with principal component analysis. A surrogate of the forward model[4] is trained to enable faster sampling. Funding: The pr</w:t>
      </w:r>
    </w:p>
    <w:p>
      <w:pPr/>
      <w:r>
        <w:rPr>
          <w:b/>
        </w:rPr>
        <w:t>POSSIBLE 2022:</w:t>
      </w:r>
      <w:r>
        <w:t xml:space="preserve"> Validation of ocean color remote sensing reflectance data: Analysis of results at European coastal sites — https://doi.org/10.1016/j.rse.2022.113153</w:t>
      </w:r>
    </w:p>
    <w:p>
      <w:pPr/>
      <w:r>
        <w:rPr>
          <w:b/>
        </w:rPr>
        <w:t>Shared claim-specific concepts:</w:t>
      </w:r>
      <w:r>
        <w:t xml:space="preserve"> data, uncertainty, high, ocean; EU scope visible. This is a provisional connection, not an outcome finding.</w:t>
      </w:r>
    </w:p>
    <w:p>
      <w:pPr>
        <w:pStyle w:val="SourceNote"/>
      </w:pPr>
      <w:r>
        <w:rPr>
          <w:b/>
        </w:rPr>
        <w:t>Available abstract (not full text):</w:t>
      </w:r>
      <w:r>
        <w:t xml:space="preserve"> From its initial measurements 20 years ago, the Ocean Color component of the Aerosol Robotic Network (AERONET-OC) has produced large validation data sets to assess the ocean color satellite data records. This study, applied to the standard atmospheric correction algorithm l2gen of the National Aeronautics and Space Administration, analyses the populations of residuals (differences between matching satellite and field data) of remote sensing reflectance RRS and, secondarily, aerosol optical thickness τa, and their validation statistics associated with data collected at seven AERONET-OC sites located in European coastal regions for six satellite missions. Validation statistics do not appear particularly sensitive to observation conditions, represented by viewing and solar geometry, aerosol optical thickness τa, Ångström exponent or water properties indexed by RRS, the most obvious exceptions being a systematic increase of the residuals for high solar zenith angles for all missions and sites. Residuals of RRS and τa tend to be inversely correlated as deviations in aerosol radiance and water-leaving radiance compensate each other. The spectra of a RRS uncertainty estimate σ decrease in a monotonous manner from 0.7 to 1.5 10−3 sr−1 for wavelengths around 412 nm to 0.1–0.35 10−3 sr−1 around 667 nm, with σ usually relatively high for waters associated with high amplitudes of RRS. At 4</w:t>
      </w:r>
    </w:p>
    <w:p>
      <w:pPr/>
      <w:r>
        <w:rPr>
          <w:b/>
        </w:rPr>
        <w:t>POSSIBLE 2022:</w:t>
      </w:r>
      <w:r>
        <w:t xml:space="preserve"> Climate Change and Renewable Energy Generation in Europe—Long-Term Impact Assessment on Solar and Wind Energy Using High-Resolution Future Climate Data and Considering Climate Uncertainties — https://doi.org/10.3390/en15010302</w:t>
      </w:r>
    </w:p>
    <w:p>
      <w:pPr/>
      <w:r>
        <w:rPr>
          <w:b/>
        </w:rPr>
        <w:t>Shared claim-specific concepts:</w:t>
      </w:r>
      <w:r>
        <w:t xml:space="preserve"> data, uncertainty, three; EU scope visible. This is a provisional connection, not an outcome finding.</w:t>
      </w:r>
    </w:p>
    <w:p>
      <w:pPr>
        <w:pStyle w:val="SourceNote"/>
      </w:pPr>
      <w:r>
        <w:rPr>
          <w:b/>
        </w:rPr>
        <w:t>Available abstract (not full text):</w:t>
      </w:r>
      <w:r>
        <w:t xml:space="preserve"> Climate change can strongly affect renewable energy production. The state of the art in projecting future renewable energy generation has focused on using regional climate prediction. However, regional climate prediction is characterized by inherent uncertainty due to the complexity of climate models. This work provides a comprehensive study to quantify the impact of climate uncertainties in projecting future renewable energy potential over five climate zones of Europe. Thirteen future climate scenarios, including five global climate models (GCMs) and three representative concentration pathways (RCPs), are downscaled by the RCA4 regional climate model (RCM) over 90 years (2010–2099), divided into three 30-year periods. Solar and wind energy production is projected considering short-/long-term climate variations and uncertainties in seven representative cities (Narvik, Gothenburg, Munich, Antwerp, Salzburg, Valencia, and Athens). The results showed that the uncertainty caused by GCMs has the most substantial impact on projecting renewable energy generation. The variations due to GCM selection can become even larger than long-term climate change variations over time. Climate change uncertainties lead to over 23% and 45% projection differences for solar PV and wind energy potential, respectively. While the signal of climate change in solar radiation is weak between scenarios and o</w:t>
      </w:r>
    </w:p>
    <w:p>
      <w:pPr/>
      <w:r>
        <w:rPr>
          <w:b/>
        </w:rPr>
        <w:t>POSSIBLE 2021:</w:t>
      </w:r>
      <w:r>
        <w:t xml:space="preserve"> Competitive balance measures and the uncertainty of outcome hypothesis in European football — https://doi.org/10.1093/imaman/dpab027</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Abstract Competitive balance is an important issue in professional sport in general and European football in particular. However, competitive balance is difficult to quantify because competitiveness is multi-dimensional and particular sports are distinctive. We aim to identify the most appropriate index for a holistic view of competitive balance in European football. We use data from eight domestic European football leagues over a time span of 60 years. The indices we consider are specifically designed to capture competitiveness at different levels of performance and in this way reflect the peculiarities of European football leagues. Our findings support the longstanding uncertainty of outcome hypothesis. A bivariate index that captures competitiveness in the top K places is shown to have the highest association with attendance. A seasonal index of champions’ domination is also found to have a large association with attendance. Finally, ranking mobility is found to have a slightly higher association with attendance than seasonal performance. These results imply that sports policy makers should use these indices to assess strategic decisions that may influence competitive balance.</w:t>
      </w:r>
    </w:p>
    <w:p>
      <w:pPr/>
      <w:r>
        <w:rPr>
          <w:b/>
        </w:rPr>
        <w:t>POSSIBLE 2021:</w:t>
      </w:r>
      <w:r>
        <w:t xml:space="preserve"> Data-Uncertainty Guided Multi-Phase Learning for Semi-Supervised Object Detection — https://doi.org/10.1109/cvpr46437.2021.00454</w:t>
      </w:r>
    </w:p>
    <w:p>
      <w:pPr/>
      <w:r>
        <w:rPr>
          <w:b/>
        </w:rPr>
        <w:t>Shared claim-specific concepts:</w:t>
      </w:r>
      <w:r>
        <w:t xml:space="preserve"> data, uncertainty, different; EU scope not established. This is a provisional connection, not an outcome finding.</w:t>
      </w:r>
    </w:p>
    <w:p>
      <w:pPr>
        <w:pStyle w:val="SourceNote"/>
      </w:pPr>
      <w:r>
        <w:rPr>
          <w:b/>
        </w:rPr>
        <w:t>Available abstract (not full text):</w:t>
      </w:r>
      <w:r>
        <w:t xml:space="preserve"> In this paper, we delve into semi-supervised object detection where unlabeled images are leveraged to break through the upper bound of fully-supervised object detection. Previous semi-supervised methods based on pseudo labels are severely degenerated by noise and prone to overfit to noisy labels, thus are deficient in learning different unlabeled knowledge well. To address this issue, we propose a data-uncertainty guided multi-phase learning method for semisupervised object detection. We comprehensively consider divergent types of unlabeled images according to their difficulty levels, utilize them in different phases, and ensemble models from different phases together to generate ultimate results. Image uncertainty guided easy data selection and region uncertainty guided RoI Re-weighting are involved in multi-phase learning and enable the detector to concentrate on more certain knowledge. Through extensive experiments on PASCAL VOC and MS COCO, we demonstrate that our method behaves extraordinarily compared to baseline approaches and outperforms them by a large margin, more than 3% on VOC and 2% on COCO.</w:t>
      </w:r>
    </w:p>
    <w:p>
      <w:pPr/>
      <w:r>
        <w:rPr>
          <w:b/>
        </w:rPr>
        <w:t>POSSIBLE 2021:</w:t>
      </w:r>
      <w:r>
        <w:t xml:space="preserve"> An improved TROPOMI tropospheric NO 2 research product over Europe — https://doi.org/10.5194/amt-14-7297-2021</w:t>
      </w:r>
    </w:p>
    <w:p>
      <w:pPr/>
      <w:r>
        <w:rPr>
          <w:b/>
        </w:rPr>
        <w:t>Shared claim-specific concepts:</w:t>
      </w:r>
      <w:r>
        <w:t xml:space="preserve"> data, uncertainty, three, high, low, average; EU scope visible. This is a provisional connection, not an outcome finding.</w:t>
      </w:r>
    </w:p>
    <w:p>
      <w:pPr>
        <w:pStyle w:val="SourceNote"/>
      </w:pPr>
      <w:r>
        <w:rPr>
          <w:b/>
        </w:rPr>
        <w:t>Available abstract (not full text):</w:t>
      </w:r>
      <w:r>
        <w:t xml:space="preserve"> Abstract. Launched in October 2017, the TROPOspheric Monitoring Instrument (TROPOMI) aboard Sentinel-5 Precursor provides the potential to monitor air quality over point sources across the globe with a spatial resolution as high as 5.5 km × 3.5 km (7 km × 3.5 km before 6 August 2019). The nitrogen dioxide (NO2) retrieval algorithm for the TROPOMI instrument consists of three steps: the spectral fitting of the slant column, the separation of stratospheric and tropospheric contributions, and the conversion of the slant column to a vertical column using an air mass factor (AMF) calculation. In this work, an improved tropospheric NO2 retrieval algorithm from TROPOMI measurements over Europe is presented. The stratospheric estimation is implemented using the STRatospheric Estimation Algorithm from Mainz (STREAM), which was developed as a verification algorithm for TROPOMI and does not require chemistry transport model data as input. A directionally dependent STREAM (DSTREAM) is developed to correct for the dependency of the stratospheric NO2 on the viewing geometry by up to 2 × 1014 molec/cm2. Applied to synthetic TROPOMI data, the uncertainty in the stratospheric column is 3.5 × 1014 molec/cm2 for polluted conditions. Applied to actual measurements, the smooth variation of stratospheric NO2 at low latitudes is conserved, and stronger stratospheric variation at higher latitudes are </w:t>
      </w:r>
    </w:p>
    <w:p>
      <w:pPr>
        <w:pStyle w:val="Heading2"/>
      </w:pPr>
      <w:r>
        <w:t>677.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2025:</w:t>
      </w:r>
      <w:r>
        <w:t xml:space="preserve"> Decarbonisation efforts — https://doi.org/10.4337/9781035356249.00008</w:t>
      </w:r>
    </w:p>
    <w:p>
      <w:pPr/>
      <w:r>
        <w:rPr>
          <w:b/>
        </w:rPr>
        <w:t>Shared claim-specific concepts:</w:t>
      </w:r>
      <w:r>
        <w:t xml:space="preserve"> decarbonisation, key, renewable, energy, carbon; EU scope not established. This is a provisional connection, not an outcome finding.</w:t>
      </w:r>
    </w:p>
    <w:p>
      <w:pPr>
        <w:pStyle w:val="SourceNote"/>
      </w:pPr>
      <w:r>
        <w:rPr>
          <w:b/>
        </w:rPr>
        <w:t>Available abstract (not full text):</w:t>
      </w:r>
      <w:r>
        <w:t xml:space="preserve"> This chapter explores the escalating global challenge of carbon emissions and highlights the urgent need for coordinated action. The chapter begins by examining the magnitude of global carbon emissions and the imperative for rapid decarbonisation to mitigate climate change. It highlights international efforts, showcasing progress and achievements made to date. A key focus is the critical role of decarbonisation in the energy sector and energy-intensive industries, emphasising sectors like cement, iron and steel, petroleum refining, glass production, and manufacturing, which are significant contributors to greenhouse gas emissions. The necessity of transitioning to clean energy alternatives is emphasised, comparing the benefits of renewable energy sources to the drawbacks of continued fossil fuel reliance. The chapter concludes by reinforcing the urgent need for innovative strategies and clean energy technologies to combat climate change and achieve a sustainable energy future.</w:t>
      </w:r>
    </w:p>
    <w:p>
      <w:pPr/>
      <w:r>
        <w:rPr>
          <w:b/>
        </w:rPr>
        <w:t>POSSIBLE 2025:</w:t>
      </w:r>
      <w:r>
        <w:t xml:space="preserve"> Do Energy Security Crises Accelerate Decarbonisation? The Case of REPowerEU — https://doi.org/10.3390/en19010200</w:t>
      </w:r>
    </w:p>
    <w:p>
      <w:pPr/>
      <w:r>
        <w:rPr>
          <w:b/>
        </w:rPr>
        <w:t>Shared claim-specific concepts:</w:t>
      </w:r>
      <w:r>
        <w:t xml:space="preserve"> decarbonisation, renewable, energy; EU scope visible. This is a provisional connection, not an outcome finding.</w:t>
      </w:r>
    </w:p>
    <w:p>
      <w:pPr>
        <w:pStyle w:val="SourceNote"/>
      </w:pPr>
      <w:r>
        <w:rPr>
          <w:b/>
        </w:rPr>
        <w:t>Available abstract (not full text):</w:t>
      </w:r>
      <w:r>
        <w:t xml:space="preserve"> Energy security crises have historically been turning points for energy systems, exposing vulnerabilities, reshaping policy priorities, and boosting technological change. However, whether—and to what extent—such crises accelerate low-carbon transitions remains contested. This paper examines the effects of the 2022 energy crisis on the European Union (EU)’s energy transition, using policy analysis combined with a quantitative assessment of renewable energy trends, forecasts, and targets. We analyse the ambition, implementation, and outcomes of the REPowerEU plan, the main response to the crisis. In an unprecedented move, REPowerEU securitised renewable energy as a means to reduce dependence on Russian energy imports. However, the plan only moderately increased earlier renewable energy targets and did not reverse declining subsidies despite more forceful implementation measures. Its effects have been uneven across technologies. Already accelerating solar may overshoot its targets, onshore wind might only slightly accelerate beyond its current steady growth, and offshore wind remains constrained by economic and institutional uncertainties. Despite increased subsidies for fossil fuels, coal continued declining, oil remained stable, and natural gas dropped. Overall, REPowerEU sustained rather than transformed the EU’s low-carbon transition, illustrating both the potential and limits</w:t>
      </w:r>
    </w:p>
    <w:p>
      <w:pPr/>
      <w:r>
        <w:rPr>
          <w:b/>
        </w:rPr>
        <w:t>POSSIBLE 2025:</w:t>
      </w:r>
      <w:r>
        <w:t xml:space="preserve"> Decarbonisation and specialisation downgrading: The double harm of GVC integration — https://doi.org/10.1016/j.worlddev.2025.107047</w:t>
      </w:r>
    </w:p>
    <w:p>
      <w:pPr/>
      <w:r>
        <w:rPr>
          <w:b/>
        </w:rPr>
        <w:t>Shared claim-specific concepts:</w:t>
      </w:r>
      <w:r>
        <w:t xml:space="preserve"> decarbonisation, findings; EU scope not established. This is a provisional connection, not an outcome finding.</w:t>
      </w:r>
    </w:p>
    <w:p>
      <w:pPr>
        <w:pStyle w:val="SourceNote"/>
      </w:pPr>
      <w:r>
        <w:rPr>
          <w:b/>
        </w:rPr>
        <w:t>Available abstract (not full text):</w:t>
      </w:r>
      <w:r>
        <w:t xml:space="preserve"> This study explores the double harm of Global Value Chain (GVC) integration by analysing the link between the international division of productive activities and emissions. Methodologically, we propose a framework to disentangle the developmental and sectoral origins of CO 2 emissions within GVCs. By providing a granular decomposition of domestic and foreign contributions, we identify foreign backward linkages as the primary carriers of CO 2 emissions along GVCs, surpassing domestic inputs in their CO 2 footprint. From a within-country perspective, we examine how a country’s internal production structure shapes CO 2 emission profiles across development stages, shedding light on the interplay between economic growth and environmental sustainability. At the cross-country level, we analyse how the changing geography of production, and the ensuing sectoral specialisation, impacts global emissions. The relocation of low-tech and natural resources-based productions to developing countries via GVCs has jointly amplified worldwide emissions and reinforced patterns of industrial and ecological downgrading for developing nations. Implications of our findings entail the coupling of environmental, trade and industrial policies.</w:t>
      </w:r>
    </w:p>
    <w:p>
      <w:pPr/>
      <w:r>
        <w:rPr>
          <w:b/>
        </w:rPr>
        <w:t>POSSIBLE 2025:</w:t>
      </w:r>
      <w:r>
        <w:t xml:space="preserve"> The de-politicisation of decarbonisation through climate rent: a Marxist critique of the EU emissions trading system — https://doi.org/10.1017/elo.2024.41</w:t>
      </w:r>
    </w:p>
    <w:p>
      <w:pPr/>
      <w:r>
        <w:rPr>
          <w:b/>
        </w:rPr>
        <w:t>Shared claim-specific concepts:</w:t>
      </w:r>
      <w:r>
        <w:t xml:space="preserve"> two, decarbonisation; EU scope visible. This is a provisional connection, not an outcome finding.</w:t>
      </w:r>
    </w:p>
    <w:p>
      <w:pPr>
        <w:pStyle w:val="SourceNote"/>
      </w:pPr>
      <w:r>
        <w:rPr>
          <w:b/>
        </w:rPr>
        <w:t>Available abstract (not full text):</w:t>
      </w:r>
      <w:r>
        <w:t xml:space="preserve"> Abstract The European Union (EU) Emissions Trading System (ETS) is the cornerstone of the EU’s attempt to decarbonise economic production in Europe. This paper questions the power and class relations that are built into the EU’s choice to address the climate crisis through the legal construction of emissions trading. Drawing on Marxist theory, the paper argues that the cost of emission allowances imposed by the ETS is a form of climate rent . In both the choice of this system and its implementation, the EU prioritises capital accumulation in order to protect the competitiveness of EU firms on the global market. This paper argues that the ETS thus jeopardises the progress of decarbonisation on two grounds. First, the EU’s implementation of the ETS has tended to increase the economic wealth of capital by redistributing economic value away from workers and towards the capitalist class. By raising the cost of essential goods, the ETS will likely damage the reputation of climate action and thus jeopardise public support for decarbonisation. Second, the ETS is part of the EU’s indirect approach to climate policy, which seeks to shape the actions of private capital in the direction of climate objectives. However, the severity of climate change calls instead for the use of law and public power to directly and consciously shape the rapid decarbonisation of society.</w:t>
      </w:r>
    </w:p>
    <w:p>
      <w:pPr/>
      <w:r>
        <w:rPr>
          <w:b/>
        </w:rPr>
        <w:t>POSSIBLE 2025:</w:t>
      </w:r>
      <w:r>
        <w:t xml:space="preserve"> Discourse vs. Decarbonisation: Tracking the Alignment Between EU Climate Rhetoric and National Energy Patterns — https://doi.org/10.3390/en18195304</w:t>
      </w:r>
    </w:p>
    <w:p>
      <w:pPr/>
      <w:r>
        <w:rPr>
          <w:b/>
        </w:rPr>
        <w:t>Shared claim-specific concepts:</w:t>
      </w:r>
      <w:r>
        <w:t xml:space="preserve"> decarbonisation, key, show, energy; EU scope visible. This is a provisional connection, not an outcome finding.</w:t>
      </w:r>
    </w:p>
    <w:p>
      <w:pPr>
        <w:pStyle w:val="SourceNote"/>
      </w:pPr>
      <w:r>
        <w:rPr>
          <w:b/>
        </w:rPr>
        <w:t>Available abstract (not full text):</w:t>
      </w:r>
      <w:r>
        <w:t xml:space="preserve"> This study examines the alignment between the European Union’s climate policy rhetoric and the actual fossil fuel consumption behaviours of its Member States. By combining long-term and short-term time-series data with machine learning classification techniques, the analysis captures dynamic national energy trends and decarbonisation signals. Key innovations include the use of slope acceleration metrics and the identification of label reversals to detect volatility, acceleration, or stagnation in transition trajectories. The results show that, while some countries such as France and Denmark demonstrate consistent structural progress, others show deceleration or reversal, particularly in the use of gas and liquid fuels. This indicates that the relationship between EU-level policy ambition and national implementation is asymmetric and conditionally aligned. This study concludes that ongoing empirical monitoring and targeted diagnostics are essential to prevent conflating symbolic commitments with material change, and provides practical insights for improving climate policy accountability and adaptability across the EU.</w:t>
      </w:r>
    </w:p>
    <w:p>
      <w:pPr/>
      <w:r>
        <w:rPr>
          <w:b/>
        </w:rPr>
        <w:t>POSSIBLE 2024:</w:t>
      </w:r>
      <w:r>
        <w:t xml:space="preserve"> Decarbonisation scenarios for the European residential sector — https://doi.org/10.1016/j.buildenv.2024.112408</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The urgency to combat global climate change has prompted the implementation of many regional and national policies, with the European Green Deal standing out as one of the most significant initiatives. We use the recently developed TIMES-Europe energy system model to study the pivotal role of the residential sector in achieving the ambitious energy savings goal formulated by the EU in the broad framework of its Fit-for-55 policy package. We observe improved energy efficiency in households across a set of scenarios that differ in terms of climate policy ambition and level of collaboration between European countries. We find that, by 2030, residential buildings can realize up to 3000 PJ in overall energy savings. Cross-country collaboration may yield an additional 11% reduction in residential energy consumption, which could increase to 18% when combined with dwelling retrofitting subsidies. Our analysis of the transformation of the residential fuel mix, particularly the interplay between biomass and natural gas usage, reveals a trade-off between short-term energy efficiency gains and long-term CO 2 reduction goals. In the short run, scenarios lacking stringent climate control measures exhibit higher energy savings in comparison to those embracing ambitious climate targets. This initial difference, however, diminishes over time: energy savings from climate-compliant scenarios near</w:t>
      </w:r>
    </w:p>
    <w:p>
      <w:pPr/>
      <w:r>
        <w:rPr>
          <w:b/>
        </w:rPr>
        <w:t>POSSIBLE 2024:</w:t>
      </w:r>
      <w:r>
        <w:t xml:space="preserve"> Tourism territories: challenges for decarbonisation — https://doi.org/10.4067/s0718-235x2024000200192</w:t>
      </w:r>
    </w:p>
    <w:p>
      <w:pPr/>
      <w:r>
        <w:rPr>
          <w:b/>
        </w:rPr>
        <w:t>Shared claim-specific concepts:</w:t>
      </w:r>
      <w:r>
        <w:t xml:space="preserve"> decarbonisation, commitment, show, energy; EU scope not established. This is a provisional connection, not an outcome finding.</w:t>
      </w:r>
    </w:p>
    <w:p>
      <w:pPr>
        <w:pStyle w:val="SourceNote"/>
      </w:pPr>
      <w:r>
        <w:rPr>
          <w:b/>
        </w:rPr>
        <w:t>Available abstract (not full text):</w:t>
      </w:r>
      <w:r>
        <w:t xml:space="preserve"> This paper aims to analyse the energy challenges faced by tourism territories in a critical climate scenario.The methodology is based on consulting secondary information sources from government reports, regulatory frameworks, and specialized bibliography.The results show that the main challenges for decarbonization are linked to the continued growth of tourism, the institutionalization of interests, policy formulation, difficulty in introducing improvements and radical changes, a focus on technologies, and the dissemination of scientific and institutional knowledge.Thus, it is concluded that current tourism appropriation is incompatible with global climate objectives, and to overcome the six challenges outlined above, a commitment from all stakeholders is needed.In addition, each territory presents different challenges to achieve this, as these transition processes involve different factors (economic, political, social, cultural, technological, and environmental) that affect each other and involve multiple actors with different interests, logics, and power capacities.</w:t>
      </w:r>
    </w:p>
    <w:p>
      <w:pPr/>
      <w:r>
        <w:rPr>
          <w:b/>
        </w:rPr>
        <w:t>POSSIBLE 2023:</w:t>
      </w:r>
      <w:r>
        <w:t xml:space="preserve"> Decarbonisation strategies in industry: going beyond clusters — https://doi.org/10.1007/s11625-023-01313-4</w:t>
      </w:r>
    </w:p>
    <w:p>
      <w:pPr/>
      <w:r>
        <w:rPr>
          <w:b/>
        </w:rPr>
        <w:t>Shared claim-specific concepts:</w:t>
      </w:r>
      <w:r>
        <w:t xml:space="preserve"> decarbonisation, findings, energy, carbon; EU scope not established. This is a provisional connection, not an outcome finding.</w:t>
      </w:r>
    </w:p>
    <w:p>
      <w:pPr>
        <w:pStyle w:val="SourceNote"/>
      </w:pPr>
      <w:r>
        <w:rPr>
          <w:b/>
        </w:rPr>
        <w:t>Available abstract (not full text):</w:t>
      </w:r>
      <w:r>
        <w:t xml:space="preserve"> Abstract An effective and just industrial transition is necessary both to mitigate climate change and protect jobs, and as a precursor to enable other sectors to decarbonise. Activity is at an early stage and examples of successful sector-wide interventions to decarbonise industry do not yet exist. Governments of industrialised countries are beginning to develop policy and provide funding to support deployment of carbon capture and low-carbon hydrogen infrastructures into high-emitting industrial clusters, but options for sites outside of clusters, denoted here as ‘dispersed sites’, are also required. This paper takes a mixed methods approach to provide the first analysis of the issues facing dispersed industrial sites on their route to decarbonisation and to suggest solutions to the challenges they face. Using the UK as a case study, it first characterises dispersed sites in terms of location, emissions released, sectors involved, and size of companies affected. It then shows how these features mean that simply expanding the geographical scope of the present UK decarbonisation strategy, which focuses on the provision of carbon capture and low-carbon hydrogen, would face a number of challenges and so will need to be broadened to include a wider range of abatement options and other considerations to meet the needs of dispersed sites. While the solutions for each place will be di</w:t>
      </w:r>
    </w:p>
    <w:p>
      <w:pPr/>
      <w:r>
        <w:rPr>
          <w:b/>
        </w:rPr>
        <w:t>POSSIBLE 2023:</w:t>
      </w:r>
      <w:r>
        <w:t xml:space="preserve"> Reinforcing the Paris Agreement: Ambitious scenarios for the decarbonisation of the Central Asian and Caspian region — https://doi.org/10.1016/j.rset.2023.100048</w:t>
      </w:r>
    </w:p>
    <w:p>
      <w:pPr/>
      <w:r>
        <w:rPr>
          <w:b/>
        </w:rPr>
        <w:t>Shared claim-specific concepts:</w:t>
      </w:r>
      <w:r>
        <w:t xml:space="preserve"> decarbonisation, show, energy, carbon; EU scope visible. This is a provisional connection, not an outcome finding.</w:t>
      </w:r>
    </w:p>
    <w:p>
      <w:pPr>
        <w:pStyle w:val="SourceNote"/>
      </w:pPr>
      <w:r>
        <w:rPr>
          <w:b/>
        </w:rPr>
        <w:t>Available abstract (not full text):</w:t>
      </w:r>
      <w:r>
        <w:t xml:space="preserve"> For its abundance of fossil resources, the Central Asia and Caspian region plays a crucial role in the energy security of major markets, such as Europe and China. However, this dependence on export added to a firm reliance on fossil fuels also for internal consumption represents a significant challenge for the decarbonisation of the region. In the frame of the Horizon 2020 “PARIS REINFORCE” project, in this paper Authors develop an energy scenario analysis of four major countries located in the region (Azerbaijan, Kazakhstan, Uzbekistan and Turkmenistan), aiming to investigate how ambitious the current regional decarbonisation targets are in the view of the Paris Agreement. A common net-zero emission pathway is also developed to reinforce the regional climate ambition in the long term. As a novelty in the literature, the scenario analysis is co-designed with regional stakeholders through an engagement process that the Authors have carried out from December 2020 to May 2021. The numerical analysis is performed with the support of the TIMES-CAC model, an energy system model dedicated to the Central Asian and Caspian regions and developed by E4SMA. Results show that current regional energy policies are insufficient for achieving ambitious climate targets in the long term. The region should start implementing a rigorous energy planning process today to undergo a radical and rapid e</w:t>
      </w:r>
    </w:p>
    <w:p>
      <w:pPr>
        <w:pStyle w:val="Heading2"/>
      </w:pPr>
      <w:r>
        <w:t>678.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2024:</w:t>
      </w:r>
      <w:r>
        <w:t xml:space="preserve"> A multi-level and multi-scale design approach supporting sustainable mobility and healthier living: AIR BREAK project in Ferrara, Italy — https://doi.org/10.1080/23748834.2024.2349862</w:t>
      </w:r>
    </w:p>
    <w:p>
      <w:pPr/>
      <w:r>
        <w:rPr>
          <w:b/>
        </w:rPr>
        <w:t>Shared claim-specific concepts:</w:t>
      </w:r>
      <w:r>
        <w:t xml:space="preserve"> project, funded, key, affect, approach; EU scope visible. This is a provisional connection, not an outcome finding.</w:t>
      </w:r>
    </w:p>
    <w:p>
      <w:pPr>
        <w:pStyle w:val="SourceNote"/>
      </w:pPr>
      <w:r>
        <w:rPr>
          <w:b/>
        </w:rPr>
        <w:t>Available abstract (not full text):</w:t>
      </w:r>
      <w:r>
        <w:t xml:space="preserve"> The city of Ferrara, also known as the Italian city of bikes, records alarming levels of air pollutants, primarily from private motorized traffic, despite its cycling rates are amongst the highest in Europe. Local authority, in its commitment to driving improvements to air quality and taking care of citizens’ wellbeing, submitted an ambitious project proposal to European Union program Urban Innovative Actions, AIR BREAK - Co-producing healthy clean commuting air spots in town, which was selected amid hundreds submissions and funded with a total budget of 5 million euros. AIR BREAK tackles urban air pollution through several actions, very different from one another, encompassing multiple scales and domains: from sensor monitoring systems to greenery and street furniture design. The project described in this paper adopted a multi-level design approach acting on both physical and cultural environments, that greatly affect citizens’ behaviour and their everyday choices. Community involvement in mapping air quality as well as public spaces intervention that support sustainable mobility and extend the range of activities that can be carried out in the outdoors are here presented and discussed, as key points for successful implementation and replication in other cities, for a healthier and more attractive public realm.</w:t>
      </w:r>
    </w:p>
    <w:p>
      <w:pPr/>
      <w:r>
        <w:rPr>
          <w:b/>
        </w:rPr>
        <w:t>POSSIBLE 2023:</w:t>
      </w:r>
      <w:r>
        <w:t xml:space="preserve"> Forty years of soil research funded by the European Commission: Trends and future. A systematic review of research projects — https://doi.org/10.1111/ejss.13423</w:t>
      </w:r>
    </w:p>
    <w:p>
      <w:pPr/>
      <w:r>
        <w:rPr>
          <w:b/>
        </w:rPr>
        <w:t>Shared claim-specific concepts:</w:t>
      </w:r>
      <w:r>
        <w:t xml:space="preserve"> funded, horizon, three, key, affect; EU scope visible. This is a provisional connection, not an outcome finding.</w:t>
      </w:r>
    </w:p>
    <w:p>
      <w:pPr>
        <w:pStyle w:val="SourceNote"/>
      </w:pPr>
      <w:r>
        <w:rPr>
          <w:b/>
        </w:rPr>
        <w:t>Available abstract (not full text):</w:t>
      </w:r>
      <w:r>
        <w:t xml:space="preserve"> Abstract The European Green Deal with its high ambition has set the European Union (EU) on a promising path towards greater soil protection. The EU Soil Strategy 2030, the Biodiversity Strategy 2030, the Farm to Fork Strategy, the Zero Pollution, the Nature Restoration Law and the European Climate Law, among others, include actions to protect our soils. Research and Innovation (R&amp;I) will play a key role in developing new knowledge and tools enabling the transition to healthy soils. The main aim of this paper is to analyse past and near‐future trends in EU's funding for R&amp;I on soil‐related issues. For this purpose, a review of EU‐funded soil projects was conducted based on the data available in the Community Research and Development Information Service and the official portal for European data. Our analysis shows that over the past 40 years, the EU has invested significantly in developing integrated knowledge about the relationships between soil functions and ecosystem services and how human‐induced pressures affect soil health. Following the adoption of the EU Soil Thematic Strategy in 2006, there was an increase in research funding for soil‐related research. Furthermore, our analysis also illustrates an interesting interplay of permanent and changing soil themes. The Horizon Europe Mission ‘A Soil Deal for Europe’, which aims to establish a network of 100 living labs and light</w:t>
      </w:r>
    </w:p>
    <w:p>
      <w:pPr/>
      <w:r>
        <w:rPr>
          <w:b/>
        </w:rPr>
        <w:t>POSSIBLE 2022:</w:t>
      </w:r>
      <w:r>
        <w:t xml:space="preserve"> The effectiveness of the sports management system in Europe: High achievements, public funding and a healthy lifestyle — https://doi.org/10.14254/2071-789x.2022/15-4/13</w:t>
      </w:r>
    </w:p>
    <w:p>
      <w:pPr/>
      <w:r>
        <w:rPr>
          <w:b/>
        </w:rPr>
        <w:t>Shared claim-specific concepts:</w:t>
      </w:r>
      <w:r>
        <w:t xml:space="preserve"> three, approach, engaged; EU scope visible. This is a provisional connection, not an outcome finding.</w:t>
      </w:r>
    </w:p>
    <w:p>
      <w:pPr>
        <w:pStyle w:val="SourceNote"/>
      </w:pPr>
      <w:r>
        <w:rPr>
          <w:b/>
        </w:rPr>
        <w:t>Available abstract (not full text):</w:t>
      </w:r>
      <w:r>
        <w:t xml:space="preserve"> The article proposes an original approach to evaluating the effectiveness of the sports management system, which differs from the classical linear and non-linear optimization methods due to its use of quantile regression models. Three main indicators were chosen for creating the quantile regressions: (i) number of participants in the Olympic Games - as a feature of the effectiveness of the high-achievement sports; (ii) total number of people engaged in sports - as a feature of an effective mass sports system, which ensures a healthy lifestyle of the population; and (iii) state expenses on recreational and sports services. The quality of quantile regressions was validated by the Fisher test and the two-factor variance analysis. The research focused on the data of 30 European countries, which officially and publicly provide access to statistical reports on these issues. The countries were divided into two groups with above-average and below-average effectiveness of the sports management system. Two hypotheses were proposed and tested in the study. Hypothesis H1 was that the effectiveness of high-achievement sports depends on the amount of state funding for developing the sports industry. Research results confirmed this hypothesis for countries with an above-average level of sports management system effectiveness, but refuted it for the other group. Hypothesis H2 stated that the m</w:t>
      </w:r>
    </w:p>
    <w:p>
      <w:pPr/>
      <w:r>
        <w:rPr>
          <w:b/>
        </w:rPr>
        <w:t>POSSIBLE 2022:</w:t>
      </w:r>
      <w:r>
        <w:t xml:space="preserve"> Collaborative development of composite indices from qualitative value judgements: The EURO-HEALTHY Population Health Index model — https://doi.org/10.1016/j.ejor.2022.05.037</w:t>
      </w:r>
    </w:p>
    <w:p>
      <w:pPr/>
      <w:r>
        <w:rPr>
          <w:b/>
        </w:rPr>
        <w:t>Shared claim-specific concepts:</w:t>
      </w:r>
      <w:r>
        <w:t xml:space="preserve"> euro-healthy, project, developed, key, inequalities, across; EU scope visible. This is a provisional connection, not an outcome finding.</w:t>
      </w:r>
    </w:p>
    <w:p>
      <w:pPr>
        <w:pStyle w:val="SourceNote"/>
      </w:pPr>
      <w:r>
        <w:rPr>
          <w:b/>
        </w:rPr>
        <w:t>Available abstract (not full text):</w:t>
      </w:r>
      <w:r>
        <w:t xml:space="preserve"> Promoting participation and combining evidence with expert knowledge in constructing composite indices that can be meaningfully interpreted are key open challenges identified in performance measurement literature. To address them, this article proposes a sociotechnical decision-aid process, under a collaborative value-modelling framework, rooted in both process consultation and multicriteria value measurement principles. It consists of two phases (structuring and model building), each one developed in a sequence of non-face-to-face (Web-Delphi) and face-to-face (decision conferencing) group processes, designed to allow for increased participation. Performance indicators are selected and structured in a value-tree (phase one), upon which a group hierarchical additive value-function model is built (phase two), supported by the MACBETH multicriteria decision-support system. Collaborative questioning protocols allow to elicit and reconcile individual qualitative value judgements, in a Web-Delphi platform. The collective knowledge thus acquired is used in decision conferencing with a core group to define value functions and weights. Extensive sensitivity and robustness analyses serve to test the requisiteness of the model, giving rise to a shared structure of composite indices. The proposed approach was shaped within the EURO-HEALTHY project, to create a Population Health Index inte</w:t>
      </w:r>
    </w:p>
    <w:p>
      <w:pPr/>
      <w:r>
        <w:rPr>
          <w:b/>
        </w:rPr>
        <w:t>POSSIBLE 2022:</w:t>
      </w:r>
      <w:r>
        <w:t xml:space="preserve"> (Healthy) Aging Patterns in Europe: A Multistate Health Transition Approach — https://doi.org/10.1007/s12062-022-09403-4</w:t>
      </w:r>
    </w:p>
    <w:p>
      <w:pPr/>
      <w:r>
        <w:rPr>
          <w:b/>
        </w:rPr>
        <w:t>Shared claim-specific concepts:</w:t>
      </w:r>
      <w:r>
        <w:t xml:space="preserve"> factors, across, approach; EU scope visible. This is a provisional connection, not an outcome finding.</w:t>
      </w:r>
    </w:p>
    <w:p>
      <w:pPr>
        <w:pStyle w:val="SourceNote"/>
      </w:pPr>
      <w:r>
        <w:rPr>
          <w:b/>
        </w:rPr>
        <w:t>Available abstract (not full text):</w:t>
      </w:r>
      <w:r>
        <w:t xml:space="preserve"> We explore patterns and determinants of health transition probabilities by combining outcomes of morbidity and mortality to examine different aging patterns across Europe, and to ascertain how individual socio-demographic characteristics modify these patterns. We use panel data from the Survey of Health, Ageing and Retirement in Europe (2004- 2017) for 76,536 individuals aged 50 + in 20 European countries who participated in at least two waves. All transition probabilities were calculated applying a multistate analytical approach. Our findings show significant gender, education, and cohort differences in health transition probabilities and marked cross-country group differences. Central and Northern European countries present lower probabilities of health deterioration than Southern and, especially, Eastern European countries. Having a high level of education, living in Central Europe, and being younger are associated with lower probabilities of health deterioration and, if any, a higher probability of being restored to good health. We found less evidence of differences when transitions end in death. Our study contributes to this line of research by implementing a multistate approach using European harmonized panel dataset, to examine the effects of birth cohort, educational attainment and gender differences on health transitions. Our findings point to the need to consider the </w:t>
      </w:r>
    </w:p>
    <w:p>
      <w:pPr/>
      <w:r>
        <w:rPr>
          <w:b/>
        </w:rPr>
        <w:t>POSSIBLE 2021:</w:t>
      </w:r>
      <w:r>
        <w:t xml:space="preserve"> PeRsOnalised nutriTion for hEalthy livINg: The PROTEIN project — https://doi.org/10.1111/nbu.12482</w:t>
      </w:r>
    </w:p>
    <w:p>
      <w:pPr/>
      <w:r>
        <w:rPr>
          <w:b/>
        </w:rPr>
        <w:t>Shared claim-specific concepts:</w:t>
      </w:r>
      <w:r>
        <w:t xml:space="preserve"> project, funded, developed, approach; EU scope visible. This is a provisional connection, not an outcome finding.</w:t>
      </w:r>
    </w:p>
    <w:p>
      <w:pPr>
        <w:pStyle w:val="SourceNote"/>
      </w:pPr>
      <w:r>
        <w:rPr>
          <w:b/>
        </w:rPr>
        <w:t>Available abstract (not full text):</w:t>
      </w:r>
      <w:r>
        <w:t xml:space="preserve"> Abstract Personalised nutrition is a novel public health strategy aiming to promote positive diet and lifestyle changes. Tailored dietary and physical activity advice may be more appropriate than a generalised ‘one‐size‐fits‐all’ approach as it is more biologically relevant to the individual. Information and computing technology, smartphones and mobile applications have become an integral part of modern life and thereby present the opportunity for novel methods to encourage individuals to lead a healthier lifestyle. This article introduces the European Union‐funded PROTEIN project (PeRsOnalised nutriTion for hEalthy livINg) consortium and introduces the associated work packages. The primary objective of the PROTEIN project is to produce a novel adaptable mobile application suite based on sound nutrition and physical activity advice from experts in their field, accessible to all population groups, with differing health outcomes, whose behaviour can be tracked with a variety of sensors and health hazard perception. The mobile application ‘ecosystem’ that will be developed by the consortium includes a platform, mobile suite, cloud services, artificial intelligence advisor, game suite, modelling of expert’s knowledge, users’ behaviour data collection, data analysis and a dashboard for healthcare professionals. It is proposed that users will find the provision of personalised nutrit</w:t>
      </w:r>
    </w:p>
    <w:p>
      <w:pPr/>
      <w:r>
        <w:rPr>
          <w:b/>
        </w:rPr>
        <w:t>POSSIBLE 2021:</w:t>
      </w:r>
      <w:r>
        <w:t xml:space="preserve"> Citizen preferences regarding the public funding of projects promoting a healthy body weight among people with a low income — https://doi.org/10.1016/j.socscimed.2021.114015</w:t>
      </w:r>
    </w:p>
    <w:p>
      <w:pPr/>
      <w:r>
        <w:rPr>
          <w:b/>
        </w:rPr>
        <w:t>Shared claim-specific concepts:</w:t>
      </w:r>
      <w:r>
        <w:t xml:space="preserve"> project, funded, three; EU scope not established. This is a provisional connection, not an outcome finding.</w:t>
      </w:r>
    </w:p>
    <w:p>
      <w:pPr>
        <w:pStyle w:val="SourceNote"/>
      </w:pPr>
      <w:r>
        <w:rPr>
          <w:b/>
        </w:rPr>
        <w:t>Available abstract (not full text):</w:t>
      </w:r>
      <w:r>
        <w:t xml:space="preserve"> Overweight and obesity are a growing problem, especially among people with a low income. Policymakers aspire to alleviate this problem by implementing publicly funded projects. This study has three aims: 1) to explore citizen preferences regarding the public funding of projects promoting a healthy body weight among people with a low income, 2) to identify whether such preferences differ between citizens with a low income and those with a higher income, and 3) to identify the reasons underlying these preferences. We conducted a Participatory Value Evaluation (PVE) among 1053 Dutch citizens to achieve these aims. In an online choice experiment, respondents were asked to advise on the implementation of eight different projects that encourage a healthy body weight among citizens with a low income, with a total resource constraint of 100,000 euros. The projects were 1) lifestyle coaching including sports, 2) lifestyle coaching without sports, 3) local sports coach, 4) fruit and vegetable boxes, 5) bariatric surgery, 6) improving the living environment, 7) courses on healthy lifestyles, and 8) sports vouchers. We used the "Multiple Discrete-Continuous Extreme Value" model to estimate the preferences of respondents towards these eight projects. Fruit and vegetable boxes and sports vouchers were the most popular projects, while bariatric surgery was least popular. Respondents with a lo</w:t>
      </w:r>
    </w:p>
    <w:p>
      <w:pPr>
        <w:pStyle w:val="Heading2"/>
      </w:pPr>
      <w:r>
        <w:t>679.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2023:</w:t>
      </w:r>
      <w:r>
        <w:t xml:space="preserve"> The European health data space: Too big to succeed? — https://doi.org/10.1016/j.healthpol.2023.104861</w:t>
      </w:r>
    </w:p>
    <w:p>
      <w:pPr/>
      <w:r>
        <w:rPr>
          <w:b/>
        </w:rPr>
        <w:t>Shared claim-specific concepts:</w:t>
      </w:r>
      <w:r>
        <w:t xml:space="preserve"> therefore, region; EU scope visible. This is a provisional connection, not an outcome finding.</w:t>
      </w:r>
    </w:p>
    <w:p>
      <w:pPr>
        <w:pStyle w:val="SourceNote"/>
      </w:pPr>
      <w:r>
        <w:rPr>
          <w:b/>
        </w:rPr>
        <w:t>Available abstract (not full text):</w:t>
      </w:r>
      <w:r>
        <w:t xml:space="preserve"> In May 2022, the European Commission issued the Proposal for a Regulation on the European Health Data Space (EHDS), with the aims of granting citizens increased access to and control of their (electronic) health data across the EU, and facilitating health data re-use for research, innovation, and policymaking. As the first in a series of European domain-specific "data spaces", the EHDS is a high-stakes development that will transform health data governance in the EU region. As an international consortium of experts from health policy, law, ethics and the social sciences, we are concerned that the EHDS Proposal will detract from, rather than lead to the achievement of, its stated aims. We are in no doubt on the benefits of using health data for secondary purposes, and we appreciate attempts to facilitate such uses across borders in a carefully curated manner. Based on the current draft Regulation, however, the EHDS risks undermining rather than enhancing patient control over data; hindering rather than facilitating the work of health professionals and researchers; and eroding rather than increasing the public value generated through health data sharing. Therefore, significant adjustments are needed if the EHDS is to realize its promised benefits. Besides analyzing the implications for key groups and European societies at large who will be affected by the implementation of the EH</w:t>
      </w:r>
    </w:p>
    <w:p>
      <w:pPr/>
      <w:r>
        <w:rPr>
          <w:b/>
        </w:rPr>
        <w:t>POSSIBLE 2022:</w:t>
      </w:r>
      <w:r>
        <w:t xml:space="preserve"> The Regional Development Trap in Europe — https://doi.org/10.1080/00130095.2022.2080655</w:t>
      </w:r>
    </w:p>
    <w:p>
      <w:pPr/>
      <w:r>
        <w:rPr>
          <w:b/>
        </w:rPr>
        <w:t>Shared claim-specific concepts:</w:t>
      </w:r>
      <w:r>
        <w:t xml:space="preserve"> identify, regional;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Nature-Based Solutions in Urban Areas: A European Analysis — https://doi.org/10.3390/app13010168</w:t>
      </w:r>
    </w:p>
    <w:p>
      <w:pPr/>
      <w:r>
        <w:rPr>
          <w:b/>
        </w:rPr>
        <w:t>Shared claim-specific concepts:</w:t>
      </w:r>
      <w:r>
        <w:t xml:space="preserve"> therefore, purpose, identify, within;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r>
        <w:rPr>
          <w:b/>
        </w:rPr>
        <w:t>POSSIBLE 2022:</w:t>
      </w:r>
      <w:r>
        <w:t xml:space="preserve"> Soil Governance in current European Union Law and in the European Green Deal — https://doi.org/10.1016/j.soisec.2022.100053</w:t>
      </w:r>
    </w:p>
    <w:p>
      <w:pPr/>
      <w:r>
        <w:rPr>
          <w:b/>
        </w:rPr>
        <w:t>Shared claim-specific concepts:</w:t>
      </w:r>
      <w:r>
        <w:t xml:space="preserve"> therefore, purpose, set; EU scope visible. This is a provisional connection, not an outcome finding.</w:t>
      </w:r>
    </w:p>
    <w:p>
      <w:pPr>
        <w:pStyle w:val="SourceNote"/>
      </w:pPr>
      <w:r>
        <w:rPr>
          <w:b/>
        </w:rPr>
        <w:t>Available abstract (not full text):</w:t>
      </w:r>
      <w:r>
        <w:t xml:space="preserve"> The chapter deals with the system of soil governance in the European Union and focuses on legal instruments for the protection and sustainable use of soil. In addition, other aspects of soil governance, like the policies, strategies, and the processes of decision-making, are addressed. Reference points for this assessment are the identified soil threats in the EU and the need for soil protection, based on the results of scientific studies, especially of the Intergovernmental Platform on Climate Change ( IPCC 2019 ) and the Intergovernmental Science-Policy Platform on Biodiversity and Ecosystem Services ( IP-BES 2018 ). Currently, there is no comprehensive directive to address soil threats and soil-related issues in a coherent way in the European Union, although several legal instruments refer to certain soil threats, mainly in the field of soil pollution. The European Union has the competence for soil legislation and, on the basis of the principle of subsidiarity, would be legally able to enact it. Therefore, the current mosaic of approaches can be overcome and replaced by an overall harmonised and comprehensive EU soil protection framework. This is all the more true as the United Nations' 2030 Agenda has set in motion a process that will have far-reaching implications for connected thinking: Sustainable Development Goal 15 and its target 15.3 stipulate that land degradation ne</w:t>
      </w:r>
    </w:p>
    <w:p>
      <w:pPr/>
      <w:r>
        <w:rPr>
          <w:b/>
        </w:rPr>
        <w:t>POSSIBLE 2021:</w:t>
      </w:r>
      <w:r>
        <w:t xml:space="preserve"> The Reinvention of Development Banking in the European Union — https://doi.org/10.1093/oso/9780198859703.001.0001</w:t>
      </w:r>
    </w:p>
    <w:p>
      <w:pPr/>
      <w:r>
        <w:rPr>
          <w:b/>
        </w:rPr>
        <w:t>Shared claim-specific concepts:</w:t>
      </w:r>
      <w:r>
        <w:t xml:space="preserve"> therefore, identify, within; EU scope visible. This is a provisional connection, not an outcome finding.</w:t>
      </w:r>
    </w:p>
    <w:p>
      <w:pPr>
        <w:pStyle w:val="SourceNote"/>
      </w:pPr>
      <w:r>
        <w:rPr>
          <w:b/>
        </w:rPr>
        <w:t>Available abstract (not full text):</w:t>
      </w:r>
      <w:r>
        <w:t xml:space="preserve"> National development banks (NDBs) have transformed from outdated relics of national industrial policy to central pillars of the European Union’s economic project. This trend, which accelerated after the Financial Crisis of 2007, has led to a proliferation of NDBs with an expanded size and scope. However, it is surprising that the EU—which has championed market-oriented governance and strict competition policy—has actually advocated an expansion of NDBs. This book therefore asks, why has the EU supported an increased role for NDBs, and how can we understand the dynamics between NDBs and European incentives and constraints? In order to answer these questions, this book analyzes the formation and evolution of a field of development banking within the EU. We identify a new field around an innovative conceptualization of state-backed financing for the purposes of policy implementation. However, rather than focusing solely on national development banks, we instead broaden the focus to the entire ecosystem of the field of development banking, which includes political institutions (both in Brussels and in the Member States), financing vehicles (such as the Juncker Plan), regulatory bodies (DG Competition, DG ECFIN), and commercial actors. Seven in-depth case studies on European NDBs, along with three chapters on European-level actors, detail this field of development banking, and answe</w:t>
      </w:r>
    </w:p>
    <w:p>
      <w:pPr/>
      <w:r>
        <w:rPr>
          <w:b/>
        </w:rPr>
        <w:t>POSSIBLE 2021:</w:t>
      </w:r>
      <w:r>
        <w:t xml:space="preserve"> Implication of multi drought definitions to identify streamflow drought across Europe — https://doi.org/10.5194/egusphere-egu21-4063</w:t>
      </w:r>
    </w:p>
    <w:p>
      <w:pPr/>
      <w:r>
        <w:rPr>
          <w:b/>
        </w:rPr>
        <w:t>Shared claim-specific concepts:</w:t>
      </w:r>
      <w:r>
        <w:t xml:space="preserve"> therefore, identify, within, region; EU scope visible. This is a provisional connection, not an outcome finding.</w:t>
      </w:r>
    </w:p>
    <w:p>
      <w:pPr>
        <w:pStyle w:val="SourceNote"/>
      </w:pPr>
      <w:r>
        <w:rPr>
          <w:b/>
        </w:rPr>
        <w:t>Available abstract (not full text):</w:t>
      </w:r>
      <w:r>
        <w:t xml:space="preserve"> Several approaches to identify hydrological drought exist, which result in differences in drought frequency, timing, duration, and deficit volume (drought characteristics) using the same hydrometeorological data as input. This has created confusion within the hydro-meteorological community, as well as in operational water management services on the difference in drought characteristics obtained with the different approaches. The aim of this study, therefore, is to provide a comprehensive overview of the differences of hydrological drought, i.e. streamflow drought, using different identification approaches for the pan-European river network (&gt;10,000 river grid cells). Time series of daily streamflow data were obtained from the LISFLOOD hydrological model forced with gridded meteorological observations from 1990 to 2018. Streamflow droughts were detected using the daily and monthly Variable Threshold methods (VTD and VTM), daily and monthly Fixed Threshold methods (FTD and FTM), and the Standardized Streamflow Index with 1-month accumulation period (SSI-1). For the threshold methods the Q80 (flow that is equaled or exceeded 80 percent of the time) is applied, whereas for the SSI a threshold of about -1 is used. We applied a centered 30-day moving average (30DMA) smoothing technique to the daily flow data to reduce the number of minor droughts. This is the first study that compare</w:t>
      </w:r>
    </w:p>
    <w:p>
      <w:pPr>
        <w:pStyle w:val="Heading2"/>
      </w:pPr>
      <w:r>
        <w:t>680.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pStyle w:val="Heading2"/>
      </w:pPr>
      <w:r>
        <w:t>681.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2025:</w:t>
      </w:r>
      <w:r>
        <w:t xml:space="preserve"> Pathways to Power — https://doi.org/10.4324/9781003413820-25</w:t>
      </w:r>
    </w:p>
    <w:p>
      <w:pPr/>
      <w:r>
        <w:rPr>
          <w:b/>
        </w:rPr>
        <w:t>Shared claim-specific concepts:</w:t>
      </w:r>
      <w:r>
        <w:t xml:space="preserve"> pathways, power, potential, increasing; EU scope not established. This is a provisional connection, not an outcome finding.</w:t>
      </w:r>
    </w:p>
    <w:p>
      <w:pPr>
        <w:pStyle w:val="SourceNote"/>
      </w:pPr>
      <w:r>
        <w:rPr>
          <w:b/>
        </w:rPr>
        <w:t>Available abstract (not full text):</w:t>
      </w:r>
      <w:r>
        <w:t xml:space="preserve"> This chapter presents a comprehensive analysis of the transformations taking place within the Kilosa Ilparakuyo Maasai community in Tanzania, focusing on the progress made by Maasai women. The Maasai, who traditionally lived in a male-dominated society, are presently undergoing a significant cultural change driven by the complex interaction between increasing religious devotion and economic prospects. The chapter emphasises the positive influence of Pentecostalism on Ilparakuyo Maasai women. It explores the significance of religion in interrogating traditional norms, fostering women’s empowerment and enabling them to exercise their rights and pursue alternative livelihoods. To examine the complexities between religion and empowerment, the chapter utilises Naila Kabeer’s framework, which encompasses the notions of agency, resources, and accomplishments. It argues that the increasing agency and resource accessibility of Maasai women not only aligns with Kabeer’s theory but also expands its relevance. This chapter presents unique perspectives on the dynamics between genders, their acquisition of power, and their implications for society in pastoral communities. It highlights the potential of religious beliefs and infrastructure projects to drive substantial progress towards an equitable future.</w:t>
      </w:r>
    </w:p>
    <w:p>
      <w:pPr/>
      <w:r>
        <w:rPr>
          <w:b/>
        </w:rPr>
        <w:t>POSSIBLE 2025:</w:t>
      </w:r>
      <w:r>
        <w:t xml:space="preserve"> Wide-bandgap semiconductors and power electronics as pathways to carbon neutrality — https://doi.org/10.1038/s44287-024-00135-5</w:t>
      </w:r>
    </w:p>
    <w:p>
      <w:pPr/>
      <w:r>
        <w:rPr>
          <w:b/>
        </w:rPr>
        <w:t>Shared claim-specific concepts:</w:t>
      </w:r>
      <w:r>
        <w:t xml:space="preserve"> pathways, power;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Biomass power generation: A pathway to carbon neutrality — https://doi.org/10.1016/j.scitotenv.2024.173080</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Carbon Peaking and Neutrality Pathways for Beijing’s Power Sector — https://doi.org/10.54097/hset.v50i.8464</w:t>
      </w:r>
    </w:p>
    <w:p>
      <w:pPr/>
      <w:r>
        <w:rPr>
          <w:b/>
        </w:rPr>
        <w:t>Shared claim-specific concepts:</w:t>
      </w:r>
      <w:r>
        <w:t xml:space="preserve"> pathways, power, sector, potential, electricity, transport; EU scope not established. This is a provisional connection, not an outcome finding.</w:t>
      </w:r>
    </w:p>
    <w:p>
      <w:pPr>
        <w:pStyle w:val="SourceNote"/>
      </w:pPr>
      <w:r>
        <w:rPr>
          <w:b/>
        </w:rPr>
        <w:t>Available abstract (not full text):</w:t>
      </w:r>
      <w:r>
        <w:t xml:space="preserve"> The power sector is an important area for achieving the 'double carbon' target.To achieve the "double carbon target" in Beijing as early as possible, this thesis is based on the LEAP model, which is a bottom-up study of the carbon peaking and carbon neutral pathways in the power sector from the perspective of the whole chain of source, grid, load and storage. It also combines scenario analysis, taking into account emission reduction targets, electricity demand and resource deployment, to design four comparison scenarios. These are the basic scenario, the energy efficiency improvement scenario, the transport electrification scenario and the renewable energy development scenario. The study focuses on the potential for emission reduction and feasible paths for the energy transition in Beijing's power sector. Finally, policy recommendations are made to promote the energy transition in Beijing.</w:t>
      </w:r>
    </w:p>
    <w:p>
      <w:pPr/>
      <w:r>
        <w:rPr>
          <w:b/>
        </w:rPr>
        <w:t>POSSIBLE 2022:</w:t>
      </w:r>
      <w:r>
        <w:t xml:space="preserve"> Volumetric treatment of uterine fibroids using ultrasound-guided, power- and pathway-controlled, pulsed-type high-intensity focused ultrasound — https://doi.org/10.25289/ml.2022.11.3.148</w:t>
      </w:r>
    </w:p>
    <w:p>
      <w:pPr/>
      <w:r>
        <w:rPr>
          <w:b/>
        </w:rPr>
        <w:t>Shared claim-specific concepts:</w:t>
      </w:r>
      <w:r>
        <w:t xml:space="preserve"> pathways, power, including; EU scope not established. This is a provisional connection, not an outcome finding.</w:t>
      </w:r>
    </w:p>
    <w:p>
      <w:pPr>
        <w:pStyle w:val="SourceNote"/>
      </w:pPr>
      <w:r>
        <w:rPr>
          <w:b/>
        </w:rPr>
        <w:t>Available abstract (not full text):</w:t>
      </w:r>
      <w:r>
        <w:t xml:space="preserve"> Lasers 148Volumetric treatment of uterine fibroids using ultrasound-guided, power-and pathway-controlled, pulsed-type high-intensity focused ultrasound Background and Objectives Non-invasive high-intensity focused ultrasound (HIFU) treatments are used widely to relieve uterine fibroid (UF)-related symptoms without general anesthesia and long hospitalization.This study evaluated the effectiveness and safety of power, pathway-controlled, cumulative, pulsed-type HIFU treatments for symptomatic UF lesions. Materials and MethodsA total of 633 UF lesions in 300 patients were treated with a single HIFU session.Reductions in the UF size and volume were evaluated at 1, 3, 6, and 12 months after the HIFU treatments. ResultsHypoenhancing ultrasonographic findings were obtained by treating UF lesions with HIFU at an average HIFU power of 389.1 ± 81.6 W, an energy/ therapeutic point of 49.5 ± 2.6 J/pulse, a total of 2.8 ± 1.1 therapeutic pathways, and a total sonication energy of 28,016.4± 10,622.2J.The volume of the overall UFs decreased significantly to 72.1% of their original volume during the 12-month follow-up.Among four different UF size groups, significant differences were found in the final HIFU settings, including power, total number of therapeutic pathways, total sonication energy, and sonication time, but not energy/therapeutic point.Linear mixed model analysis revealed significa</w:t>
      </w:r>
    </w:p>
    <w:p>
      <w:pPr/>
      <w:r>
        <w:rPr>
          <w:b/>
        </w:rPr>
        <w:t>POSSIBLE 2022:</w:t>
      </w:r>
      <w:r>
        <w:t xml:space="preserve"> Incentive structures for power-to-X and e-fuel pathways for transport in EU and member states — https://doi.org/10.1016/j.enpol.2022.113121</w:t>
      </w:r>
    </w:p>
    <w:p>
      <w:pPr/>
      <w:r>
        <w:rPr>
          <w:b/>
        </w:rPr>
        <w:t>Shared claim-specific concepts:</w:t>
      </w:r>
      <w:r>
        <w:t xml:space="preserve"> pathways, sector, potential, increasing, transport; EU scope visible. This is a provisional connection, not an outcome finding.</w:t>
      </w:r>
    </w:p>
    <w:p>
      <w:pPr>
        <w:pStyle w:val="SourceNote"/>
      </w:pPr>
      <w:r>
        <w:rPr>
          <w:b/>
        </w:rPr>
        <w:t>Available abstract (not full text):</w:t>
      </w:r>
      <w:r>
        <w:t xml:space="preserve"> Though Power-to-X pathways, primarily Power-to-Liquids, attract interest as solutions for decarbonising parts of the transport sector that are not suitable for electrification, the regulatory framework until recently slowed down their implementation. This paper examines the updates in the main aspects of the legal framework in the European Union from 2019 to the beginning of 2022 related to Power-to-X: support schemes, specific targets, and potential barriers. The results show increasing interest and market entrance of electrolysis and push from the different actors and regulatory parties to establish solutions that will enable faster upscaling. However, it is visible from the National Energy and Climate Plans and hydrogen strategies that the most emphasis is still on hydrogen as an end fuel for personal vehicles or power-to-gas. On the other hand, few countries have implemented legal frameworks facilitating diverse PtX pathways without focusing solely on hydrogen. Nevertheless, revisions of RED II have finally set up specific targets for electrofuels and Fit for 55 has introduced new actions supporting electrofuels in aviation and marine transport.</w:t>
      </w:r>
    </w:p>
    <w:p>
      <w:pPr/>
      <w:r>
        <w:rPr>
          <w:b/>
        </w:rPr>
        <w:t>POSSIBLE 2022:</w:t>
      </w:r>
      <w:r>
        <w:t xml:space="preserve"> PaLM: Scaling Language Modeling with Pathways — https://doi.org/10.48550/arxiv.2204.02311</w:t>
      </w:r>
    </w:p>
    <w:p>
      <w:pPr/>
      <w:r>
        <w:rPr>
          <w:b/>
        </w:rPr>
        <w:t>Shared claim-specific concepts:</w:t>
      </w:r>
      <w:r>
        <w:t xml:space="preserve"> pathways, potential, performance; EU scope not established. This is a provisional connection, not an outcome finding.</w:t>
      </w:r>
    </w:p>
    <w:p>
      <w:pPr>
        <w:pStyle w:val="SourceNote"/>
      </w:pPr>
      <w:r>
        <w:rPr>
          <w:b/>
        </w:rPr>
        <w:t>Available abstract (not full text):</w:t>
      </w:r>
      <w:r>
        <w:t xml:space="preserve"> Large language models have been shown to achieve remarkable performance across a variety of natural language tasks using few-shot learning, which drastically reduces the number of task-specific training examples needed to adapt the model to a particular application. To further our understanding of the impact of scale on few-shot learning, we trained a 540-billion parameter, densely activated, Transformer language model, which we call Pathways Language Model PaLM. We trained PaLM on 6144 TPU v4 chips using Pathways, a new ML system which enables highly efficient training across multiple TPU Pods. We demonstrate continued benefits of scaling by achieving state-of-the-art few-shot learning results on hundreds of language understanding and generation benchmarks. On a number of these tasks, PaLM 540B achieves breakthrough performance, outperforming the finetuned state-of-the-art on a suite of multi-step reasoning tasks, and outperforming average human performance on the recently released BIG-bench benchmark. A significant number of BIG-bench tasks showed discontinuous improvements from model scale, meaning that performance steeply increased as we scaled to our largest model. PaLM also has strong capabilities in multilingual tasks and source code generation, which we demonstrate on a wide array of benchmarks. We additionally provide a comprehensive analysis on bias and toxicity, and </w:t>
      </w:r>
    </w:p>
    <w:p>
      <w:pPr/>
      <w:r>
        <w:rPr>
          <w:b/>
        </w:rPr>
        <w:t>POSSIBLE 2022:</w:t>
      </w:r>
      <w:r>
        <w:t xml:space="preserve"> Pathways to net zero emissions for the Indian power sector — https://doi.org/10.1016/j.esr.2022.101042</w:t>
      </w:r>
    </w:p>
    <w:p>
      <w:pPr/>
      <w:r>
        <w:rPr>
          <w:b/>
        </w:rPr>
        <w:t>Shared claim-specific concepts:</w:t>
      </w:r>
      <w:r>
        <w:t xml:space="preserve"> pathways, power, sector, electricity, three; EU scope not established. This is a provisional connection, not an outcome finding.</w:t>
      </w:r>
    </w:p>
    <w:p>
      <w:pPr>
        <w:pStyle w:val="SourceNote"/>
      </w:pPr>
      <w:r>
        <w:rPr>
          <w:b/>
        </w:rPr>
        <w:t>Available abstract (not full text):</w:t>
      </w:r>
      <w:r>
        <w:t xml:space="preserve"> At COP26, India has committed to achieve net zero emissions by 2070. For economy wide net zero, the power system should be first to attain it. This paper explores the role of different technologies, CO2 capture and storage (CCS), nuclear, solar PV and thermal, battery storage, pumped storage, hydro etc. along with energy efficiency in doing so by different target years, 2050 and 2060 and their economic implications. With more intermittent renewables, the issue of balancing hourly demand-supply of both energy and power becomes critical for ensuring the feasibility of a pathway. Hourly availability of different renewable technologies is considered along with hourly variations in electricity demand. Three scenarios are analysed, Business-as-Usual (BAU) scenario assumes current policies to continue, and two Net Zero (NZ) scenarios to achieve net zero emissions by 2050 and 2060. Solar PV, wind onshore and offshore, battery storage are the dominant technologies in achieving net zero emissions. Solar and wind together contribute 85% and 90% of the total generation capacity in 2050 and 2060, respectively. Dispatchable technologies like Coal plant with CCS and nuclear are also important. Results specify Battery with storage hour specifications (1 h, 2 h etc.), so one can plan storage in details. Decarbonisation has significant additional cost and investment requirement over the Business</w:t>
      </w:r>
    </w:p>
    <w:p>
      <w:pPr/>
      <w:r>
        <w:rPr>
          <w:b/>
        </w:rPr>
        <w:t>POSSIBLE 2022:</w:t>
      </w:r>
      <w:r>
        <w:t xml:space="preserve"> Power generation expansion pathways: A policy analysis of the Cameroon power system — https://doi.org/10.1016/j.esr.2022.101004</w:t>
      </w:r>
    </w:p>
    <w:p>
      <w:pPr/>
      <w:r>
        <w:rPr>
          <w:b/>
        </w:rPr>
        <w:t>Shared claim-specific concepts:</w:t>
      </w:r>
      <w:r>
        <w:t xml:space="preserve"> pathways, power, sector, potential, electricity, three; EU scope not established. This is a provisional connection, not an outcome finding.</w:t>
      </w:r>
    </w:p>
    <w:p>
      <w:pPr>
        <w:pStyle w:val="SourceNote"/>
      </w:pPr>
      <w:r>
        <w:rPr>
          <w:b/>
        </w:rPr>
        <w:t>Available abstract (not full text):</w:t>
      </w:r>
      <w:r>
        <w:t xml:space="preserve"> The Cameroon electricity sector is currently plagued by inadequate generation capacity. The electricity supply deficit has had dire consequences on attaining the country's industrialization, socioeconomic and developmental objectives enshrined in her Vision 2035. However, there are sustainable solutions that minimizes the required new capacity planned by the government. This paper analyses the implications of these sustainable policies on the electricity generation system of Cameroon. An adaptation of the Schwartz's methodology and the Low Emissions Analysis Platform (LEAP), integrated with the Next Energy Modelling system for Optimization (NEMO) was used to develop least-costs scenarios of Cameroon from 2016 to 2045. These scenarios are based on the key factors that would influence the electricity supply/demand of Cameroon. In addition to the business-as-usual scenario which defines the least-cost pathway with no policy interventions, the three alternative scenario categories are: power losses, demand side energy efficiency measures and carbon dioxide emission targets. Results show the alternative scenarios have significant benefits in avoided installed capacity, financial savings and avoided greenhouse gas emissions. This is emphasized by capacity savings of up to 44%, translating to possible economic benefits of up to 25% depending on government's commitment to reducing powe</w:t>
      </w:r>
    </w:p>
    <w:p>
      <w:pPr/>
      <w:r>
        <w:rPr>
          <w:b/>
        </w:rPr>
        <w:t>POSSIBLE 2021:</w:t>
      </w:r>
      <w:r>
        <w:t xml:space="preserve"> Decarbonization pathways for the power sector in Sumatra, Indonesia — https://doi.org/10.1016/j.rser.2021.111507</w:t>
      </w:r>
    </w:p>
    <w:p>
      <w:pPr/>
      <w:r>
        <w:rPr>
          <w:b/>
        </w:rPr>
        <w:t>Shared claim-specific concepts:</w:t>
      </w:r>
      <w:r>
        <w:t xml:space="preserve"> pathways, focus, power, sector, use, electricity; EU scope not established. This is a provisional connection, not an outcome finding.</w:t>
      </w:r>
    </w:p>
    <w:p>
      <w:pPr>
        <w:pStyle w:val="SourceNote"/>
      </w:pPr>
      <w:r>
        <w:rPr>
          <w:b/>
        </w:rPr>
        <w:t>Available abstract (not full text):</w:t>
      </w:r>
      <w:r>
        <w:t xml:space="preserve"> The Indonesian power sector faces the combined challenge to (i) satisfy growing electricity demand at an affordable cost and (ii) comply with the decarbonization targets committed under the Paris Agreement. In this study, we investigate cost-optimal pathways for the development of the power sector in line with climate targets. We used the Low Emissions Analysis Platform (LEAP) software tool to build a power-system expansion model for Sumatra and simulated four scenarios representing a business as usual development, the current development plans, and two mitigation pathways in line with the national climate targets. Particular focus is put on bioenergy, an energy source that has been often overlooked in previous studies and plans. The results show that, although the national plans consider mitigation actions, they do not reduce coal dependency. Besides, current development plans are not cost-effective and have high marginal abatement costs for emissions reduction. The two mitigation scenarios achieve better environmental results at lower system costs. Our results show that bioenergy deployment can contribute significantly to achieving the greenhouse gas (GHG) targets of 19% and 24% pledged by the Indonesian government. More efficient use of modern renewables and natural gas can reduce Sumatra's dependence on coal resources.</w:t>
      </w:r>
    </w:p>
    <w:p>
      <w:pPr>
        <w:pStyle w:val="Heading2"/>
      </w:pPr>
      <w:r>
        <w:t>682.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2025:</w:t>
      </w:r>
      <w:r>
        <w:t xml:space="preserve"> When Disaster Strikes, Area Agencies on Aging Help Older Adults Prepare and Respond — https://doi.org/10.1093/geroni/igaf122.4324</w:t>
      </w:r>
    </w:p>
    <w:p>
      <w:pPr/>
      <w:r>
        <w:rPr>
          <w:b/>
        </w:rPr>
        <w:t>Shared claim-specific concepts:</w:t>
      </w:r>
      <w:r>
        <w:t xml:space="preserve"> abstract, help, prepare, natural, planning; EU scope not established. This is a provisional connection, not an outcome finding.</w:t>
      </w:r>
    </w:p>
    <w:p>
      <w:pPr>
        <w:pStyle w:val="SourceNote"/>
      </w:pPr>
      <w:r>
        <w:rPr>
          <w:b/>
        </w:rPr>
        <w:t>Available abstract (not full text):</w:t>
      </w:r>
      <w:r>
        <w:t xml:space="preserve">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pPr/>
      <w:r>
        <w:rPr>
          <w:b/>
        </w:rPr>
        <w:t>POSSIBLE 2025:</w:t>
      </w:r>
      <w:r>
        <w:t xml:space="preserve"> Prepare Your Lessons — https://doi.org/10.1093/oso/9780197631430.003.0005</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In elementary music class, students learn musical skills, not just facts. Teachers build these skills by modeling, communicating clearly, and assessing student progress. This chapter explores how to organize lesson plans, prepare lessons for different age groups, and ensure smooth delivery. It emphasizes the importance of practicing lessons before teaching and reflecting on what worked afterward. The chapter introduces a structured approach to lesson planning, balancing engaging activities with clear learning objectives. Strategies for effective transitions, classroom management, and student engagement are discussed, helping teachers create lessons that flow smoothly. The importance of using concise instruction, modeling rather than overexplaining, and listening more than speaking is also highlighted. By focusing on well-prepared and thoughtful instruction, teachers can maximize student learning and create a positive, productive classroom environment. Checklists and practical suggestions help teachers refine their approach and continuously improve their teaching.</w:t>
      </w:r>
    </w:p>
    <w:p>
      <w:pPr/>
      <w:r>
        <w:rPr>
          <w:b/>
        </w:rPr>
        <w:t>POSSIBLE 2025:</w:t>
      </w:r>
      <w:r>
        <w:t xml:space="preserve"> Can AI help authors prepare better risk science manuscripts? — https://doi.org/10.1111/risa.70055</w:t>
      </w:r>
    </w:p>
    <w:p>
      <w:pPr/>
      <w:r>
        <w:rPr>
          <w:b/>
        </w:rPr>
        <w:t>Shared claim-specific concepts:</w:t>
      </w:r>
      <w:r>
        <w:t xml:space="preserve"> abstract, help, prepare, scientists, four; EU scope not established. This is a provisional connection, not an outcome finding.</w:t>
      </w:r>
    </w:p>
    <w:p>
      <w:pPr>
        <w:pStyle w:val="SourceNote"/>
      </w:pPr>
      <w:r>
        <w:rPr>
          <w:b/>
        </w:rPr>
        <w:t>Available abstract (not full text):</w:t>
      </w:r>
      <w:r>
        <w:t xml:space="preserve"> Scientists, publishers, and journal editors are wondering how, whether, and to what extent artificial intelligence (AI) tools might soon help to advance the rigor, efficiency, and value of scientific peer review. Will AI provide timely, useful feedback that helps authors improve their manuscripts while avoiding the biases and inconsistencies of human reviewers? Or might it instead generate low-quality verbiage, add noise and errors, reinforce flawed reasoning, and erode trust in the review process? This perspective reports on evaluations of two experimental AI systems: (i) a "Screener" available at http://screener.riskanalysis.cloud/ that gives authors feedback on whether a draft paper (or abstract, proposal, etc.) appears to be a fit for the journal Risk Analysis, based on the guidance to authors provided by the journal (https://www.sra.org/journal/what-makes-a-good-risk-analysis-article/); and (ii) a more ambitious "Reviewer" (http://aia1.moirai-solutions.com/) that gives substantive technical feedback and recommends how to improve the clarity of methodology and the interpretation of results. The evaluations were conducted by a convenience sample of Risk Analysis Area Editors (AEs) and authors, including two authors of manuscripts in progress and four authors of papers that had already been published. The Screener was generally rated as useful. It has been deployed at Risk An</w:t>
      </w:r>
    </w:p>
    <w:p>
      <w:pPr/>
      <w:r>
        <w:rPr>
          <w:b/>
        </w:rPr>
        <w:t>POSSIBLE 2024:</w:t>
      </w:r>
      <w:r>
        <w:t xml:space="preserve"> Preparing conservatoire students for the music education workforce: conversations with alumni — https://doi.org/10.1017/s0265051724000111</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Higher music education institutions should continually review their curricula to ensure that their graduates are best equipped to support musical learning for children and young people. Perspectives on early careers in instrumental teaching were obtained via an alumni-led workshop and focus group at a UK conservatoire. Findings revealed that whilst extensive pedagogical training was offered, its value was not fully acknowledged across the institution and that more could be done to alleviate students’ anxieties about their developing musician identities and future stability. As new teachers, alumni are well placed to help prepare students for the professional realities of joining the music education workforce.</w:t>
      </w:r>
    </w:p>
    <w:p>
      <w:pPr/>
      <w:r>
        <w:rPr>
          <w:b/>
        </w:rPr>
        <w:t>POSSIBLE 2023:</w:t>
      </w:r>
      <w:r>
        <w:t xml:space="preserve"> Preparing for Our Futures — https://doi.org/10.1093/med-psych/9780197609286.003.0015</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This chapter covers Session 14 of the Juvenile Justice Anger Management (JJAM) Treatment for Girls. In this session the participants learn how they can prepare for their future after treatment. The session focuses on synthesizing the various skills and tools that the girls have learned during the program. The facilitators encourage the girls to practice applying these skills to real-life situations and to enlist others to help them use these skills in the future. The participants will identify their goals beyond the treatment. An activity is provided to help the girls feel more comfortable using the support systems that they have previously identified.</w:t>
      </w:r>
    </w:p>
    <w:p>
      <w:pPr/>
      <w:r>
        <w:rPr>
          <w:b/>
        </w:rPr>
        <w:t>POSSIBLE 2023:</w:t>
      </w:r>
      <w:r>
        <w:t xml:space="preserve"> Preparing for Our Futures — https://doi.org/10.1093/med-psych/9780197609286.003.0047</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This chapter provides the participant materials for Session 14 of the Juvenile Justice Anger Management (JJAM) Treatment for Girls. In this session the girls learn how to prepare plans for the future. This includes the process of figuring out how to tell important people about the anger management tools they learned and how to ask for help. Planning ahead means thinking about one’s goals and writing them down. An example of a goal is to get better grades in school by the end of the year. When a participant is angry and needs help remembering these tools, it is useful for her to talk to her building block support people.</w:t>
      </w:r>
    </w:p>
    <w:p>
      <w:pPr/>
      <w:r>
        <w:rPr>
          <w:b/>
        </w:rPr>
        <w:t>POSSIBLE 2023:</w:t>
      </w:r>
      <w:r>
        <w:t xml:space="preserve"> Big data can help prepare nurses and improve patient outcomes by improving quality, safety, and outcomes — https://doi.org/10.2478/fon-2023-0026</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Objectives Big data has revolutionized nursing and health care and raised concerns. This research aims to help nurses understand big data sets to provide better patient care. Methods This study used big data in nursing to improve patient care. Big data in nursing has sparked a global revolution and raised concerns, but few studies have focused on helping nurses understand big data to provide the best patient care. This systematic review was conducted based on PRISMA guidelines. PubMed, MEDLINE, CINAHL, Google Scholar, and ResearchGate were used for 2010–2020 studies. Results The most common use of big data in nursing was investigated in eight papers between 2015 and 2018. All research showed improvements in patient outcomes and healthcare delivery when big data was used in the medical-surgical, emergency department, critical care unit, community, systems biology, and leadership applications. Big data is not taught to nurses. Conclusions Big data applications in nursing and health care improve early intervention and decision-making. Big data provides a comprehensive view of a patient’s status and social determinants of health, allowing treatment using all metaparadigms and avoiding a singular focus. Big data can help prepare nurses and improve patient outcomes by improving quality, safety, and outcomes.</w:t>
      </w:r>
    </w:p>
    <w:p>
      <w:pPr/>
      <w:r>
        <w:rPr>
          <w:b/>
        </w:rPr>
        <w:t>POSSIBLE 2023:</w:t>
      </w:r>
      <w:r>
        <w:t xml:space="preserve"> Comparing scientific abstracts generated by ChatGPT to real abstracts with detectors and blinded human reviewers — https://doi.org/10.1038/s41746-023-00819-6</w:t>
      </w:r>
    </w:p>
    <w:p>
      <w:pPr/>
      <w:r>
        <w:rPr>
          <w:b/>
        </w:rPr>
        <w:t>Shared claim-specific concepts:</w:t>
      </w:r>
      <w:r>
        <w:t xml:space="preserve"> abstract, help, often, high, low; EU scope not established. This is a provisional connection, not an outcome finding.</w:t>
      </w:r>
    </w:p>
    <w:p>
      <w:pPr>
        <w:pStyle w:val="SourceNote"/>
      </w:pPr>
      <w:r>
        <w:rPr>
          <w:b/>
        </w:rPr>
        <w:t>Available abstract (not full text):</w:t>
      </w:r>
      <w:r>
        <w:t xml:space="preserve"> Abstract Background Large language models such as ChatGPT can produce increasingly realistic text, with unknown information on the accuracy and integrity of using these models in scientific writing. Methods We gathered ten research abstracts from five high impact factor medical journals (n=50) and asked ChatGPT to generate research abstracts based on their titles and journals. We evaluated the abstracts using an artificial intelligence (AI) output detector, plagiarism detector, and had blinded human reviewers try to distinguish whether abstracts were original or generated. Results All ChatGPT-generated abstracts were written clearly but only 8% correctly followed the specific journal’s formatting requirements. Most generated abstracts were detected using the AI output detector, with scores (higher meaning more likely to be generated) of median [interquartile range] of 99.98% [12.73, 99.98] compared with very low probability of AI-generated output in the original abstracts of 0.02% [0.02, 0.09]. The AUROC of the AI output detector was 0.94. Generated abstracts scored very high on originality using the plagiarism detector (100% [100, 100] originality). Generated abstracts had a similar patient cohort size as original abstracts, though the exact numbers were fabricated. When given a mixture of original and general abstracts, blinded human reviewers correctly identified 68% of gene</w:t>
      </w:r>
    </w:p>
    <w:p>
      <w:pPr/>
      <w:r>
        <w:rPr>
          <w:b/>
        </w:rPr>
        <w:t>POSSIBLE 2023:</w:t>
      </w:r>
      <w:r>
        <w:t xml:space="preserve"> Deciding for resilience: Utilizing water infrastructure investments to prepare for the future — https://doi.org/10.1002/wat2.1661</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Governments are increasingly faced with climate change realities and have also committed themselves to international agreements with objectives to tackle long‐term problems such as becoming climate neutral by 2050. Governments, therefore, will need to carefully consider how to contribute to combatting climate change, when investing in their water infrastructure that is reaching an end‐of‐lifetime due to technical aging or changing functional requirements. Such investments offer crucial windows of opportunity to create more resilient water systems, because large budgets are involved and lifespans of infrastructure are long and co‐determine possible futures. Based on a literature review, this article develops key ways of how infrastructure operators could adopt a long‐term perspective and choose water management strategies that increase absorptive, adaptive, and transformative capacities. With these perspectives and strategies, this article sets out a basis to help governments prepare for the future when they invest in water infrastructure. This article is categorized under: Human Water &gt; Water Governance Science of Water &gt; Water and Environmental Change Engineering Water &gt; Planning Water</w:t>
      </w:r>
    </w:p>
    <w:p>
      <w:pPr/>
      <w:r>
        <w:rPr>
          <w:b/>
        </w:rPr>
        <w:t>POSSIBLE 2021:</w:t>
      </w:r>
      <w:r>
        <w:t xml:space="preserve"> 12 A qualitative study of factors that helped prepare athletes for Special Olympics sport programs — https://doi.org/10.1093/pch/pxab061.008</w:t>
      </w:r>
    </w:p>
    <w:p>
      <w:pPr/>
      <w:r>
        <w:rPr>
          <w:b/>
        </w:rPr>
        <w:t>Shared claim-specific concepts:</w:t>
      </w:r>
      <w:r>
        <w:t xml:space="preserve"> abstract, help, prepare, four; EU scope not established. This is a provisional connection, not an outcome finding.</w:t>
      </w:r>
    </w:p>
    <w:p>
      <w:pPr>
        <w:pStyle w:val="SourceNote"/>
      </w:pPr>
      <w:r>
        <w:rPr>
          <w:b/>
        </w:rPr>
        <w:t>Available abstract (not full text):</w:t>
      </w:r>
      <w:r>
        <w:t xml:space="preserve"> Abstract Primary Subject area Developmental Paediatrics Background Special Olympics (SO) is working to introduce more child and youth programs provincially and improve currently available programs. To date, there is little research published surrounding the experiences of SO athletes. Given the aim of SO to improve and grow the experience and health of youth, the present study explores the experiences of SO athletes and caregivers to understand what prepares athletes for SO programs and competition. Objectives 1. To describe the experience of SO athletes and caregivers and understand what best prepared them for their involvement in organized sport and physical activity. 2. To offer evidence-based strategies for creating an inclusive and encouraging environment for sports and physical activity for healthy active living and/or preparation for SO involvement. Design/Methods Both athletes and caregivers participated in semi-structured, conversation-based interviews. Eight English-speaking athletes involved in a variety of sports from around the province were interviewed, and four of these interviews included caregivers. Interviews were transcribed and coded using thematic analysis. Results Five themes were identified throughout these interviews. The importance of a supportive environment emerged as a strong theme. Athletes valued the support of caregivers, coaches, and other player</w:t>
      </w:r>
    </w:p>
    <w:p>
      <w:pPr/>
      <w:r>
        <w:rPr>
          <w:b/>
        </w:rPr>
        <w:t>POSSIBLE 2021:</w:t>
      </w:r>
      <w:r>
        <w:t xml:space="preserve"> Preparing Indonesia for The Ocean Decade 2021-2030 — https://doi.org/10.1088/1755-1315/744/1/012025</w:t>
      </w:r>
    </w:p>
    <w:p>
      <w:pPr/>
      <w:r>
        <w:rPr>
          <w:b/>
        </w:rPr>
        <w:t>Shared claim-specific concepts:</w:t>
      </w:r>
      <w:r>
        <w:t xml:space="preserve"> abstract, help, prepare, scientists, stakeholders, natural; EU scope not established. This is a provisional connection, not an outcome finding.</w:t>
      </w:r>
    </w:p>
    <w:p>
      <w:pPr>
        <w:pStyle w:val="SourceNote"/>
      </w:pPr>
      <w:r>
        <w:rPr>
          <w:b/>
        </w:rPr>
        <w:t>Available abstract (not full text):</w:t>
      </w:r>
      <w:r>
        <w:t xml:space="preserve"> Abstract The Ocean Decade 2021-2030 was declared at the end of 2017. The Decade Declaration is aimed at accelerating the resolution of various social-ecological issues facing the oceans collectively and holistically by involving multi-stakeholders: natural and social scientists, governments, NGOs, private parties, and local communities. Indonesia as a large maritime country must play an important role in this Decade, both as a provider and as a beneficiary. The aims of this paper are to (1) convey important things about the Ocean Decade and (2) provide recommendations for carrying out three types of research to prepare for the Ocean Decade. This exploratory study is conducted qualitatively, using a literature review of UNESCO official documents as well as various other literature, such as scientific journal articles. An interview with a key informant was conducted for initial stakeholder analysis. The results of the analysis and the recommendations are expected to be used to help various stakeholders in Indonesia prepare to take part in the implementation of ‘The Ocean Decade’.</w:t>
      </w:r>
    </w:p>
    <w:p>
      <w:pPr>
        <w:pStyle w:val="Heading2"/>
      </w:pPr>
      <w:r>
        <w:t>683.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2025:</w:t>
      </w:r>
      <w:r>
        <w:t xml:space="preserve"> Impact of digital transformation for sustainable circular economic environments — https://doi.org/10.1007/s44438-025-00001-3</w:t>
      </w:r>
    </w:p>
    <w:p>
      <w:pPr/>
      <w:r>
        <w:rPr>
          <w:b/>
        </w:rPr>
        <w:t>Shared claim-specific concepts:</w:t>
      </w:r>
      <w:r>
        <w:t xml:space="preserve"> transformation, circular, economy, occur, perspective, design; EU scope not established. This is a provisional connection, not an outcome finding.</w:t>
      </w:r>
    </w:p>
    <w:p>
      <w:pPr>
        <w:pStyle w:val="SourceNote"/>
      </w:pPr>
      <w:r>
        <w:rPr>
          <w:b/>
        </w:rPr>
        <w:t>Available abstract (not full text):</w:t>
      </w:r>
      <w:r>
        <w:t xml:space="preserve">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pPr/>
      <w:r>
        <w:rPr>
          <w:b/>
        </w:rPr>
        <w:t>POSSIBLE 2024:</w:t>
      </w:r>
      <w:r>
        <w:t xml:space="preserve"> Circular economy in the manufacturing sector: Digital transformation and sustainable practices — https://doi.org/10.30574/ijsra.2024.12.2.1217</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The transition from a linear economy to a circular economy (CE) represents a profound shift in resource management practices, emphasizing sustainability and waste reduction as core principles. This review paper explores how digital transformation technologies, including Internet of Things (IoT), artificial intelligence (AI), blockchain, and big data, are integrated with circular economy principles within the manufacturing sector. It examines their roles in promoting sustainable manufacturing practices by optimizing resource use, improving efficiency, and reducing environmental impact. Through a comprehensive review of current literature and case studies, this paper elucidates the benefits, challenges, and future directions of adopting a circular economy approach in manufacturing, highlighting opportunities for innovation and sustainable growth.</w:t>
      </w:r>
    </w:p>
    <w:p>
      <w:pPr/>
      <w:r>
        <w:rPr>
          <w:b/>
        </w:rPr>
        <w:t>POSSIBLE 2024:</w:t>
      </w:r>
      <w:r>
        <w:t xml:space="preserve"> ECONOMIC MONITORING OF THE CIRCULAR TRANSFORMATION AS A CHALLENGE FOR MECHANICAL ENGINEERING — https://openalex.org/W7215135237</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This paper critically evaluates the role of mechanical engineering in the economic monitoring of the circular economy transformation. The transition from a linear "take-make-dispose" model to a circular one is imperative for sustainability, requiring significant adaptation in mechanical engineering practices. The research investigates the methodologies and institutional frameworks that underpin this transformation, assessing their efficacy and identifying areas for enhancement. By examining the latest scientific literature and employing various indicators and evaluation methods, the study outlines the practical and strategic benefits of embracing circular economy principles. It underscores the necessity of robust monitoring mechanisms and the crucial role of institutions in fostering the transition, with a particular focus on the European Union's regulatory approach. This paper provides a comprehensive understanding of the state of circular economy implementation in mechanical engineering and suggests future directions for its development, monitoring, and integration into policy and educational frameworks.</w:t>
      </w:r>
    </w:p>
    <w:p>
      <w:pPr/>
      <w:r>
        <w:rPr>
          <w:b/>
        </w:rPr>
        <w:t>POSSIBLE 2023:</w:t>
      </w:r>
      <w:r>
        <w:t xml:space="preserve"> Income inequality and circular materials use: an analysis of European Union economies and implications for circular economy development — https://doi.org/10.1108/md-11-2022-1620</w:t>
      </w:r>
    </w:p>
    <w:p>
      <w:pPr/>
      <w:r>
        <w:rPr>
          <w:b/>
        </w:rPr>
        <w:t>Shared claim-specific concepts:</w:t>
      </w:r>
      <w:r>
        <w:t xml:space="preserve"> vast, circular, economy, occur, design, processes; EU scope visible. This is a provisional connection, not an outcome finding.</w:t>
      </w:r>
    </w:p>
    <w:p>
      <w:pPr>
        <w:pStyle w:val="SourceNote"/>
      </w:pPr>
      <w:r>
        <w:rPr>
          <w:b/>
        </w:rPr>
        <w:t>Available abstract (not full text):</w:t>
      </w:r>
      <w:r>
        <w:t xml:space="preserve"> Purpose The purpose of the research was to evaluate the relationship between income and the recycled materials used in order to rate the business related to circular repair services under the burden of economic development in the countries of the European Union. Design/methodology/approach The analytical processes explore data from 2010 to 2020. The countries were divided into clusters according to economic maturity (Human Development Index (HDI), real Gross domestic product (GDP) per capita). Subsequently, the relationships were evaluated through the income indicators (for the 13 population groups), and the circular materials use rate indicator. The three indicators decomposed into five specific metrics were employed. The commonly applied characteristics of the descriptive analysis, Pearson's correlation coefficient and the panel regression analysis were engaged in the investigation. Findings The results demonstrated the vast disparities between income and circular materials use. In the more economically developed countries, their levels were twice higher as the less-developed countries. However, there is a meaningful positive relationship between them. The greatest attention was paid to the panel regression analysis applied to the relationship between income and circular economy (CE) use. The results showed that in a majority of the cases (different income categories), there </w:t>
      </w:r>
    </w:p>
    <w:p>
      <w:pPr/>
      <w:r>
        <w:rPr>
          <w:b/>
        </w:rPr>
        <w:t>POSSIBLE 2023:</w:t>
      </w:r>
      <w:r>
        <w:t xml:space="preserve"> The Circular Economy Transformation of Airports: An Alternative Model for Retail Waste Management — https://doi.org/10.3390/su15043860</w:t>
      </w:r>
    </w:p>
    <w:p>
      <w:pPr/>
      <w:r>
        <w:rPr>
          <w:b/>
        </w:rPr>
        <w:t>Shared claim-specific concepts:</w:t>
      </w:r>
      <w:r>
        <w:t xml:space="preserve"> transformation, circular, economy, design, processes; EU scope not established. This is a provisional connection, not an outcome finding.</w:t>
      </w:r>
    </w:p>
    <w:p>
      <w:pPr>
        <w:pStyle w:val="SourceNote"/>
      </w:pPr>
      <w:r>
        <w:rPr>
          <w:b/>
        </w:rPr>
        <w:t>Available abstract (not full text):</w:t>
      </w:r>
      <w:r>
        <w:t xml:space="preserve"> Airport terminals worldwide generate approximately 6 million tons of passenger waste annually. Increased awareness of climate change and global interventions for environmental sustainability requires a reassessment of airports’ current methods of waste management. This paper proposes a new design concept solution called circular airport retail waste management (CAWM) for airport terminal retail waste processing, which aims to reduce and ideally eliminate airport waste ending up in landfill or incineration. Given the need for novelty and challenging the status-quo, the double diamond design process was adopted as the research method. The research began by collating the current practices of retail waste processing in airports via a literature review and field observations. Secondly, a critical analysis of the current processes was conducted to identify the intervention points. Thirdly, a concept solution was developed based on the circular economy (CE) 9R framework. Finally, the CAWM concept was delivered to airport waste management personnel for review. CAWM offers a structured way of airport retail waste management practices, including the segregation of nonrecyclable and recyclable waste (i.e., different bin designs, color coding, harmonization of waste colors, improved instructions and signage, various bin locations, training, and installing more liquid disposal and donation </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circular, economy;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r>
        <w:rPr>
          <w:b/>
        </w:rPr>
        <w:t>POSSIBLE 2022:</w:t>
      </w:r>
      <w:r>
        <w:t xml:space="preserve"> Circular cities: planning for circular development in European cities — https://doi.org/10.1080/09654313.2022.2060707</w:t>
      </w:r>
    </w:p>
    <w:p>
      <w:pPr/>
      <w:r>
        <w:rPr>
          <w:b/>
        </w:rPr>
        <w:t>Shared claim-specific concepts:</w:t>
      </w:r>
      <w:r>
        <w:t xml:space="preserve"> transformation, circular; EU scope visible. This is a provisional connection, not an outcome finding.</w:t>
      </w:r>
    </w:p>
    <w:p>
      <w:pPr>
        <w:pStyle w:val="SourceNote"/>
      </w:pPr>
      <w:r>
        <w:rPr>
          <w:b/>
        </w:rPr>
        <w:t>Available abstract (not full text):</w:t>
      </w:r>
      <w:r>
        <w:t xml:space="preserve"> Circular development could produce more resource efficient, ecologically regenerative and resilient cities. This development pathway offers many ecological, social and economic benefits. However, there are also many challenges to implementation, not least a heavy reliance on the market to transform urban systems of provision. A regulatory and policy framework is essential for a circular transformation, until circular activities become competitive within existing markets. Spatial and land-use planning can offer this framework. This paper provides insight into the circular development process. It discusses the role of planning in delivering circular development, using examples from four European cities. It identifies the tools for delivery and discusses the inherent limitations of using planning tools to deliver a circular transformation.</w:t>
      </w:r>
    </w:p>
    <w:p>
      <w:pPr/>
      <w:r>
        <w:rPr>
          <w:b/>
        </w:rPr>
        <w:t>POSSIBLE 2022:</w:t>
      </w:r>
      <w:r>
        <w:t xml:space="preserve"> The sustainable transformation of the Colombian cattle sector: Assessing its circularity — https://doi.org/10.1371/journal.pclm.0000074</w:t>
      </w:r>
    </w:p>
    <w:p>
      <w:pPr/>
      <w:r>
        <w:rPr>
          <w:b/>
        </w:rPr>
        <w:t>Shared claim-specific concepts:</w:t>
      </w:r>
      <w:r>
        <w:t xml:space="preserve"> transformation, circular; EU scope not established. This is a provisional connection, not an outcome finding.</w:t>
      </w:r>
    </w:p>
    <w:p>
      <w:pPr>
        <w:pStyle w:val="SourceNote"/>
      </w:pPr>
      <w:r>
        <w:rPr>
          <w:b/>
        </w:rPr>
        <w:t>Available abstract (not full text):</w:t>
      </w:r>
      <w:r>
        <w:t xml:space="preserve"> Circular food systems are increasingly acknowledged for their potential to contribute to the transition towards sustainable futures. In a circular food system, the use of finite and limited resources is minimized, and nutrients in residual streams and inedible biomass for humans are reused as inputs in the bioeconomy. Livestock has become relevant in this narrative for upcycling nutrients contained in food by-products and grass resources into nutritious food for humans without using human-edible resources. Evaluating on-going national sustainability initiatives in the livestock sector is key to determine if circularity elements are already represented and to identify new opportunities and pathways for the future. In this paper we synthetize the environmental actions promoted by different initiatives driving the sustainable transformation of Colombian cattle production systems and assess the inclusion of circularity elements in these actions. The proposed environmental actions were concentrated in the conservation of remaining natural ecosystems, zero-deforestation and the sustainable intensification of cattle production through silvopastoral and paddock rotational systems. Circularity was addressed by some initiatives via the use organic fertilizers and the use of manure as fertilizers or feedstock for bioenergy generation. However, given that cattle farming is often practiced </w:t>
      </w:r>
    </w:p>
    <w:p>
      <w:pPr/>
      <w:r>
        <w:rPr>
          <w:b/>
        </w:rPr>
        <w:t>POSSIBLE 2022:</w:t>
      </w:r>
      <w:r>
        <w:t xml:space="preserve"> Understanding circular economy transitions: The case of circular textiles — https://doi.org/10.1002/bse.3114</w:t>
      </w:r>
    </w:p>
    <w:p>
      <w:pPr/>
      <w:r>
        <w:rPr>
          <w:b/>
        </w:rPr>
        <w:t>Shared claim-specific concepts:</w:t>
      </w:r>
      <w:r>
        <w:t xml:space="preserve"> transformation, circular, economy, processes; EU scope visible. This is a provisional connection, not an outcome finding.</w:t>
      </w:r>
    </w:p>
    <w:p>
      <w:pPr>
        <w:pStyle w:val="SourceNote"/>
      </w:pPr>
      <w:r>
        <w:rPr>
          <w:b/>
        </w:rPr>
        <w:t>Available abstract (not full text):</w:t>
      </w:r>
      <w:r>
        <w:t xml:space="preserve"> Abstract The circular economy has been proposed to transform global textile supply chains which are currently challenged by a complex nexus of sustainability issues related to the dominant fast fashion trend. Research on circular economy in the textile sector often focuses on businesses or consumers as key enablers in circular transitions , yet it treats them as independent entities and thereby neglects the study of interactions that can provide insight at the systems level. The proclaimed “circular textile mission” in the Netherlands setting a national target for 100% circularity by 2050 is used as case study to address this research gap. We explore the circular textile transition processes found in the context of the Dutch mission and compare the development and interactions among various technical and non‐technological solutions produced by engaged actor constellations for assessing key factors driving and blocking the overall mission fulfilment. To these ends, we derive a theoretical framework based on innovation system theory and conceptualize the Dutch circular textile transition as a Mission‐oriented Innovation System ( MIS ). Analyzing the structure and functioning of the Dutch mission‐oriented innovation system, we show that (1) there is a good match between the formal Dutch circular textile mission and system actor perceptions; (2) system actors have formed structures</w:t>
      </w:r>
    </w:p>
    <w:p>
      <w:pPr/>
      <w:r>
        <w:rPr>
          <w:b/>
        </w:rPr>
        <w:t>POSSIBLE 2022:</w:t>
      </w:r>
      <w:r>
        <w:t xml:space="preserve"> Food system transformation for sustainable city-regions: exploring the potential of circular economies — https://doi.org/10.1080/00343404.2021.2021168</w:t>
      </w:r>
    </w:p>
    <w:p>
      <w:pPr/>
      <w:r>
        <w:rPr>
          <w:b/>
        </w:rPr>
        <w:t>Shared claim-specific concepts:</w:t>
      </w:r>
      <w:r>
        <w:t xml:space="preserve"> transformation, circular; EU scope not established. This is a provisional connection, not an outcome finding.</w:t>
      </w:r>
    </w:p>
    <w:p>
      <w:pPr>
        <w:pStyle w:val="SourceNote"/>
      </w:pPr>
      <w:r>
        <w:rPr>
          <w:b/>
        </w:rPr>
        <w:t>Available abstract (not full text):</w:t>
      </w:r>
      <w:r>
        <w:t xml:space="preserve"> Calls for food system transformation to strengthen synergies between socio-economic and environmental goals have been growing in recent years. As yet, however, insights from theoretical debates have not been tested against the actions and perceptions of food system actors. To add empirical weight to this debate, we focus on a region in the north of England where the Covid-19 crisis has challenged the embeddedness of linear thinking and siloed policy approaches. Based on an exploration of the potential of ‘circular food economies’, the analysis provides insights into the capacity of ‘city-regions’ to reorientate food system dynamics towards sustainability objectives.</w:t>
      </w:r>
    </w:p>
    <w:p>
      <w:pPr/>
      <w:r>
        <w:rPr>
          <w:b/>
        </w:rPr>
        <w:t>POSSIBLE 2022:</w:t>
      </w:r>
      <w:r>
        <w:t xml:space="preserve"> Circular Economy in the European Construction Sector: A Review of Strategies for Implementation in Building Renovation — https://doi.org/10.3390/en15134747</w:t>
      </w:r>
    </w:p>
    <w:p>
      <w:pPr/>
      <w:r>
        <w:rPr>
          <w:b/>
        </w:rPr>
        <w:t>Shared claim-specific concepts:</w:t>
      </w:r>
      <w:r>
        <w:t xml:space="preserve"> circular, economy, design; EU scope visible. This is a provisional connection, not an outcome finding.</w:t>
      </w:r>
    </w:p>
    <w:p>
      <w:pPr>
        <w:pStyle w:val="SourceNote"/>
      </w:pPr>
      <w:r>
        <w:rPr>
          <w:b/>
        </w:rPr>
        <w:t>Available abstract (not full text):</w:t>
      </w:r>
      <w:r>
        <w:t xml:space="preserve"> Building renovation was declared a key point for sustainable development, however, the renovation rate of residential buildings in the European Union is insufficient to meet the climate and energy targets set. This paper analyses the main circular economy models used in the construction sector, as well as the situation of the building renovation market, to set a framework for circular economy models in building renovation. Of all the existing strategies in this sector, design, material recovery, building renovation and end-of-life actions would be the best, respectively. It also includes a market analysis consisting of a literature review covering PEST perspectives (political, economic, social and technical) and a SWOT analysis (strengths, weaknesses, opportunities and threats), concluding with a market gap analysis. The results of these analyses allow the development of a series of suggestions and strategies to be followed in order to solve the main barriers that hinder the implementation of the circular economy in the building´s renovation sector.</w:t>
      </w:r>
    </w:p>
    <w:p>
      <w:pPr>
        <w:pStyle w:val="Heading2"/>
      </w:pPr>
      <w:r>
        <w:t>684.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2023:</w:t>
      </w:r>
      <w:r>
        <w:t xml:space="preserve"> Is the flood occurrence rate decreasing in Southeast Europe? — https://doi.org/10.5194/egusphere-egu23-6031</w:t>
      </w:r>
    </w:p>
    <w:p>
      <w:pPr/>
      <w:r>
        <w:rPr>
          <w:b/>
        </w:rPr>
        <w:t>Shared claim-specific concepts:</w:t>
      </w:r>
      <w:r>
        <w:t xml:space="preserve"> also, decrease, reduction, three, project; EU scope visible. This is a provisional connection, not an outcome finding.</w:t>
      </w:r>
    </w:p>
    <w:p>
      <w:pPr>
        <w:pStyle w:val="SourceNote"/>
      </w:pPr>
      <w:r>
        <w:rPr>
          <w:b/>
        </w:rPr>
        <w:t>Available abstract (not full text):</w:t>
      </w:r>
      <w:r>
        <w:t xml:space="preserve"> Floods are natural phenomena, which can turn into disasters and cause widespread damage, health problems and deaths. This is particularly the case where rivers have been denied from their natural floodplains and are limited by embankments, and where housing and industrial buildings have been constructed in areas that are naturally liable to flooding. However, during the last few decades, flood observations from different parts of Europe do not show a clear increase in flood occurrence rate (Blöschl et al., 2019). In the present paper we present longer-term records of winter and summer floods in one of the largest river of Southeast Europe, the Sava River for the 1926-2021 period. We analysed three group of events that were based on three flood protection levels in Republic of Serbia defined for Sremska Mitrovica station. Regular protection level is set at 4120 m3/s and emergency flood defense level which is set at 5120 m3/s, that is, minor events are up to the regular protection level, strong events are up to the emergency level and extreme events are above emergency flood defense level. For the past 95 years, we find a decrease in both summer and winter flood occurrence rates. The reduction in winter flood occurrence can partly be attributed to reduced amount of precipitation during this period of the year. Further, on the basis of these data and methods, we find that for the </w:t>
      </w:r>
    </w:p>
    <w:p>
      <w:pPr/>
      <w:r>
        <w:rPr>
          <w:b/>
        </w:rPr>
        <w:t>POSSIBLE 2023:</w:t>
      </w:r>
      <w:r>
        <w:t xml:space="preserve"> Decreasing trends of ammonia emissions over Europe seen from remote sensing and inverse modelling — https://doi.org/10.5194/acp-23-15235-2023</w:t>
      </w:r>
    </w:p>
    <w:p>
      <w:pPr/>
      <w:r>
        <w:rPr>
          <w:b/>
        </w:rPr>
        <w:t>Shared claim-specific concepts:</w:t>
      </w:r>
      <w:r>
        <w:t xml:space="preserve"> also, showed, emissions; EU scope visible. This is a provisional connection, not an outcome finding.</w:t>
      </w:r>
    </w:p>
    <w:p>
      <w:pPr>
        <w:pStyle w:val="SourceNote"/>
      </w:pPr>
      <w:r>
        <w:rPr>
          <w:b/>
        </w:rPr>
        <w:t>Available abstract (not full text):</w:t>
      </w:r>
      <w:r>
        <w:t xml:space="preserve"> Abstract. Ammonia (NH3), a significant precursor of particulate matter, affects not only biodiversity, ecosystems, and soil acidification but also climate and human health. In addition, its concentrations are constantly rising due to increasing feeding needs and the large use of fertilization and animal farming. Despite the significance of ammonia, its emissions are associated with large uncertainties, while its atmospheric abundance is difficult to measure. Nowadays, satellite products can effectively measure ammonia with low uncertainty and a global coverage. Here, we use satellite observations of column ammonia in combination with an inversion algorithm to derive ammonia emissions with a high resolution over Europe for the period 2013–2020. Ammonia emissions peak in northern Europe due to agricultural application and livestock management, in western Europe (industrial activity), and over Spain (pig farming). Emissions have decreased by −26 % since 2013 (from 5431 Gg in 2013 to 3994 Gg in 2020), showing that the abatement strategies adopted by the European Union have been very efficient. The slight increase (+4.4 %) in 2015 is also reproduced here and is attributed to some European countries exceeding annual emission targets. Ammonia emissions are low in winter (286 Gg) and peak in summer (563 Gg) and are dominated by the temperature-dependent volatilization of ammonia from t</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also, decrease, number;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Market Reaction As An Impact Of The Fed Interest Rate Decrease Announcement In Asian And European Areas — https://doi.org/10.24843/matrik:jmbk.2022.v16.i01.p03</w:t>
      </w:r>
    </w:p>
    <w:p>
      <w:pPr/>
      <w:r>
        <w:rPr>
          <w:b/>
        </w:rPr>
        <w:t>Shared claim-specific concepts:</w:t>
      </w:r>
      <w:r>
        <w:t xml:space="preserve"> also, decrease, reduction; EU scope visible. This is a provisional connection, not an outcome finding.</w:t>
      </w:r>
    </w:p>
    <w:p>
      <w:pPr>
        <w:pStyle w:val="SourceNote"/>
      </w:pPr>
      <w:r>
        <w:rPr>
          <w:b/>
        </w:rPr>
        <w:t>Available abstract (not full text):</w:t>
      </w:r>
      <w:r>
        <w:t xml:space="preserve"> Market Reaction As An Impact Of The Fed Interest Rate Decrease Announcement In Asian And European Areas ABSTRACT The announcement of the reduction in the Fed's interest rate on July 31, 2019 is a rare event since 2008. The Fed's rate cut will have a major impact on the global economy and conditions in the capital market.The purpose of this study is to determine whether there is a difference in the average abnormal return around the date of the announcement of the Fed's interest rate hike in Asia and the European region. The sample of this study was 18 emerging market countries' index indices in Asia and Europe with sample collection techniques using purposive sampling. This study uses One Way Anova analysis techniques and One Sample T-test. The results found that there was no difference in the average abnormal return before and after the announcement of the Fed's interest rate increase. This condition shows that markets in the two regions do not react significantly because markets in Asia and the European region are in an efficient condition in the form of half strong, where the market absorbs information quickly and is reflected in stock prices so there is no difference in the average abnormal return in both regions. The absence of a difference in the average abnormal return is also caused by the uncertainty of the global economy making investors more careful in making investm</w:t>
      </w:r>
    </w:p>
    <w:p>
      <w:pPr/>
      <w:r>
        <w:rPr>
          <w:b/>
        </w:rPr>
        <w:t>POSSIBLE 2022:</w:t>
      </w:r>
      <w:r>
        <w:t xml:space="preserve"> Flash drought drives rapid vegetation stress in arid regions in Europe — https://doi.org/10.1088/1748-9326/acae3a</w:t>
      </w:r>
    </w:p>
    <w:p>
      <w:pPr/>
      <w:r>
        <w:rPr>
          <w:b/>
        </w:rPr>
        <w:t>Shared claim-specific concepts:</w:t>
      </w:r>
      <w:r>
        <w:t xml:space="preserve"> also, decrease, about; EU scope visible. This is a provisional connection, not an outcome finding.</w:t>
      </w:r>
    </w:p>
    <w:p>
      <w:pPr>
        <w:pStyle w:val="SourceNote"/>
      </w:pPr>
      <w:r>
        <w:rPr>
          <w:b/>
        </w:rPr>
        <w:t>Available abstract (not full text):</w:t>
      </w:r>
      <w:r>
        <w:t xml:space="preserve"> Abstract Flash droughts are characterised by rapid onset, combined with the potential to severely impact agriculture and ecosystems. However, assessments of the ecological impacts of flash droughts, especially in Europe, are largely lacking. Here we investigate ecosystem responses to flash droughts in Europe between 2001 and 2019 using diverse observational data, including gross primary production (GPP) and leaf area index (LAI). We find that in arid regions an abrupt transition to water-stressed conditions occurs within a few weeks, which negatively affects vegetation status and reduces carbon uptake in the initial stages of drought; normalised anomalies of LAI and GPP decrease to about −0.5. By contrast, vegetation in humid regions is not as severely affected, given that soil moisture recovers relatively quickly. We also show that soil moisture status before the onset of drought significantly impacts the timing (1–5 pentads) and degree (−0.33 to −0.71 of normalised LAI and GPP anomalies) of drought-induced vegetation stress, particularly in arid regions. Our results highlight the regional characteristics of flash drought impacts for more informative monitoring and early warning systems.</w:t>
      </w:r>
    </w:p>
    <w:p>
      <w:pPr/>
      <w:r>
        <w:rPr>
          <w:b/>
        </w:rPr>
        <w:t>POSSIBLE 2022:</w:t>
      </w:r>
      <w:r>
        <w:t xml:space="preserve"> Decreasing trend of monkeypox cases in Europe and America shows hope for the world: Evidence from the latest epidemiological data — https://doi.org/10.1002/hsr2.1030</w:t>
      </w:r>
    </w:p>
    <w:p>
      <w:pPr/>
      <w:r>
        <w:rPr>
          <w:b/>
        </w:rPr>
        <w:t>Shared claim-specific concepts:</w:t>
      </w:r>
      <w:r>
        <w:t xml:space="preserve"> also, showed, decrease, number, three; EU scope visible. This is a provisional connection, not an outcome finding.</w:t>
      </w:r>
    </w:p>
    <w:p>
      <w:pPr>
        <w:pStyle w:val="SourceNote"/>
      </w:pPr>
      <w:r>
        <w:rPr>
          <w:b/>
        </w:rPr>
        <w:t>Available abstract (not full text):</w:t>
      </w:r>
      <w:r>
        <w:t xml:space="preserve"> Monkeypox (MPOX) is a zoonotic viral disease caused by an Orthopox DNA virus named mpox virus (MPOXV). Scientists first discovered MPOXV in a monkey transported from Singapore to Denmark for research purposes. However, at first, the virus's primary animal reservoir was rodents. In 1970, a 9-year-old child from the Democratic Republic of the Congo was first diagnosed with MPOX. Since then, 11 African nations have recorded human instances of MPOX.1 Between 1970 and 1979, six African countries reported only 48 confirmed human MPOX cases. However, African nations reported more than 400 human MPOX cases at a death rate close to 10% by 1986. Several minor MPOX outbreaks between 1991 and 1999 reported 500 MPOX cases in tropical Central and Western Africa.2 However, isolated cases have been discovered in countries outside of Africa since 2003. The United States of America (USA) had the first outbreak of MPOX outside of Africa in 2003.3 The multicountry MPOX outbreaks have been reported in nonendemic nations starting in early May 2022.4 Belgium, Sweden, and Italy detected their first confirmed MPOX cases on May 19, 2022. Australia reported the first case on May 20, 2022, in Sydney and Melbourne in persons who had visited Europe just before their detection. On May 20, 2022, France, Germany, and the Netherlands reported their first cases. In contrast, the United Arab Emirates announced th</w:t>
      </w:r>
    </w:p>
    <w:p>
      <w:pPr/>
      <w:r>
        <w:rPr>
          <w:b/>
        </w:rPr>
        <w:t>POSSIBLE 2022:</w:t>
      </w:r>
      <w:r>
        <w:t xml:space="preserve"> Osteoporosis in Europe: a compendium of country-specific reports — https://doi.org/10.1007/s11657-021-00969-8</w:t>
      </w:r>
    </w:p>
    <w:p>
      <w:pPr/>
      <w:r>
        <w:rPr>
          <w:b/>
        </w:rPr>
        <w:t>Shared claim-specific concepts:</w:t>
      </w:r>
      <w:r>
        <w:t xml:space="preserve"> also, number;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2021:</w:t>
      </w:r>
      <w:r>
        <w:t xml:space="preserve"> A 41‐year bioclimatology of thermal stress in Europe — https://doi.org/10.1002/joc.7051</w:t>
      </w:r>
    </w:p>
    <w:p>
      <w:pPr/>
      <w:r>
        <w:rPr>
          <w:b/>
        </w:rPr>
        <w:t>Shared claim-specific concepts:</w:t>
      </w:r>
      <w:r>
        <w:t xml:space="preserve"> also, showed, number; EU scope visible. This is a provisional connection, not an outcome finding.</w:t>
      </w:r>
    </w:p>
    <w:p>
      <w:pPr>
        <w:pStyle w:val="SourceNote"/>
      </w:pPr>
      <w:r>
        <w:rPr>
          <w:b/>
        </w:rPr>
        <w:t>Available abstract (not full text):</w:t>
      </w:r>
      <w:r>
        <w:t xml:space="preserve"> Abstract The bioclimatology of thermal stress over Europe between 1979 and 2019 was analysed using the Universal Thermal Climate Index (UTCI) derived from ERA5‐HEAT reanalysis. The bioclimatology of different European regions was assessed using Köppen–Geiger climate classification. The annual number of hours with heat stress (UTCI &gt; 32°C) increased significantly during the study period for all the analysed Köppen–Geiger climate subclasses, showing also a clear increase towards southern Europe. The highest percentage of hours (20% of all hours) with cold stress (UTCI &lt; −13°C) occur over northern Europe. A significant increasing trend (&gt;0.05 hr·year−1) in the number of hours with heat stress was observed for 23 out of 32 analysed European cities representative for the Köppen–Geiger climate subclasses. For these cities not only the number of hours with heat stress has increased but also the heat stress is more persistent, while the number of cases and the persistence of the periods with cold stress have decreased over the last four decades. The UTCI values showed a statistically significant increase between 0.6 and 3.2°C for all the analysed cities over the study period reflecting the rising of global mean temperatures.</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also, pm2, emissions, reduction;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pStyle w:val="Heading2"/>
      </w:pPr>
      <w:r>
        <w:t>685.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2022:</w:t>
      </w:r>
      <w:r>
        <w:t xml:space="preserve"> Convergence of Population Structures of the European Union Member States—The Past and the Future — https://doi.org/10.3390/su14021024</w:t>
      </w:r>
    </w:p>
    <w:p>
      <w:pPr/>
      <w:r>
        <w:rPr>
          <w:b/>
        </w:rPr>
        <w:t>Shared claim-specific concepts:</w:t>
      </w:r>
      <w:r>
        <w:t xml:space="preserve"> eurostat, projections, indicate, see, significant, ageing; EU scope visible. This is a provisional connection, not an outcome finding.</w:t>
      </w:r>
    </w:p>
    <w:p>
      <w:pPr>
        <w:pStyle w:val="SourceNote"/>
      </w:pPr>
      <w:r>
        <w:rPr>
          <w:b/>
        </w:rPr>
        <w:t>Available abstract (not full text):</w:t>
      </w:r>
      <w:r>
        <w:t xml:space="preserve"> The Eurostat projections indicate that, by 2050, most of the European Union member states will see a fall in their population size, a drop in the share of young people, and a simultaneous rise in the share of elderly persons. There exist visible disproportions in the population structures between the EU countries, and the ageing of the population has two dimensions: it is occurring from the top down and from the bottom up. The goal of the study was to assess the stage of advancement and diversity of the ageing of population in the past and in the year 2050. Convergence models were designed for ten variables (indicators for structures by age, demographic dependency, median age) and a synthetic variable characterising the stage of advancement of the ageing of the structures. The occurrence of beta- and sigma-convergence of population structures in EU-27 in the years 2004–2020 and 2020–2050 were verified. The results indicate that absolute beta-convergence of the variables characterising the population structures in the EU countries happened in the past and will happen in around 2050. No unambiguous proof has been found for sigma-convergence, i.e., for any significant decrease over time in the diversity between the countries in terms of the studied variables that characterise the ageing process. In the past, the bottom-up ageing has occurred faster than the top-down ageing, while,</w:t>
      </w:r>
    </w:p>
    <w:p>
      <w:pPr/>
      <w:r>
        <w:rPr>
          <w:b/>
        </w:rPr>
        <w:t>POSSIBLE 2021:</w:t>
      </w:r>
      <w:r>
        <w:t xml:space="preserve"> Current and projected regional economic impacts of heatwaves in Europe — https://doi.org/10.1038/s41467-021-26050-z</w:t>
      </w:r>
    </w:p>
    <w:p>
      <w:pPr/>
      <w:r>
        <w:rPr>
          <w:b/>
        </w:rPr>
        <w:t>Shared claim-specific concepts:</w:t>
      </w:r>
      <w:r>
        <w:t xml:space="preserve"> projections, indicate, labour;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pStyle w:val="Heading2"/>
      </w:pPr>
      <w:r>
        <w:t>686.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2025:</w:t>
      </w:r>
      <w:r>
        <w:t xml:space="preserve"> Review of Methods and Models for Forecasting Electricity Consumption — https://doi.org/10.3390/en18154032</w:t>
      </w:r>
    </w:p>
    <w:p>
      <w:pPr/>
      <w:r>
        <w:rPr>
          <w:b/>
        </w:rPr>
        <w:t>Shared claim-specific concepts:</w:t>
      </w:r>
      <w:r>
        <w:t xml:space="preserve"> article, presents, forecasts, need; EU scope not established. This is a provisional connection, not an outcome finding.</w:t>
      </w:r>
    </w:p>
    <w:p>
      <w:pPr>
        <w:pStyle w:val="SourceNote"/>
      </w:pPr>
      <w:r>
        <w:rPr>
          <w:b/>
        </w:rPr>
        <w:t>Available abstract (not full text):</w:t>
      </w:r>
      <w:r>
        <w:t xml:space="preserve"> This article presents a comprehensive review of methods used for forecasting electricity consumption. The studies analyzed by the authors encompass both classical statistical models and modern approaches based on artificial intelligence, including machine-learning and deep-learning techniques. Electricity load forecasting is categorized into four time horizons: very short term, short term, medium term, and long term. The authors conducted a comparative analysis of various models, such as autoregressive models, neural networks, fuzzy logic systems, hybrid models, and evolutionary algorithms. Particular attention was paid to the effectiveness of these methods in the context of variable input data, such as weather conditions, seasonal fluctuations, and changes in energy consumption patterns. The article emphasizes the growing importance of accurate forecasts in the context of the energy transition, integration of renewable energy sources, and the management of the evolving electricity system, shaped by decentralization, renewable integration, and data-intensive forecasting demands. In conclusion, the authors highlight the lack of a universal forecasting approach and the need for further research on hybrid models that combine interpretability with high predictive accuracy. This review can serve as a valuable resource for decision-makers, grid operators, and researchers involved in </w:t>
      </w:r>
    </w:p>
    <w:p>
      <w:pPr/>
      <w:r>
        <w:rPr>
          <w:b/>
        </w:rPr>
        <w:t>POSSIBLE 2024:</w:t>
      </w:r>
      <w:r>
        <w:t xml:space="preserve"> Development of the international transportation projects in Russia – forecast until 2030 year — https://doi.org/10.64457/ru-science-2024-i03-a02</w:t>
      </w:r>
    </w:p>
    <w:p>
      <w:pPr/>
      <w:r>
        <w:rPr>
          <w:b/>
        </w:rPr>
        <w:t>Shared claim-specific concepts:</w:t>
      </w:r>
      <w:r>
        <w:t xml:space="preserve"> article, presents, forecasts, international, until; EU scope not established. This is a provisional connection, not an outcome finding.</w:t>
      </w:r>
    </w:p>
    <w:p>
      <w:pPr>
        <w:pStyle w:val="SourceNote"/>
      </w:pPr>
      <w:r>
        <w:rPr>
          <w:b/>
        </w:rPr>
        <w:t>Available abstract (not full text):</w:t>
      </w:r>
      <w:r>
        <w:t xml:space="preserve"> This article presents forecasts of the development of international infrastructure projects for the next decade. The author examines the transport infrastructure of Russia, sea and rail international transport corridors, highlighting the most promising areas for development. The article presents a retrospective of the formation of transport infrastructure from the beginning of the twentieth century to the present, and also examines promising areas for the development of transport logistics in modern realities. The historically established pattern is currently changing under the pressure of sanctions, and the political situation on the world stage is pushing to explore new directions and develop new international relations. In the article, the author tried to identify current trends in the development of the Russian transport network until 2030, considering examples of sea and rail transport routes.</w:t>
      </w:r>
    </w:p>
    <w:p>
      <w:pPr/>
      <w:r>
        <w:rPr>
          <w:b/>
        </w:rPr>
        <w:t>POSSIBLE 2024:</w:t>
      </w:r>
      <w:r>
        <w:t xml:space="preserve"> Machine Learning-Based Forecasting of Temperature and Solar Irradiance for Photovoltaic Systems — https://doi.org/10.3390/en17051124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integration of photovoltaic (PV) systems into the global energy landscape has been boosted in recent years, driven by environmental concerns and research into renewable energy sources. The accurate prediction of temperature and solar irradiance is essential for optimizing the performance and grid integration of PV systems. Machine learning (ML) has become an effective tool for improving the accuracy of these predictions. This comprehensive review explores the pioneer techniques and methodologies employed in the field of ML-based forecasting of temperature and solar irradiance for PV systems. This article presents a comparative study between various algorithms and techniques commonly used for temperature and solar radiation forecasting. These include regression models such as decision trees, random forest, XGBoost, and support vector machines (SVM). The beginning of this article highlights the importance of accurate weather forecasts for the operation of PV systems and the challenges associated with traditional meteorological models. Next, fundamental concepts of machine learning are explored, highlighting the benefits of improved accuracy in estimating the PV power generation for grid integration.</w:t>
      </w:r>
    </w:p>
    <w:p>
      <w:pPr/>
      <w:r>
        <w:rPr>
          <w:b/>
        </w:rPr>
        <w:t>POSSIBLE 2023:</w:t>
      </w:r>
      <w:r>
        <w:t xml:space="preserve"> PLANNING AND FORECASTING — https://doi.org/10.5281/zenodo.7818282</w:t>
      </w:r>
    </w:p>
    <w:p>
      <w:pPr/>
      <w:r>
        <w:rPr>
          <w:b/>
        </w:rPr>
        <w:t>Shared claim-specific concepts:</w:t>
      </w:r>
      <w:r>
        <w:t xml:space="preserve"> article, presents, need, related; EU scope not established. This is a provisional connection, not an outcome finding.</w:t>
      </w:r>
    </w:p>
    <w:p>
      <w:pPr>
        <w:pStyle w:val="SourceNote"/>
      </w:pPr>
      <w:r>
        <w:rPr>
          <w:b/>
        </w:rPr>
        <w:t>Available abstract (not full text):</w:t>
      </w:r>
      <w:r>
        <w:t xml:space="preserve"> The article presents scientific analyzes of the economic essence and the objective need for planning and forecasting in a market economy. In the article, in modern literature and manuals on economic planning, the scientific essence of theories and concepts related to the optimization and forecasting of data is explained.</w:t>
      </w:r>
    </w:p>
    <w:p>
      <w:pPr/>
      <w:r>
        <w:rPr>
          <w:b/>
        </w:rPr>
        <w:t>POSSIBLE 2023:</w:t>
      </w:r>
      <w:r>
        <w:t xml:space="preserve"> Improving the quality of the forecast through methods of combining forecasts — https://doi.org/10.18822/byusu20230346-51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Subject of research: The article is devoted to the comparison of forecasting methods and methods of combining forecasts when forecasting average monthly wages for some regions of the Russian Federation for the period from January 2013 to July 2022. Purpose of the study: To test the hypothesis of improving forecast quality through forecast pooling methods. Methods and objects of research: Time series of average monthly wages in the Khanty-Mansi Autonomous Okrug Yugra, Yamal-Nenets Autonomous Okrug and Sverdlovsk region are used to compare forecasting methods and methods of combining forecasts. The paper considers forecasting methods: TBATS, ARIMA, exponential smoothing, ETS, Theta, STL, polynomial regression and the approach in combining forecasts by the Granger-Ramanathan method. Main results of research: The paper presents the results of comparison of forecasting methods and approach in combining forecasts by Granger-Ramanathan method. Time series of average monthly wages were taken from statistical collections of Rosstat. The forecast horizon was set at 12, 18 and 24 points. The Granger-Ramanathan method showed that in most cases it is possible to improve the quality of the forecast by combining private forecasts.</w:t>
      </w:r>
    </w:p>
    <w:p>
      <w:pPr/>
      <w:r>
        <w:rPr>
          <w:b/>
        </w:rPr>
        <w:t>POSSIBLE 2023:</w:t>
      </w:r>
      <w:r>
        <w:t xml:space="preserve"> ENVIRONMENTAL SAFETY IN THE CONTEXT OF FORECASTS FOR THE DEVELOPMENT OF TRADITIONAL AND ALTERNATIVE ENERGY — https://doi.org/10.61260/2307-7476-2023-3-6-21</w:t>
      </w:r>
    </w:p>
    <w:p>
      <w:pPr/>
      <w:r>
        <w:rPr>
          <w:b/>
        </w:rPr>
        <w:t>Shared claim-specific concepts:</w:t>
      </w:r>
      <w:r>
        <w:t xml:space="preserve"> article, presents, forecasts, need, related; EU scope not established. This is a provisional connection, not an outcome finding.</w:t>
      </w:r>
    </w:p>
    <w:p>
      <w:pPr>
        <w:pStyle w:val="SourceNote"/>
      </w:pPr>
      <w:r>
        <w:rPr>
          <w:b/>
        </w:rPr>
        <w:t>Available abstract (not full text):</w:t>
      </w:r>
      <w:r>
        <w:t xml:space="preserve"> In the article, in connection with the problem of ensuring environmental safety and, in particular, in connection with the need to overcome the low level of environmental education and environmental culture of the population, the results of research on the development of energy, the use of renewable energy sources on a planetary scale and in Russia are considered. The research in the framework of this article was carried out, among other things, with the aim of further using the results obtained in the development of an educational and methodological manual at the department of security service of the Saint-Petersburg university of State fire service of EMERCOM of Russia, the content of which is related to the theoretical and practical study in classes on the disciplines of environmental orientation and life safety of the impact on ensuring environmental safety of alternative energy, separate renewable energy sources. This article presents forecast data in the field of energy development in the world, in individual countries and in Russia by 2050, published on the EES EAEC website. The prospects for the development of the electric power industry for the foreseeable future, up to 2050 in the whole world and Russia, are shown, according to which a significant increase in the use of renewable energy sources is expected and, consequently, a reduction in the negative impact on the e</w:t>
      </w:r>
    </w:p>
    <w:p>
      <w:pPr/>
      <w:r>
        <w:rPr>
          <w:b/>
        </w:rPr>
        <w:t>POSSIBLE 2023:</w:t>
      </w:r>
      <w:r>
        <w:t xml:space="preserve"> IMPORTANCE OF BUDGETING AND FORECASTING IN MANAGEMENT — https://openalex.org/W7216813823</w:t>
      </w:r>
    </w:p>
    <w:p>
      <w:pPr/>
      <w:r>
        <w:rPr>
          <w:b/>
        </w:rPr>
        <w:t>Shared claim-specific concepts:</w:t>
      </w:r>
      <w:r>
        <w:t xml:space="preserve"> article, presents, forecasts, related; EU scope not established. This is a provisional connection, not an outcome finding.</w:t>
      </w:r>
    </w:p>
    <w:p>
      <w:pPr>
        <w:pStyle w:val="SourceNote"/>
      </w:pPr>
      <w:r>
        <w:rPr>
          <w:b/>
        </w:rPr>
        <w:t>Available abstract (not full text):</w:t>
      </w:r>
      <w:r>
        <w:t xml:space="preserve"> This article discusses the importance of budgeting and forecasting in management. It explains what budgeting and forecasting are, how to organize them, allocate resources, set goals, monitor progress, identify risks, and determine opportunities. The article also highlights some challenges and issues related to budgeting and forecasting, such as accuracy, uncertainty, and inconsistency, and proposes several solutions, including accepting variability and dynamic processes. It suggests using information sources and regularly reviewing and analyzing budgets and forecasts, leveraging technology, and improving accountability. Finally, the article presents literature reviews and comments on the budgeting and forecasting process in financial management.</w:t>
      </w:r>
    </w:p>
    <w:p>
      <w:pPr>
        <w:pStyle w:val="Heading2"/>
      </w:pPr>
      <w:r>
        <w:t>687.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net, zero, targets, gas, gases;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UPAYA UNI EROPA MELALUI EUROPEAN GREEN DEAL DALAM MENCAPAI TARGET NET ZERO EMISSION — https://openalex.org/W7125889081</w:t>
      </w:r>
    </w:p>
    <w:p>
      <w:pPr/>
      <w:r>
        <w:rPr>
          <w:b/>
        </w:rPr>
        <w:t>Shared claim-specific concepts:</w:t>
      </w:r>
      <w:r>
        <w:t xml:space="preserve"> net, zero, gas; EU scope visible. This is a provisional connection, not an outcome finding.</w:t>
      </w:r>
    </w:p>
    <w:p>
      <w:pPr>
        <w:pStyle w:val="SourceNote"/>
      </w:pPr>
      <w:r>
        <w:rPr>
          <w:b/>
        </w:rPr>
        <w:t>Available abstract (not full text):</w:t>
      </w:r>
      <w:r>
        <w:t xml:space="preserve">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pPr/>
      <w:r>
        <w:rPr>
          <w:b/>
        </w:rPr>
        <w:t>POSSIBLE 2025:</w:t>
      </w:r>
      <w:r>
        <w:t xml:space="preserve"> The role of energy storage towards net-zero emissions in the European electricity system — https://doi.org/10.1016/j.enconman.2025.119887</w:t>
      </w:r>
    </w:p>
    <w:p>
      <w:pPr/>
      <w:r>
        <w:rPr>
          <w:b/>
        </w:rPr>
        <w:t>Shared claim-specific concepts:</w:t>
      </w:r>
      <w:r>
        <w:t xml:space="preserve"> net, carbon, need, hydrogen; EU scope visible. This is a provisional connection, not an outcome finding.</w:t>
      </w:r>
    </w:p>
    <w:p>
      <w:pPr>
        <w:pStyle w:val="SourceNote"/>
      </w:pPr>
      <w:r>
        <w:rPr>
          <w:b/>
        </w:rPr>
        <w:t>Available abstract (not full text):</w:t>
      </w:r>
      <w:r>
        <w:t xml:space="preserve">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pPr/>
      <w:r>
        <w:rPr>
          <w:b/>
        </w:rPr>
        <w:t>POSSIBLE 2024:</w:t>
      </w:r>
      <w:r>
        <w:t xml:space="preserve"> Managing CO2 under global and country-specific net-zero emissions targets in Europe — https://doi.org/10.48550/arxiv.2407.18653</w:t>
      </w:r>
    </w:p>
    <w:p>
      <w:pPr/>
      <w:r>
        <w:rPr>
          <w:b/>
        </w:rPr>
        <w:t>Shared claim-specific concepts:</w:t>
      </w:r>
      <w:r>
        <w:t xml:space="preserve"> targets, gas, network, carbon, methane; EU scope visible. This is a provisional connection, not an outcome finding.</w:t>
      </w:r>
    </w:p>
    <w:p>
      <w:pPr>
        <w:pStyle w:val="SourceNote"/>
      </w:pPr>
      <w:r>
        <w:rPr>
          <w:b/>
        </w:rPr>
        <w:t>Available abstract (not full text):</w:t>
      </w:r>
      <w:r>
        <w:t xml:space="preserve"> The European Union (EU) aims to reach carbon neutrality by 2050. This requires capturing CO2, eventually transporting it to different regions, and either converting it into valuable products or sequestering it underground. Although the target is set for the entire EU, in practice, most of the governance and strategy to attain it remains in the individual member states. Previous literature modelling how Europe can achieve carbon neutrality has either considered only a global CO2 limit or used coarse spatial and temporal representation without proper network modelling. Here, we use a highly-resolved open model of the European sector-coupled energy system, PyPSA-Eur, to explore the impacts of imposing net-zero emissions globally for the entire EU versus imposing carbon neutrality for each country. Forcing net-zero emissions in every country increases system cost by 1.4%, demands varied CO2 prices, and triggers higher investment in direct air capture and renewable capacities. Furthermore, in both scenarios, a significant portion of the captured CO2 is transported across Europe, either directly via CO2 pipelines or indirectly via solid biomass or synthetic methane gas, methanol, and oil. Our research enables quantifying the impact of following a collaborative or self-sufficient carbon management strategy to attain carbon neutrality.</w:t>
      </w:r>
    </w:p>
    <w:p>
      <w:pPr/>
      <w:r>
        <w:rPr>
          <w:b/>
        </w:rPr>
        <w:t>POSSIBLE 2024:</w:t>
      </w:r>
      <w:r>
        <w:t xml:space="preserve"> Net Zero Emissions and Positive Energy Districts: A Potential Solution to Achieve the European Climate Targets — https://doi.org/10.1109/eeeic/icpseurope61470.2024.10751307</w:t>
      </w:r>
    </w:p>
    <w:p>
      <w:pPr/>
      <w:r>
        <w:rPr>
          <w:b/>
        </w:rPr>
        <w:t>Shared claim-specific concepts:</w:t>
      </w:r>
      <w:r>
        <w:t xml:space="preserve"> net, zero, targets, network, developed, carbon; EU scope visible. This is a provisional connection, not an outcome finding.</w:t>
      </w:r>
    </w:p>
    <w:p>
      <w:pPr>
        <w:pStyle w:val="SourceNote"/>
      </w:pPr>
      <w:r>
        <w:rPr>
          <w:b/>
        </w:rPr>
        <w:t>Available abstract (not full text):</w:t>
      </w:r>
      <w:r>
        <w:t xml:space="preserve"> Net-zero emissions and positive energy districts are innovative urban planning solutions for reaching the decarbonization targets defined by the European Commission. Districts are gaining wide attention representing communities where different elements and energy systems are interconnected, leading to potential opportunities for achieving climate neutrality that may not be achievable at the level of individual buildings. In addition, the evaluation of the performances has shifted from a nearly zero-energy approach to more demanding and rigorous concepts of positive energy and zero climate emissions. To this end, the authors show and describe a case study related to a new district that will be built in Bologna (41 400 m2 of heated/cooled floor surface area). The theoretical energy demand plus the 5th generation district heating and cooling network supplying the buildings and the electricity produced by the on-site photovoltaic plant (and the associated climate profiles) are evaluated by a Fortran App specifically developed. The net balance approach (used for reaching carbon neutrality) was calculated using the process-based life cycle assessment method. The authors show the outcomes obtained and potential solutions for decarbonization.</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zero, targets, mean, carbon, need;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Business as Usual: Bank Net Zero Targets, Lending, and Engagement — https://doi.org/10.2139/ssrn.4663933</w:t>
      </w:r>
    </w:p>
    <w:p>
      <w:pPr/>
      <w:r>
        <w:rPr>
          <w:b/>
        </w:rPr>
        <w:t>Shared claim-specific concepts:</w:t>
      </w:r>
      <w:r>
        <w:t xml:space="preserve"> net, zero, targets;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Net Zero Policy Performance Measurement of European Countries — https://doi.org/10.37394/232033.2023.1.12</w:t>
      </w:r>
    </w:p>
    <w:p>
      <w:pPr/>
      <w:r>
        <w:rPr>
          <w:b/>
        </w:rPr>
        <w:t>Shared claim-specific concepts:</w:t>
      </w:r>
      <w:r>
        <w:t xml:space="preserve"> net, zero, order, gas, carbon; EU scope visible. This is a provisional connection, not an outcome finding.</w:t>
      </w:r>
    </w:p>
    <w:p>
      <w:pPr>
        <w:pStyle w:val="SourceNote"/>
      </w:pPr>
      <w:r>
        <w:rPr>
          <w:b/>
        </w:rPr>
        <w:t>Available abstract (not full text):</w:t>
      </w:r>
      <w:r>
        <w:t xml:space="preserve"> Net zero goal lays the foundation for a sustainable future. It is in question to keep global warming under control since at least carbon dioxide emissions are balanced with the net zero target. In order to avoid severe climate impacts, global greenhouse gas emissions should decrease by half by 2030 and reach zero by 2050. Thus, this study aims to measure the performance of European Countries based on carbon emissions. To measure performance, Data Envelopment Analysis (DEA) method is used. To use this method, decision-making units (DMUs), inputs, and outputs are determined. Input is identified as Primary Energy Consumption. Outputs are selected as Gross Domestic Product (GDP), Carbon dioxide (CO2) emission, and Nitrous Oxide (N2O) emission.</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hydrogen;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2022:</w:t>
      </w:r>
      <w:r>
        <w:t xml:space="preserve"> Net Zero: Science, Origins, and Implications — https://doi.org/10.1146/annurev-environ-112320-105050</w:t>
      </w:r>
    </w:p>
    <w:p>
      <w:pPr/>
      <w:r>
        <w:rPr>
          <w:b/>
        </w:rPr>
        <w:t>Shared claim-specific concepts:</w:t>
      </w:r>
      <w:r>
        <w:t xml:space="preserve"> net, zero, targets, gas, carbon; EU scope not established. This is a provisional connection, not an outcome finding.</w:t>
      </w:r>
    </w:p>
    <w:p>
      <w:pPr>
        <w:pStyle w:val="SourceNote"/>
      </w:pPr>
      <w:r>
        <w:rPr>
          <w:b/>
        </w:rPr>
        <w:t>Available abstract (not full text):</w:t>
      </w:r>
      <w:r>
        <w:t xml:space="preserve"> This review explains the science behind the drive for global net zero emissions and why this is needed to halt the ongoing rise in global temperatures. We document how the concept of net zero carbon dioxide (CO 2 ) emissions emerged from an earlier focus on stabilization of atmospheric greenhouse gas concentrations. Using simple conceptual models of the coupled climate–carbon cycle system, we explain why approximately net zero CO 2 emissions and declining net energy imbalance due to other climate drivers are required to halt global warming on multidecadal timescales, introducing important concepts, including the rate of adjustment to constant forcing and the rate of adjustment to zero emissions. The concept of net zero was taken up through the 5th Assessment Report of the Intergovernmental Panel on Climate Change and the United Nations Framework Convention on Climate Change (UNFCCC) Structured Expert Dialogue, culminating in Article 4of the 2015 Paris Agreement. Increasing numbers of net zero targets have since been adopted by countries, cities, corporations, and investors. The degree to which any entity can claim to have achieved net zero while continuing to rely on distinct removals to compensate for ongoing emissions is at the heart of current debates over carbon markets and offsetting both inside and outside the UNFCCC. We argue that what matters here is not the precise mak</w:t>
      </w:r>
    </w:p>
    <w:p>
      <w:pPr/>
      <w:r>
        <w:rPr>
          <w:b/>
        </w:rPr>
        <w:t>POSSIBLE 2021:</w:t>
      </w:r>
      <w:r>
        <w:t xml:space="preserve"> Can European electric utilities manage asset impairments arising from net zero carbon targets? — https://doi.org/10.1016/j.jcorpfin.2021.102075</w:t>
      </w:r>
    </w:p>
    <w:p>
      <w:pPr/>
      <w:r>
        <w:rPr>
          <w:b/>
        </w:rPr>
        <w:t>Shared claim-specific concepts:</w:t>
      </w:r>
      <w:r>
        <w:t xml:space="preserve"> net, zero, targets, carbon; EU scope visible. This is a provisional connection, not an outcome finding.</w:t>
      </w:r>
    </w:p>
    <w:p>
      <w:pPr>
        <w:pStyle w:val="SourceNote"/>
      </w:pPr>
      <w:r>
        <w:rPr>
          <w:b/>
        </w:rPr>
        <w:t>Available abstract (not full text):</w:t>
      </w:r>
      <w:r>
        <w:t xml:space="preserve"> Unavailable</w:t>
      </w:r>
    </w:p>
    <w:p>
      <w:pPr>
        <w:pStyle w:val="Heading2"/>
      </w:pPr>
      <w:r>
        <w:t>688.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2025:</w:t>
      </w:r>
      <w:r>
        <w:t xml:space="preserve"> Improved LEACH Model with Efficient Data Gathering Scheme for Mobile Internet of Things — https://doi.org/10.1109/icngcs64900.2025.11183334</w:t>
      </w:r>
    </w:p>
    <w:p>
      <w:pPr/>
      <w:r>
        <w:rPr>
          <w:b/>
        </w:rPr>
        <w:t>Shared claim-specific concepts:</w:t>
      </w:r>
      <w:r>
        <w:t xml:space="preserve"> gathering, diverse, article; EU scope not established. This is a provisional connection, not an outcome finding.</w:t>
      </w:r>
    </w:p>
    <w:p>
      <w:pPr>
        <w:pStyle w:val="SourceNote"/>
      </w:pPr>
      <w:r>
        <w:rPr>
          <w:b/>
        </w:rPr>
        <w:t>Available abstract (not full text):</w:t>
      </w:r>
      <w:r>
        <w:t xml:space="preserve"> The Internet of Things (IoT) is a rapidly emerging field that is gaining a lot of interest from the academic and industrial sectors. It facilitates the communication of extremely huge amounts of data from a variety of smart devices. Owing to the diverse range of IoT devices, the network experienced several issues like excessive power consumption, latency, and data congestion. To overcome these drawbacks, in this an article, improved leach model with an efficient data-gathering scheme is developed in the mobile IoT environment (ILEDGM). The core modules of this ILEDGM are network energy model construction, improved leach model, and communication process. These modules are included in the ns3 program, which analyzes the network’s performance. Data correctness, data loss, transportation overhead, throughput, and averaging latency are the metrics taken into account. The final presentation shows that the suggested ILEDGM outperformed the other approaches in terms of throughput and data success rate. The experimental findings are compared with the preceding methods.</w:t>
      </w:r>
    </w:p>
    <w:p>
      <w:pPr/>
      <w:r>
        <w:rPr>
          <w:b/>
        </w:rPr>
        <w:t>POSSIBLE 2024:</w:t>
      </w:r>
      <w:r>
        <w:t xml:space="preserve"> Hands-On Data Gathering — https://doi.org/10.4312/vestnik.16.155-174</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Data collection is a fundamental aspect of linguistic and sociolinguistic research methodologies, and while many scholars may choose to gather their own data, others tend to rely solely on data that are readily available. There are various different methods of elicitation, including conducting interviews, questionnaires or leading focus groups to gather data, either as the main source of information or to complement existing material, which will most likely enhance both the quality of the research as well enriching the researcher’s personal experience. This paper aims to elucidate the experience gained by two researchers who implemented different data-collection methodologies during their research projects, to gather suitable data and conduct their analysis of the English language – one written the other oral – in two diverse, yet specialized, settings. They introduce their subjects of study and the communities in which the studies took place in order to help the reader get acquainted with the context, and then proceed to describe the processes they carried out. Their aim is to offer a retrospective on the decisions made, the evolution of their data-gathering approaches to determine the suitability of the focal methodologies, and the results.The aim of the paper is to contribute to the literature and applied linguistics research fields by disseminating empirical information on </w:t>
      </w:r>
    </w:p>
    <w:p>
      <w:pPr/>
      <w:r>
        <w:rPr>
          <w:b/>
        </w:rPr>
        <w:t>POSSIBLE 2023:</w:t>
      </w:r>
      <w:r>
        <w:t xml:space="preserve"> Editors’ Note: Assembly, Gathering and Being with Dance — https://doi.org/10.1017/s0149767723000293</w:t>
      </w:r>
    </w:p>
    <w:p>
      <w:pPr/>
      <w:r>
        <w:rPr>
          <w:b/>
        </w:rPr>
        <w:t>Shared claim-specific concepts:</w:t>
      </w:r>
      <w:r>
        <w:t xml:space="preserve"> gathering, diverse, view; EU scope not established. This is a provisional connection, not an outcome finding.</w:t>
      </w:r>
    </w:p>
    <w:p>
      <w:pPr>
        <w:pStyle w:val="SourceNote"/>
      </w:pPr>
      <w:r>
        <w:rPr>
          <w:b/>
        </w:rPr>
        <w:t>Available abstract (not full text):</w:t>
      </w:r>
      <w:r>
        <w:t xml:space="preserve"> Editors' Note: Assembly, Gathering and Being with DanceAssembly offers an affair of appearance in which people find common ground in public view or private space.Dance, social choreography, protests, and other forms of assembly are marked by actions that index shared beliefs about the self, the group, and broader social conditions.Assembly might be interpreted as expressing self-determination and the sovereignty of a commons-an ephemeral consolidation of bodies made manifest by the mutual decision to show up for something (Hardt and Negri 2017).That said, although spontaneous gatherings or carefully planned political protests might signal shared values through acts of popular will, copresence is not synonymous with homogeneity.Thus, an interest in the complexities of group formationthe processes and politics of gathering amid dance-drives this special issue of Dance Research Journal.Whereas assembly can be a strategy of turning the singular into the plural or the crowd into the collective, the practice of gathering-whether in a classroom, at a protest, or online-is rarely simple or straightforward.Sure, the presence of those gathered may be intentional, but a politics of belonging conditions the diverse experience of being together.Increasingly, gatherings are facilitated, framed, and disseminated by technological devices and artificial intelligence systems.We wondered, what ar</w:t>
      </w:r>
    </w:p>
    <w:p>
      <w:pPr/>
      <w:r>
        <w:rPr>
          <w:b/>
        </w:rPr>
        <w:t>POSSIBLE 2023:</w:t>
      </w:r>
      <w:r>
        <w:t xml:space="preserve"> Analyzing Communication Strategies in Polyglot Indonesia National Gathering Chapter Semarang: Ethnography of Communication Study — https://doi.org/10.55324/ijoms.v2i12.656</w:t>
      </w:r>
    </w:p>
    <w:p>
      <w:pPr/>
      <w:r>
        <w:rPr>
          <w:b/>
        </w:rPr>
        <w:t>Shared claim-specific concepts:</w:t>
      </w:r>
      <w:r>
        <w:t xml:space="preserve"> gathering, analyzing, article, used; EU scope not established. This is a provisional connection, not an outcome finding.</w:t>
      </w:r>
    </w:p>
    <w:p>
      <w:pPr>
        <w:pStyle w:val="SourceNote"/>
      </w:pPr>
      <w:r>
        <w:rPr>
          <w:b/>
        </w:rPr>
        <w:t>Available abstract (not full text):</w:t>
      </w:r>
      <w:r>
        <w:t xml:space="preserve"> This article presents the results of an ethnographic research on communication about the Indonesian Polyglot community, with a focus on the Semarang Chapter of the Indonesian Polyglot. Communication ethnography is used as an approach to understand the communication practices that occur in this community. This study involved an interview method with members of the Semarang Chapter of the Indonesian Polyglot as the main informant. The data collected was then analyzed using the Ethnographic Communication theory framework developed by Dell Hymes. This data analysis includes the communication practices, norms, and values found within this polyglot community. The results of the study show that communication within the Polyglot Indonesia Chapter Semarang community is very dynamic and is influenced by the diversity of languages owned by the members. Community members use various languages in their interactions, such as Indonesian, foreign languages, and regional languages. They also use effective communication strategies, such as code-switching, code-mixing, and body language, to facilitate understanding and successful communication. This study has important significance in the context of the study of cross-cultural and multilingual communication. In this era of globalization, cross-cultural communication is becoming increasingly relevant, and the study of polyglot communities can prov</w:t>
      </w:r>
    </w:p>
    <w:p>
      <w:pPr/>
      <w:r>
        <w:rPr>
          <w:b/>
        </w:rPr>
        <w:t>POSSIBLE 2022:</w:t>
      </w:r>
      <w:r>
        <w:t xml:space="preserve"> Edge Workload Trace Gathering and Analysis for Benchmarking — https://doi.org/10.1109/icfec54809.2022.00012</w:t>
      </w:r>
    </w:p>
    <w:p>
      <w:pPr/>
      <w:r>
        <w:rPr>
          <w:b/>
        </w:rPr>
        <w:t>Shared claim-specific concepts:</w:t>
      </w:r>
      <w:r>
        <w:t xml:space="preserve"> gathering, analyzing, diverse, tool; EU scope not established. This is a provisional connection, not an outcome finding.</w:t>
      </w:r>
    </w:p>
    <w:p>
      <w:pPr>
        <w:pStyle w:val="SourceNote"/>
      </w:pPr>
      <w:r>
        <w:rPr>
          <w:b/>
        </w:rPr>
        <w:t>Available abstract (not full text):</w:t>
      </w:r>
      <w:r>
        <w:t xml:space="preserve"> The emerging field of edge computing is suffering from a lack of representative data to evaluate rapidly introduced new algorithms or techniques. That is a critical issue as this complex paradigm has numerous different use cases which translate into a highly diverse set of workload types.In this work, within the context of the edge computing activity of SPEC RG Cloud, we continue working towards an edge benchmark by defining high-level workload classes as well as collecting and analyzing traces for three real-world edge applications, which, according to the existing literature, are the representatives of those classes. Moreover, we propose a practical and generic methodology for workload definition and gathering. The traces and gathering tool are provided open-source.In the analysis of the collected workloads, we detect discrepancies between the literature and the traces obtained, thus highlighting the need for a continuing effort into gathering and providing data from real applications, which can be done using the proposed trace gathering methodology. Additionally, we discuss various insights and future directions that rise to the surface through our analysis.</w:t>
      </w:r>
    </w:p>
    <w:p>
      <w:pPr/>
      <w:r>
        <w:rPr>
          <w:b/>
        </w:rPr>
        <w:t>POSSIBLE 2022:</w:t>
      </w:r>
      <w:r>
        <w:t xml:space="preserve"> MAJOR ISSUES AND DILEMMAS IN INTELLIGENCE GATHERING AND SHARING AS A COUNTERTERRORISM STRATEGY — https://doi.org/10.61426/sjbcm.v9i1.2191</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The central objective of this study was to identify major issues and dilemmas in intelligence gathering and sharing as a counterterrorism strategy. The research covered diverse categories of informants from various institutions and agencies cross cut by intelligence gathering and sharing in Kenya. These included: security officers from the national police service, members of civil society organizations working in areas of security and human rights, academicians and members of the public. Government officers, members of community policing department and former police reservists were also included . Exploratory research design was applied. Based on the design, a historical interrogation approach was applied to interrogate various facets of IG &amp; S and terrorism in Kenya whereby they were chronologically documented, and the changes that have occurred over time analyzed. Data analysis was done through mixed analysis method. The study found out that diverse security reforms that have been implemented in the country since independence which have helped to improve IG &amp; S. Major improvements were highlighted to have been streamlined in technology used, training and the information shared. Among the different forms of intelligence, human intelligence and signals intelligence were found to have played the greatest role in containing TT. The study concluded that the question of intelligenc</w:t>
      </w:r>
    </w:p>
    <w:p>
      <w:pPr/>
      <w:r>
        <w:rPr>
          <w:b/>
        </w:rPr>
        <w:t>POSSIBLE 2022:</w:t>
      </w:r>
      <w:r>
        <w:t xml:space="preserve"> STRENGTHENING INTELLIGENCE GATHERING AND SHARING IN REDUCING TERROR RELATED ACTS IN KENYA — https://doi.org/10.61426/sjbcm.v9i1.2192</w:t>
      </w:r>
    </w:p>
    <w:p>
      <w:pPr/>
      <w:r>
        <w:rPr>
          <w:b/>
        </w:rPr>
        <w:t>Shared claim-specific concepts:</w:t>
      </w:r>
      <w:r>
        <w:t xml:space="preserve"> gathering, diverse, here, used; EU scope not established. This is a provisional connection, not an outcome finding.</w:t>
      </w:r>
    </w:p>
    <w:p>
      <w:pPr>
        <w:pStyle w:val="SourceNote"/>
      </w:pPr>
      <w:r>
        <w:rPr>
          <w:b/>
        </w:rPr>
        <w:t>Available abstract (not full text):</w:t>
      </w:r>
      <w:r>
        <w:t xml:space="preserve"> This study explored appropriate measures for strengthening Intelligence Gathering &amp; Sharing in reducing terror related acts in Kenya. The research covered diverse categories of informants from various institutions and agencies cross cut by intelligence gathering and sharing in Kenya. These included: security officers from the national police service, members of civil society organizations working in areas of security and human rights, academicians and members of the public. Government officers, members of community policing department and former police reservists were also included . Exploratory research design was applied. Primary data was collected using open and close-ended questionnaires and interview guide. Data analysis done through mixed analysis method while quantitative data was analyzed through descriptive statistics. Qualitative data was analysed through content analysis. The findings revealed that TT has morphed overtime in terms of actors, motives and targets. Initial TT attacks in the country were indirect attacks on U.S and Israel interest but most subsequent attacks were direct targets to Kenya. The study found that diverse security reforms that have been implemented in the country since independence which have helped to improve IG &amp; S. Major improvements were highlighted to have been streamlined in technology used, training and the information shared. Among the</w:t>
      </w:r>
    </w:p>
    <w:p>
      <w:pPr/>
      <w:r>
        <w:rPr>
          <w:b/>
        </w:rPr>
        <w:t>POSSIBLE 2022:</w:t>
      </w:r>
      <w:r>
        <w:t xml:space="preserve"> Data Gathering Techniques in WSN: A Cross-Layer View — https://doi.org/10.3390/s22072650</w:t>
      </w:r>
    </w:p>
    <w:p>
      <w:pPr/>
      <w:r>
        <w:rPr>
          <w:b/>
        </w:rPr>
        <w:t>Shared claim-specific concepts:</w:t>
      </w:r>
      <w:r>
        <w:t xml:space="preserve"> gathering, diverse, view; EU scope not established. This is a provisional connection, not an outcome finding.</w:t>
      </w:r>
    </w:p>
    <w:p>
      <w:pPr>
        <w:pStyle w:val="SourceNote"/>
      </w:pPr>
      <w:r>
        <w:rPr>
          <w:b/>
        </w:rPr>
        <w:t>Available abstract (not full text):</w:t>
      </w:r>
      <w:r>
        <w:t xml:space="preserve"> Wireless sensor networks (WSNs) have taken a giant leap in scale, expanding their applicability to a large variety of technological domains and applications, ranging from the Internet of things (IoT) for smart cities and smart homes to wearable technology healthcare applications, underwater, agricultural and environmental monitoring and many more. This expansion is rapidly growing every passing day in terms of the variety, heterogeneity and the number of devices which such applications support. Data collection is commonly the core application in WSN and IoT networks, which are typically composed of a large variety of devices, some constrained by their resources (e.g., processing, storage, energy) and some by highly diverse demands. Many challenges span all the conceptual communication layers, from the Physical to the Applicational. Many novel solutions devised in the past do not scale well with the exponential growth in the population of the devices and need to be adapted, revised, or new innovative solutions are required to comply with this massive growth. Furthermore, recent technological advances present new opportunities which can be leveraged in this context. This paper provides a cross-layer perspective and review of data gathering in WSN and IoT networks. We provide some background and essential milestones that have laid the foundation of many subsequent solutions sugges</w:t>
      </w:r>
    </w:p>
    <w:p>
      <w:pPr>
        <w:pStyle w:val="Heading2"/>
      </w:pPr>
      <w:r>
        <w:t>689.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2025:</w:t>
      </w:r>
      <w:r>
        <w:t xml:space="preserve"> Ageing of Red Wine (cv. Negroamaro) in Mediterranean Areas: Impact of Different Barrels and Apulian Traditional Amphorae on Phenolic Indices, Volatile Composition and Sensory Analysis — https://doi.org/10.3390/foods14040650</w:t>
      </w:r>
    </w:p>
    <w:p>
      <w:pPr/>
      <w:r>
        <w:rPr>
          <w:b/>
        </w:rPr>
        <w:t>Shared claim-specific concepts:</w:t>
      </w:r>
      <w:r>
        <w:t xml:space="preserve"> different, ageing, indices; EU scope visible. This is a provisional connection, not an outcome finding.</w:t>
      </w:r>
    </w:p>
    <w:p>
      <w:pPr>
        <w:pStyle w:val="SourceNote"/>
      </w:pPr>
      <w:r>
        <w:rPr>
          <w:b/>
        </w:rPr>
        <w:t>Available abstract (not full text):</w:t>
      </w:r>
      <w:r>
        <w:t xml:space="preserve"> This study investigated the impact of different ageing containers on the volatile composition and quality of Negroamaro wine, a key variety from Apulia, Italy. Seven vessel types were evaluated: traditional Apulian amphorae (ozza), five types of oak barrels (American oak, French oak, European oak, a French + European oak and a multi-wood mix) and glass bottles as the control. The impact of the vessels was evaluated after 6 months of ageing through the characterization of phenolic, volatile and sensory profiles. Amphorae allowed a specific evolution of the wine's primary aromas, such as fruity and floral notes, while enhancing volatile compounds like furaneol, which contributed to caramel and red fruit nuances, and also 3-methyl-2,4-nonanedione, a key compound related to anise, plum and premature ageing, depending on its concentration. This container also demonstrated effectiveness in stabilizing anthocyanin-tannin complexes, supporting color stabilization. Oak barrels allowed different outcomes to be obtained in terms of color stabilization, volatile profile, aroma and astringency. French oak exhibited the highest phenolic and tannin levels, enhancing anthocyanin stabilization and color intensity. European oak followed closely, while American oak excelled in color stabilization, with tannins less reactive to polymers. Mixed wood barrels showed lower phenolic extraction and the </w:t>
      </w:r>
    </w:p>
    <w:p>
      <w:pPr/>
      <w:r>
        <w:rPr>
          <w:b/>
        </w:rPr>
        <w:t>POSSIBLE 2025:</w:t>
      </w:r>
      <w:r>
        <w:t xml:space="preserve"> The Demographic Challenge Analyzed Through Ageing Indices in Extremadura and Andalusia (Spain) with Cluster Mapping Tools — https://doi.org/10.3390/land14061129</w:t>
      </w:r>
    </w:p>
    <w:p>
      <w:pPr/>
      <w:r>
        <w:rPr>
          <w:b/>
        </w:rPr>
        <w:t>Shared claim-specific concepts:</w:t>
      </w:r>
      <w:r>
        <w:t xml:space="preserve"> ageing, indices, used; EU scope visible. This is a provisional connection, not an outcome finding.</w:t>
      </w:r>
    </w:p>
    <w:p>
      <w:pPr>
        <w:pStyle w:val="SourceNote"/>
      </w:pPr>
      <w:r>
        <w:rPr>
          <w:b/>
        </w:rPr>
        <w:t>Available abstract (not full text):</w:t>
      </w:r>
      <w:r>
        <w:t xml:space="preserve"> This study examines the demographic dynamics of Extremadura and Andalusia, two autonomous communities in southern Spain characterized by low income levels and marked territorial differences in terms of ageing and depopulation. Based on the observation of growing demographic pressure associated with low birth rates and emigration to more economically dynamic areas, a methodological approach based on spatial analysis techniques is proposed. In particular, the ageing index and demographic dependency ratio indicators are used, applying tools such as Hot Spot Analysis and Cluster and Outlier Analysis to identify significant spatial patterns and outliers. The results show a high concentration of ageing and dependency in provinces such as Cáceres and Almería, suggesting greater demographic vulnerability. In contrast, urban areas such as Seville and Granada, as well as the Guadalquivir depression, show more favorable indicators, reflecting greater resilience. Likewise, municipalities with demographic behavior that is anomalous with respect to their surroundings are detected, which raises the need for micro-territorial studies aimed at understanding these exceptions and designing more effective public policies adapted to the local context.</w:t>
      </w:r>
    </w:p>
    <w:p>
      <w:pPr/>
      <w:r>
        <w:rPr>
          <w:b/>
        </w:rPr>
        <w:t>POSSIBLE 2024:</w:t>
      </w:r>
      <w:r>
        <w:t xml:space="preserve"> Measuring and modelling Syrah red wines evolution: Ageing tests, color and new molecular indices — https://doi.org/10.1016/j.jfca.2024.106912</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A Syrah red wine ageing experiment was set up during 24 months to measure the influence of different micro-agglomerated corks on wine composition and color. Two new wine ageing indices based on targeting phenolic composition (I ox , oxidation index and I su , sulfonation index) or colorimetric one (Hue) are proposed. The results showed that the slopes of evolution of these indices varied according to the wine as well as the index studied, and that the initial composition played a predominant role in these evolutions. In addition, the oxygen transfer rate (OTR) of the cork modulates the rate of evolution of the oxidation index and color, but had no impact on the sulfonation index. Partial least squares (PLS) regressions were used in order to establish some models that can predict the ageing index slope based on accelerated ageing tests (AATs), voltammetric parameters and phenolic composition measured before bottling. The models involved different explaining variables for each test and showed good predictive capacities with correlation coefficients (R²) &gt; 0.79. • New wine ageing indices are proposed. • Those indices are based on wine colour or chemical composition. • Models for predicting those indices were produced. • The influence of cork oxygen permeability on wine ageing was proven.</w:t>
      </w:r>
    </w:p>
    <w:p>
      <w:pPr/>
      <w:r>
        <w:rPr>
          <w:b/>
        </w:rPr>
        <w:t>POSSIBLE 2024:</w:t>
      </w:r>
      <w:r>
        <w:t xml:space="preserve"> The effect of lab ageing on different types of fibre-reinforced bitumen — https://doi.org/10.1201/9781003402541-4</w:t>
      </w:r>
    </w:p>
    <w:p>
      <w:pPr/>
      <w:r>
        <w:rPr>
          <w:b/>
        </w:rPr>
        <w:t>Shared claim-specific concepts:</w:t>
      </w:r>
      <w:r>
        <w:t xml:space="preserve"> different, ageing, indices; EU scope not established. This is a provisional connection, not an outcome finding.</w:t>
      </w:r>
    </w:p>
    <w:p>
      <w:pPr>
        <w:pStyle w:val="SourceNote"/>
      </w:pPr>
      <w:r>
        <w:rPr>
          <w:b/>
        </w:rPr>
        <w:t>Available abstract (not full text):</w:t>
      </w:r>
      <w:r>
        <w:t xml:space="preserve"> Fibres have been introduced in the asphalt industry to improve the tensile strength and cracking resistance of pavement. In parallel, ageing is considered one of the causes of asphalt&amp;s;s deterioration. However, little research has described the effect of ageing when different types of fibres are incorporated into bitumen. Accordingly, this paper utilises different combinations of polypropylene, glass and basalt fibres in a conventional bituminous binder. Next, the fibre-reinforced binders are exposed to typical short- and long-term ageing protocols. A systematic evaluation of meaningful rheological indicators via a Dynamic Shear Rheometer (DSR) gives a more clear view of the role of each fibre type and the balance between the reinforcement potential and bitumen&amp;s;s degradation due to ageing. In parallel, the assessment of ageing-related indices by Fourier Transform Infrared (FTIR) spectrometer contributes to a better understanding of their rheological evaluation.</w:t>
      </w:r>
    </w:p>
    <w:p>
      <w:pPr/>
      <w:r>
        <w:rPr>
          <w:b/>
        </w:rPr>
        <w:t>POSSIBLE 2024:</w:t>
      </w:r>
      <w:r>
        <w:t xml:space="preserve"> Chemical and Rheological Evaluation of the Ageing Behaviour of High-Content Crumb Rubber Asphalt Binder — https://doi.org/10.3390/polym16213088</w:t>
      </w:r>
    </w:p>
    <w:p>
      <w:pPr/>
      <w:r>
        <w:rPr>
          <w:b/>
        </w:rPr>
        <w:t>Shared claim-specific concepts:</w:t>
      </w:r>
      <w:r>
        <w:t xml:space="preserve"> ageing, similar, but; EU scope not established. This is a provisional connection, not an outcome finding.</w:t>
      </w:r>
    </w:p>
    <w:p>
      <w:pPr>
        <w:pStyle w:val="SourceNote"/>
      </w:pPr>
      <w:r>
        <w:rPr>
          <w:b/>
        </w:rPr>
        <w:t>Available abstract (not full text):</w:t>
      </w:r>
      <w:r>
        <w:t xml:space="preserve"> High-Content Crumb Rubber Asphalt (HCRA) binder improves road performance and address waste tyre pollution, yet its ageing behaviour is not fully understood. In this study, 70# neat asphalt binder and HCRA with rubber contents of 35% and 50% were selected and aged through the Thin Film Oven Test (TFOT) and Pressure Ageing Vessel (PAV) tests. FTIR (Fourier Transform Infrared Spectroscopy) and DSR (Dynamic Shear Rheometer) were employed to investigate their chemical composition and rheological properties. The FTIR results show that HCRA's chemical test results are similar to those of 70#, but HCRA is more susceptible to ageing. I(C=C) strength decreases with age. The DSR results show that HCRA outperforms 70# neat asphalt binder in terms of viscoelasticity, high temperature performance and fatigue resistance, and exhibits greater resistance to ageing. The ageing index (AI) was obtained through a calculation using the formula, and overall, 70# neat asphalt binder is more sensitive to ageing behaviour and less resistant to ageing, and HCRA is particularly outstanding for fatigue resistance. A strong correlation is observed between chemical composition and some rheological property indicators. Therefore, we are able to predict the rheological properties using chemical composition indicators. This study provides insight into the ageing behaviour of a neat asphalt binder and an HCRA b</w:t>
      </w:r>
    </w:p>
    <w:p>
      <w:pPr/>
      <w:r>
        <w:rPr>
          <w:b/>
        </w:rPr>
        <w:t>POSSIBLE 2023:</w:t>
      </w:r>
      <w:r>
        <w:t xml:space="preserve"> Unveiling India's Ageing Mosaic: State-level Projections Revealing Regional Variations until 2031 — https://doi.org/10.21203/rs.3.rs-3118396/v1</w:t>
      </w:r>
    </w:p>
    <w:p>
      <w:pPr/>
      <w:r>
        <w:rPr>
          <w:b/>
        </w:rPr>
        <w:t>Shared claim-specific concepts:</w:t>
      </w:r>
      <w:r>
        <w:t xml:space="preserve"> different, ageing, indices, but, abstract, population; EU scope not established. This is a provisional connection, not an outcome finding.</w:t>
      </w:r>
    </w:p>
    <w:p>
      <w:pPr>
        <w:pStyle w:val="SourceNote"/>
      </w:pPr>
      <w:r>
        <w:rPr>
          <w:b/>
        </w:rPr>
        <w:t>Available abstract (not full text):</w:t>
      </w:r>
      <w:r>
        <w:t xml:space="preserve"> Abstract Population ageing is an inevitable consequence of demographic transitions and declining fertility causes a rising burden of ageing. The goal of the present study is to project the ageing index of various states across the country up to the year 2031. In addition, the study projects the year by which different states will reach the standard level of aging. Data for this study were taken from the 2001 and 2011 census of India. Using simple trend extrapolation techniques, we produced projections of ageing indices up to 2031; and then we projected when different states would reach the standard level of ageing (aging of Kerala in 2011). The results showed that there will be a change in the age structure of the population from 2011 to 2031, with an increase of 6% in the working-age group (15–59 years) and 5% in the older population (60 or more years), but a decline of 11.2% in the children ages 0–14 years. Southern and other states such as Punjab and Himachal Pradesh are likely to attain standard levels of ageing in the next few years. However, northern states are expected to take more years to achieve it.This is the time to start planning for the future burden of the old-age population across the country and arrange adequate health infrastructure for the older population in the future.</w:t>
      </w:r>
    </w:p>
    <w:p>
      <w:pPr/>
      <w:r>
        <w:rPr>
          <w:b/>
        </w:rPr>
        <w:t>POSSIBLE 2023:</w:t>
      </w:r>
      <w:r>
        <w:t xml:space="preserve"> Geospatial analysis of population ageing in Bosnia and Herzegovina — https://doi.org/10.5937/gp27-41960</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The aim of this research is to analyze the spatial distribution of the population ageing in Bosnia and Herzegovina and identify areas of the country that are particularly vulnerable to negative demographic trends. To achieve the goal of the study, data on the ageing coefficient and ageing index for the period 2013-2020 were used. The geospatial analysis of these indicators was performed using global (Global Moran's I and Getis-Ord General G) and local (Anselin Local Moran's I and Getis-Ord G*) indexes of spatial autocorrelation. The research results confirmed the clustering of both indicators. Ageing coefficient values are clustered in municipalities in western, northwestern, Eastern, and central Bosnia and Herzegovina. Ageing index values are clustered in municipalities in central, western, northwestern, and northeastern Bosnia and Herzegovina. This study provides insight into the research methods of spatial demographic trends and phenomena, and its findings can serve as a basis for future demographic research and development in Bosnia and Herzegovina.</w:t>
      </w:r>
    </w:p>
    <w:p>
      <w:pPr/>
      <w:r>
        <w:rPr>
          <w:b/>
        </w:rPr>
        <w:t>POSSIBLE 2022:</w:t>
      </w:r>
      <w:r>
        <w:t xml:space="preserve"> Relationship of Different Anthropometric Indices with Vascular Ageing in an Adult Population without Cardiovascular Disease—EVA Study — https://doi.org/10.3390/jcm11092671</w:t>
      </w:r>
    </w:p>
    <w:p>
      <w:pPr/>
      <w:r>
        <w:rPr>
          <w:b/>
        </w:rPr>
        <w:t>Shared claim-specific concepts:</w:t>
      </w:r>
      <w:r>
        <w:t xml:space="preserve"> different, ageing, indices, population, estimate; EU scope visible. This is a provisional connection, not an outcome finding.</w:t>
      </w:r>
    </w:p>
    <w:p>
      <w:pPr>
        <w:pStyle w:val="SourceNote"/>
      </w:pPr>
      <w:r>
        <w:rPr>
          <w:b/>
        </w:rPr>
        <w:t>Available abstract (not full text):</w:t>
      </w:r>
      <w:r>
        <w:t xml:space="preserve"> The objectives of this study were to analyse the capacity of different anthropometric indices to predict vascular ageing and this association in Spanish adult population without cardiovascular disease. A total of 501 individuals without cardiovascular disease residing in the capital of Salamanca (Spain) were selected (mean age: 55.9 years, 50.3% women), through stratified random sampling by age and sex. Starting from anthropometric measurements such as weight, height, and waist circumference, hip circumference, or biochemical parameters, we could estimate different indices that reflected general obesity, abdominal obesity, and body fat distribution. Arterial stiffness was evaluated by measuring carotid-femoral pulse wave velocity (cf-PWV) using a SphygmoCor® device. Vascular ageing was defined in three steps: Step 1: the participants with vascular injury were classified as early vascular ageing (EVA); Step 2: classification of the participants using the 10 and 90 percentiles of cf-PWV in the study population by age and sex in EVA, healthy vascular ageing (HVA) and normal vascular ageing (NVA); Step 3: re-classification of participants with arterial hypertension or type 2 diabetes mellitus included in HVA as NVA. The total prevalence of HVA and EVA was 8.4% and 21.4%, respectively. All the analysed anthropometric indices, except waist/hip ratio (WHpR), were associated with vascu</w:t>
      </w:r>
    </w:p>
    <w:p>
      <w:pPr/>
      <w:r>
        <w:rPr>
          <w:b/>
        </w:rPr>
        <w:t>POSSIBLE 2022:</w:t>
      </w:r>
      <w:r>
        <w:t xml:space="preserve"> State of the art: Multiscale evaluation of bitumen ageing behaviour — https://doi.org/10.1016/j.fuel.2022.125045</w:t>
      </w:r>
    </w:p>
    <w:p>
      <w:pPr/>
      <w:r>
        <w:rPr>
          <w:b/>
        </w:rPr>
        <w:t>Shared claim-specific concepts:</w:t>
      </w:r>
      <w:r>
        <w:t xml:space="preserve"> different, ageing, indices; EU scope not established. This is a provisional connection, not an outcome finding.</w:t>
      </w:r>
    </w:p>
    <w:p>
      <w:pPr>
        <w:pStyle w:val="SourceNote"/>
      </w:pPr>
      <w:r>
        <w:rPr>
          <w:b/>
        </w:rPr>
        <w:t>Available abstract (not full text):</w:t>
      </w:r>
      <w:r>
        <w:t xml:space="preserve"> Ageing is a common phenomenon that seriously affects the performance and service life of asphalt pavements. In this paper, multiscale evaluations of bitumen ageing behaviour were reviewed to better understand the bitumen ageing mechanism and thereby contribute to future anti-ageing and binder rejuvenation work in this area. The paper initially looks at conventional as well as bespoke ageing methods before concentrating on bitumen ageing evaluation at different scales ranging from macro, meso, micro to nano scale. This is done by introducing the application of differential scanning calorimetry (DSC) and thermogravimetric analysis (TGA) in thermal indices; thin-layer chromatography-flame ionization detector (TLC-FID), gel permeation chromatography (GPC) and Fourier infrared spectrometer (FTIR) in components and functional groups; atomic force microscopy (AFM), optical spectroscopy and fluorescence spectroscopy (FM) in microstructural analysis; and, finally, nuclear magnetic resonance (NMR), time-of-flight secondary ion mass spectrometry (TOF-SIMS) and molecular dynamic simulations at the nanoscale. This review paper highlights the intricate correlations between the different hierarchical scales of bitumen ageing and the importance of a multiscale approach to provide a more comprehensive study and understanding of the ageing of bitumen.</w:t>
      </w:r>
    </w:p>
    <w:p>
      <w:pPr>
        <w:pStyle w:val="Heading2"/>
      </w:pPr>
      <w:r>
        <w:t>690.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2025:</w:t>
      </w:r>
      <w:r>
        <w:t xml:space="preserve"> Sustainability Pluralism in the Pharmaceutical Strategy for Europe: In Search of Social, Environmental and Economic Trends — https://doi.org/10.1017/9781839704994.036</w:t>
      </w:r>
    </w:p>
    <w:p>
      <w:pPr/>
      <w:r>
        <w:rPr>
          <w:b/>
        </w:rPr>
        <w:t>Shared claim-specific concepts:</w:t>
      </w:r>
      <w:r>
        <w:t xml:space="preserve"> environmental, level, consider, sustainability; EU scope visible. This is a provisional connection, not an outcome finding.</w:t>
      </w:r>
    </w:p>
    <w:p>
      <w:pPr>
        <w:pStyle w:val="SourceNote"/>
      </w:pPr>
      <w:r>
        <w:rPr>
          <w:b/>
        </w:rPr>
        <w:t>Available abstract (not full text):</w:t>
      </w:r>
      <w:r>
        <w:t xml:space="preserve"> 1. INTRODUCTION 1. When discussing sustainability of medicinal products at European Union (EU) level, the narrative often swiftly focusses on the European Green Deal. Even though the various EU institutions, bodies and agencies indeed consider environmental sustainability, the European Green Deal is only a partial expression of the EU's sustainability aims. This chapter discusses three categories of sustainability goals for the pharmaceutical sector, as set out by the European Commission in the Pharmaceutical Strategy for Europe: economic, social and environmental sustainability. The analysis aims to answer various questions including the number of documents per year issued focussing on pharmaceutical sustainability; which are the institutions and bodies involved; which types of legal documents they primarily use; and which (sub)types of sustainability the EU mostly focusses on. 2. In a first section, this chapter explores the three types of sustainability distinguished by the Pharmaceutical Strategy, describing in detail what qualifies under which type of sustainability for the subsequent analysis. A second section empirically assesses in how far the EU has acted upon these sustainability goals, by analysing the sustainability references embedded in the EU legal documents building on the Pharmaceutical Strategy for Europe. 2. FROM THE PHARMACEUTICAL STRATEGY's SUSTAINABILITY G</w:t>
      </w:r>
    </w:p>
    <w:p>
      <w:pPr/>
      <w:r>
        <w:rPr>
          <w:b/>
        </w:rPr>
        <w:t>POSSIBLE 2025:</w:t>
      </w:r>
      <w:r>
        <w:t xml:space="preserve"> Advancing the European energy transition based on environmental, economic and social justice - Supplementary Material — https://doi.org/10.5281/zenodo.17814966</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Supplementary material included in the article "Advancing the European energy transition based on environmental, economic and social justice".</w:t>
      </w:r>
    </w:p>
    <w:p>
      <w:pPr/>
      <w:r>
        <w:rPr>
          <w:b/>
        </w:rPr>
        <w:t>POSSIBLE 2025:</w:t>
      </w:r>
      <w:r>
        <w:t xml:space="preserve"> Promoting the European Sustainable Firm: How Economic, Social, and Green Innovation and the AI‐Based Technologies Create Pathways of Social and Environmental Sustainability — https://doi.org/10.1002/bse.70068</w:t>
      </w:r>
    </w:p>
    <w:p>
      <w:pPr/>
      <w:r>
        <w:rPr>
          <w:b/>
        </w:rPr>
        <w:t>Shared claim-specific concepts:</w:t>
      </w:r>
      <w:r>
        <w:t xml:space="preserve"> environmental, vary, sustainability; EU scope visible. This is a provisional connection, not an outcome finding.</w:t>
      </w:r>
    </w:p>
    <w:p>
      <w:pPr>
        <w:pStyle w:val="SourceNote"/>
      </w:pPr>
      <w:r>
        <w:rPr>
          <w:b/>
        </w:rPr>
        <w:t>Available abstract (not full text):</w:t>
      </w:r>
      <w:r>
        <w:t xml:space="preserve"> ABSTRACT The aim of this paper is to expand research on the digital and sustainability transitions in firms by analyzing the effects of artificial intelligence (AI)‐based technologies and incorporating their connections to economic, social, and green innovation processes. The main objective is to analyze whether and how these innovation dynamics—particularly the role of AI—mediate and reinforce the relationship between economic innovation and socio‐environmental sustainability outcomes. Using a large representative sample of 13,117 European firms from 2020 and applying partial least squares structural equation modeling (PLS‐SEM), we identify multiple sustainability trajectories. Our results show that while economic innovation alone contributes positively to social and environmental sustainability, its impact is significantly enhanced when combined with green/social innovation and AI‐based technologies, highlighting their role as drivers of sustainability. These factors exhibit differentiated mediating effects: Green and social innovation primarily amplifies environmental sustainability, whereas AI technologies accelerate social sustainability outcomes. The analysis also shows that these effects vary depending on firm size and the type of AI technology adopted (i.e., AI‐based algorithms and software vs. AI‐based hardware and infrastructures). These insights offer strategic guida</w:t>
      </w:r>
    </w:p>
    <w:p>
      <w:pPr/>
      <w:r>
        <w:rPr>
          <w:b/>
        </w:rPr>
        <w:t>POSSIBLE 2025:</w:t>
      </w:r>
      <w:r>
        <w:t xml:space="preserve"> Environmental, Social, and Governance (ESG) Performance and Economic Growth: An Econometric Analysis for Central European Countries — https://doi.org/10.18690/um.epf.5.2025.9</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This study analyzes the impact of environmental, social, and governance (ESG) performance on economic growth in Central European countries. Using an econometric approach, the study assesses ESG indicators’ contribution to economic development and examines whether these factors drive sustainable growth. A scientific methodology based on secondary data from the World Bank’s annual reports was applied. Several econometric models, including multiple linear regression, random effects, fixed effects, Hausman-Taylor regression, GMM, and GEE models, were used. The results show a strong relationship between ESG performance and economic growth. Governance effectiveness and corruption control positively impact GDP growth, while increasing CO2 emissions negatively affect it. Similarly, investments in education and health contribute to long-term growth, emphasizing the importance of sustainable development policies. This research presents reliable results supporting conclusions and recommendations.</w:t>
      </w:r>
    </w:p>
    <w:p>
      <w:pPr/>
      <w:r>
        <w:rPr>
          <w:b/>
        </w:rPr>
        <w:t>POSSIBLE 2025:</w:t>
      </w:r>
      <w:r>
        <w:t xml:space="preserve"> Assessing environmental, social, political and legal, and economic challenges for cobalt supply from new mining projects in Europe — https://doi.org/10.1144/esss2025-007</w:t>
      </w:r>
    </w:p>
    <w:p>
      <w:pPr/>
      <w:r>
        <w:rPr>
          <w:b/>
        </w:rPr>
        <w:t>Shared claim-specific concepts:</w:t>
      </w:r>
      <w:r>
        <w:t xml:space="preserve"> environmental, national, finland; EU scope visible. This is a provisional connection, not an outcome finding.</w:t>
      </w:r>
    </w:p>
    <w:p>
      <w:pPr>
        <w:pStyle w:val="SourceNote"/>
      </w:pPr>
      <w:r>
        <w:rPr>
          <w:b/>
        </w:rPr>
        <w:t>Available abstract (not full text):</w:t>
      </w:r>
      <w:r>
        <w:t xml:space="preserve"> Despite abundant cobalt resources in Europe, only Finland and Turkey currently extract this metal. This study examines challenges to new cobalt supply by comparing seven exploration projects and two operating mines in Finland, Norway, Sweden and Turkey. A multicriteria analysis framework was developed to assess four domains, environmental (E), social (S), political and legal (G), and economic (EC), each with five to six indicators. The results highlight complex interactions between indicators on national and local scales. While Nordic countries have strong mineral governance and thus rank highly in the political and legal domain, challenges persist, amplified by low rankings in land use and territorial aspects for some projects, particularly Sakatti, due to its vicinity to protected areas, reindeer herding and indigenous people. Furthermore, economic conflicts of interest with tourism result in low rankings for Kuusamo in two social indicators. The arctic region is also particularly vulnerable to climate change, exacerbated by anthropogenic activity. Turkey's Çaldağ project ranks highest for cobalt recovery, but it ranks low in all but one environmental indicator, due to high energy consumption and weak environmental governance in Turkey. Many mining conflicts could be mitigated by earlier community engagement to gain a social licence to operate.</w:t>
      </w:r>
    </w:p>
    <w:p>
      <w:pPr/>
      <w:r>
        <w:rPr>
          <w:b/>
        </w:rPr>
        <w:t>POSSIBLE 2025:</w:t>
      </w:r>
      <w:r>
        <w:t xml:space="preserve"> European green bonds, carbon tax and crowding-out: The economic, social and environmental impacts of the EU's green investments under different financing scenarios — https://doi.org/10.1016/j.rser.2025.115330</w:t>
      </w:r>
    </w:p>
    <w:p>
      <w:pPr/>
      <w:r>
        <w:rPr>
          <w:b/>
        </w:rPr>
        <w:t>Shared claim-specific concepts:</w:t>
      </w:r>
      <w:r>
        <w:t xml:space="preserve"> environmental, impacts, different, level, benefits; EU scope visible. This is a provisional connection, not an outcome finding.</w:t>
      </w:r>
    </w:p>
    <w:p>
      <w:pPr>
        <w:pStyle w:val="SourceNote"/>
      </w:pPr>
      <w:r>
        <w:rPr>
          <w:b/>
        </w:rPr>
        <w:t>Available abstract (not full text):</w:t>
      </w:r>
      <w:r>
        <w:t xml:space="preserve"> This study provides novel insights into the economic, social and environmental impacts of green energy investments in the European Union using MAGNET, a computable general equilibrium model of the world economy. MAGNET was extended to include sector-specific investment allocation, investment risk premiums adjustment, and technology learning effects to endogenize productivity growth in renewable and bioenergy sectors. In line with the proposals on climate neutrality and the Green Deal, the study simulates an increase in investments in renewable energy and bioeconomy sectors (additional 15 % increase in capital stock) starting in 2025. Three alternative financing scenarios are compared; the European Green Bonds scenario, carbon tax scenario and the crowding-out scenario (assuming green investments are financed from existing resources). It is found that additional green energy investments bring generally positive GDP, social and emission-saving effects. In the case of GDP, the deviation from the baseline reaches +0.9 % in 2050 for the EU if financed from the Green Bond. The other scenarios show that when green investments are not crowding-out other investments in the EU, the economic impacts at EU level are still positive. It is also shown that, on average, the investment policy would increase the size of bioeconomy sector by between 3.2 % and 4.2 % in 2050. However, the impacts a</w:t>
      </w:r>
    </w:p>
    <w:p>
      <w:pPr/>
      <w:r>
        <w:rPr>
          <w:b/>
        </w:rPr>
        <w:t>POSSIBLE 2024:</w:t>
      </w:r>
      <w:r>
        <w:t xml:space="preserve"> Measuring Digital Sustainability Paying Attention to the Economic, Social, and Environmental Dimensions: A European Perspective — https://doi.org/10.1007/s11205-024-03459-9</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Sustainability Pluralism in the Pharmaceutical Strategy for Europe: In Search of Social, Environmental and Economic Trends — https://doi.org/10.2139/ssrn.4991533</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Valuing Public Sector Data in Scotland and Europe: Data Governance for Economic, Environmental and Social Development — https://doi.org/10.20933/100001329</w:t>
      </w:r>
    </w:p>
    <w:p>
      <w:pPr/>
      <w:r>
        <w:rPr>
          <w:b/>
        </w:rPr>
        <w:t>Shared claim-specific concepts:</w:t>
      </w:r>
      <w:r>
        <w:t xml:space="preserve"> environmental, different, needs, explored, benefits; EU scope visible. This is a provisional connection, not an outcome finding.</w:t>
      </w:r>
    </w:p>
    <w:p>
      <w:pPr>
        <w:pStyle w:val="SourceNote"/>
      </w:pPr>
      <w:r>
        <w:rPr>
          <w:b/>
        </w:rPr>
        <w:t>Available abstract (not full text):</w:t>
      </w:r>
      <w:r>
        <w:t xml:space="preserve"> Data is collected by many different kinds of people and organisations, including the government and big businesses but also ordinary people. Data can give us many benefits and opportunities to improve society, the economy and the environment, and it can therefore meet the needs of diverse, plural publics. Doing this requires a good understanding of data and its uses in order to navigate this landscape, beginning with clarity about the range of issues and the definitional challenges around data and its rich complexities. The ‘Valuing Public Sector Data in Scotland and Europe: Data Governance for Economic, Environmental and Social Development’ Programme, funded by the (now retired) Scottish Universities Insight Institute between October 2023 and January 2024, was a timely exploration into public (sector) data’s benefits and challenges. During the programme, the nuances of ascribing value to data, and how that data may contribute in good – and bad – ways to the general public, were discussed and explored. We considered how ‘public data’ is gathered and used, and by whom, in Scotland, the European Union and beyond, identifying key insights to inform further research and policymaking in this area. Here we give some context for our programme on public data, before providing an overview of the workshops we ran and key insights which emerged from them. Against this backdrop, we present</w:t>
      </w:r>
    </w:p>
    <w:p>
      <w:pPr/>
      <w:r>
        <w:rPr>
          <w:b/>
        </w:rPr>
        <w:t>POSSIBLE 2023:</w:t>
      </w:r>
      <w:r>
        <w:t xml:space="preserve"> Advancing the European energy transition based on environmental, economic and social justice — https://doi.org/10.1016/j.spc.2023.10.013</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Energy transition has implications not only for economic growth and social welfare but also for the planet. It is therefore important to provide a framework of quantifying how this transition might affect these aspects from a triple perspective. In this regard, an in-depth and critical analysis of the available reports, policy frameworks and initiatives on energy transition, under the sustainable and circular perspectives, has been developed. This manuscript provides a “know-how” framework to assist in decision making and to assess the effectiveness, gaps and future actions to be developed for an effective energy transition. It presents a set of indicators to assess the sustainable and circular potential of emerging technologies and renewable energy production schemes, focusing on the environmental, social and economic pillars. It also highlights the policies and initiatives that should be implemented to facilitate this transition, as well as analyzing a comparison between European countries on how to improve energy renewability in those with low scores in the energy transition indexes. This study provides a critical analysis of the implications on energy transition over environmental, social and economic sustainability, as well as on circularity. It provides a preselection of the most appropriate indicators (both quantitative and qualitative) to effectively analyze the transit</w:t>
      </w:r>
    </w:p>
    <w:p>
      <w:pPr/>
      <w:r>
        <w:rPr>
          <w:b/>
        </w:rPr>
        <w:t>POSSIBLE 2023:</w:t>
      </w:r>
      <w:r>
        <w:t xml:space="preserve"> Sustainable Development in Europe: A Review of the Forestry Sector's Social, Environmental, and Economic Dynamics — https://doi.org/10.56556/gssr.v2i3.585</w:t>
      </w:r>
    </w:p>
    <w:p>
      <w:pPr/>
      <w:r>
        <w:rPr>
          <w:b/>
        </w:rPr>
        <w:t>Shared claim-specific concepts:</w:t>
      </w:r>
      <w:r>
        <w:t xml:space="preserve"> environmental, wood, strategies, variety; EU scope visible. This is a provisional connection, not an outcome finding.</w:t>
      </w:r>
    </w:p>
    <w:p>
      <w:pPr>
        <w:pStyle w:val="SourceNote"/>
      </w:pPr>
      <w:r>
        <w:rPr>
          <w:b/>
        </w:rPr>
        <w:t>Available abstract (not full text):</w:t>
      </w:r>
      <w:r>
        <w:t xml:space="preserve"> Despite their resilience, forest ecosystems become increasingly impacted by extreme climatic events, fires, and pathogen outbursts, which have considerable economic repercussions. How forest management solves these difficulties will affect human health, environmental variety, productivity, and forest ecosystem recuperation from exogenic distresses. Assuming forests provide ecosystem services essential to society and humanity along with wood, a better understanding of forest ecosystems seems essential to defining a development policy that meets ecological safeguard and energy and climate goals. According to the UN 2030 Agenda's Sustainable Development Goals, European forest management practices still don't provide a clear picture of ecological conditions, monetary estimate, and biodiversity. In light of the existing research, this article reviews and discusses recent European forestry industry trends and the environmental-economic nexus' complexity. Wood use has social consequences for regions adapting to ecological change, from rising temperatures to landscape modifications. This paper confirms that the technical-economic dimensions of forestry affect short-term economic dynamics, sector growth prospects, supply chain organization, company interconnections, and investment strategies. Forestry practices conserve species and habitats while boosting sustainable timber production. </w:t>
      </w:r>
    </w:p>
    <w:p>
      <w:pPr/>
      <w:r>
        <w:rPr>
          <w:b/>
        </w:rPr>
        <w:t>POSSIBLE 2023:</w:t>
      </w:r>
      <w:r>
        <w:t xml:space="preserve"> Sustainability assessment of economic, environmental and social impacts, feed-food competition and economic robustness of dairy and beef farming systems in South Western Europe — https://doi.org/10.1016/j.spc.2023.01.022</w:t>
      </w:r>
    </w:p>
    <w:p>
      <w:pPr/>
      <w:r>
        <w:rPr>
          <w:b/>
        </w:rPr>
        <w:t>Shared claim-specific concepts:</w:t>
      </w:r>
      <w:r>
        <w:t xml:space="preserve"> environmental, impacts, different, needs, assessed, sustainability; EU scope visible. This is a provisional connection, not an outcome finding.</w:t>
      </w:r>
    </w:p>
    <w:p>
      <w:pPr>
        <w:pStyle w:val="SourceNote"/>
      </w:pPr>
      <w:r>
        <w:rPr>
          <w:b/>
        </w:rPr>
        <w:t>Available abstract (not full text):</w:t>
      </w:r>
      <w:r>
        <w:t xml:space="preserve"> The objective of this study was to evaluate the sustainability of cattle systems in South Western Europe by combining life cycle sustainability assessment (LCSA) with assessment of feed-food competition and economic robustness. We studied three cattle systems using different proportions of semi-natural pasture, and producing either only beef or milk and beef, i.e. a dairy system with Holstein breed in the lowlands of France with &lt;5% of the total land used being semi-natural pastures (HolSy), a dairy system with Montbeliarde breed in the highlands of France with approximately 25% of the total land used being semi-natural pastures (MonSy), and a pure beef system with Parda de Montana breed in the highlands of Spain with &gt;85% of the total land used being semi-natural pastures (ParSy). The functional unit for LCSA was 1000 kg protein of animal origin and the system boundary was from cradle to farmgate. The cattle production systems were assessed using 27 indicators (LCSA, feed-food competition and robustness). The results indicated that MonSy performed less well for 10 and ParSy for 14 out of the 27 indicators researched when compared to HolSy, the reference case. HolSy was less sensitive to a support payment decrease and had lower social impacts on farmers than the other two systems. MonSy had lower impacts on some environmental indicators, lower life cycle costs, lower social imp</w:t>
      </w:r>
    </w:p>
    <w:p>
      <w:pPr>
        <w:pStyle w:val="Heading2"/>
      </w:pPr>
      <w:r>
        <w:t>691.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action, climate, emission, reduction;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Biobased Innovation as a Fashion and Textile Design Must: A European Perspective — https://doi.org/10.3390/su14010570</w:t>
      </w:r>
    </w:p>
    <w:p>
      <w:pPr/>
      <w:r>
        <w:rPr>
          <w:b/>
        </w:rPr>
        <w:t>Shared claim-specific concepts:</w:t>
      </w:r>
      <w:r>
        <w:t xml:space="preserve"> must, possible, feasible; EU scope visible. This is a provisional connection, not an outcome finding.</w:t>
      </w:r>
    </w:p>
    <w:p>
      <w:pPr>
        <w:pStyle w:val="SourceNote"/>
      </w:pPr>
      <w:r>
        <w:rPr>
          <w:b/>
        </w:rPr>
        <w:t>Available abstract (not full text):</w:t>
      </w:r>
      <w:r>
        <w:t xml:space="preserve"> Fashion industry investments drive the choice for textile solutions characterized by radical experimentation and a firm commitment to sustainability. In the last five years, textile innovations have been strongly related to biobased textile solutions evolving to become effectively feasible and strategic. The produced qualitative knowledge implementations consider new production patterns, innovative technical and digital know-how, and new consumption scenarios. The directions the industry is tracing may provide new opportunities for future textile development in the circular biobased economy. This paper presents a map of current European practices. It discusses the possible passage through a holistic paradigm that goes beyond the boundaries of the old productive systems to accompany the sector towards a new sustainable and transversal state. It also presents three selected best practices that return the actual context in which the phenomenon occurs. A model is presented to demonstrate how these circular processes of biobased materials production enable more process innovations which are developed through implementing the process itself: companies’ search for rethinking and implementing the traditional practices or designing new ones (as determined by the doctoral research of one of the authors).</w:t>
      </w:r>
    </w:p>
    <w:p>
      <w:pPr/>
      <w:r>
        <w:rPr>
          <w:b/>
        </w:rPr>
        <w:t>POSSIBLE 2022:</w:t>
      </w:r>
      <w:r>
        <w:t xml:space="preserve"> Musical Responses to Western European Bureaucratic Action — https://doi.org/10.47611/jsrhs.v11i3.2902</w:t>
      </w:r>
    </w:p>
    <w:p>
      <w:pPr/>
      <w:r>
        <w:rPr>
          <w:b/>
        </w:rPr>
        <w:t>Shared claim-specific concepts:</w:t>
      </w:r>
      <w:r>
        <w:t xml:space="preserve"> action, must, climate; EU scope visible. This is a provisional connection, not an outcome finding.</w:t>
      </w:r>
    </w:p>
    <w:p>
      <w:pPr>
        <w:pStyle w:val="SourceNote"/>
      </w:pPr>
      <w:r>
        <w:rPr>
          <w:b/>
        </w:rPr>
        <w:t>Available abstract (not full text):</w:t>
      </w:r>
      <w:r>
        <w:t xml:space="preserve"> With the rise of popular culture music, as well as resurgence of traditional folk music in the late twentieth century, Western cultures, distinctly Western European states, saw the relations between music and politics emerge to its current state- a deeply intertwined dependency between the two, with its effect spreading across borders to reach greater populations. To look at how the relations between music and politics came to be, first the examination of the dependency between the two in the latter half of the twentieth century must occur. Across genres, artists drew inspiration from their current political climate, creating music as a response. Yet, political action also resulted from music, distinctly with songs coined as “protest soundtracks.” The multifaceted nature of the relationship allows for a greater understanding of the extremes of this relationship, distinctly with music censorship occurring in most European states, democratic and authoritative alike. The continued censorship of music from European states leads to the notion that the existence of music warrants political action, despite proven lack of substantive response of the music itself. To grant a greater autonomy to artists and develop an enhanced comprehension of the multifaceted relationship that is music and politics, the implementation of music-based lessons of core classes into secondary schools will wa</w:t>
      </w:r>
    </w:p>
    <w:p>
      <w:pPr/>
      <w:r>
        <w:rPr>
          <w:b/>
        </w:rPr>
        <w:t>POSSIBLE 2021:</w:t>
      </w:r>
      <w:r>
        <w:t xml:space="preserve"> Innovative actions in oceans and human health for Europe — https://doi.org/10.1093/heapro/daab203</w:t>
      </w:r>
    </w:p>
    <w:p>
      <w:pPr/>
      <w:r>
        <w:rPr>
          <w:b/>
        </w:rPr>
        <w:t>Shared claim-specific concepts:</w:t>
      </w:r>
      <w:r>
        <w:t xml:space="preserve"> action, climate, targets; EU scope visible. This is a provisional connection, not an outcome finding.</w:t>
      </w:r>
    </w:p>
    <w:p>
      <w:pPr>
        <w:pStyle w:val="SourceNote"/>
      </w:pPr>
      <w:r>
        <w:rPr>
          <w:b/>
        </w:rPr>
        <w:t>Available abstract (not full text):</w:t>
      </w:r>
      <w:r>
        <w:t xml:space="preserve"> Innovative actions are local initiatives which leverage the interactions between the ocean and human health to reduce the risks and enhance the benefits for the stakeholders and the natural environment. These initiatives can have strong positive effects on human health and wellbeing as well as on the marine environment. We analysed 150 such innovative actions in Europe. Using a combined case study and survey approach, innovative actions were identified using interviews and content analysis of websites and compiled into a database. Quantitative data were analysed according to the Drivers, Pressures, State, Impact and Response (DPSIR) framework, guided by selected in-depth interviews. Overall, the innovative actions provided a positive impact on the health of both the ocean and humans through increasing food provision, water quality and tourism opportunities; and addressing environmental issues such as commercial fish stock depletion, pollution and climate change. Innovative actions contributed to meeting various targets of the Sustainable Development Goals (SDGs) 3, 13 and 14. These actions played a potential role ahead of and alongside policy. Some of the innovative actions may have potential to be put in place elsewhere. Such up-scaling would need to be adapted to local circumstances and could be facilitated by an innovative action exchange platform.</w:t>
      </w:r>
    </w:p>
    <w:p>
      <w:pPr/>
      <w:r>
        <w:rPr>
          <w:b/>
        </w:rPr>
        <w:t>POSSIBLE 2021:</w:t>
      </w:r>
      <w:r>
        <w:t xml:space="preserve"> Climate Action at Public Health Schools in the European Region — https://doi.org/10.3390/ijerph18041518</w:t>
      </w:r>
    </w:p>
    <w:p>
      <w:pPr/>
      <w:r>
        <w:rPr>
          <w:b/>
        </w:rPr>
        <w:t>Shared claim-specific concepts:</w:t>
      </w:r>
      <w:r>
        <w:t xml:space="preserve"> action, taken, climate, strategy, show; EU scope visible. This is a provisional connection, not an outcome finding.</w:t>
      </w:r>
    </w:p>
    <w:p>
      <w:pPr>
        <w:pStyle w:val="SourceNote"/>
      </w:pPr>
      <w:r>
        <w:rPr>
          <w:b/>
        </w:rPr>
        <w:t>Available abstract (not full text):</w:t>
      </w:r>
      <w:r>
        <w:t xml:space="preserve"> Climate change is putting the achievement of all Sustainable Development Goals at risk and leads to negative impacts on human health and well-being. Consequently, tremendous social responsibility lies with public health professionals and their associations. Therefore, this study addressed the following question: "How can the Association of Schools of Public Health in the European Region (ASPHER) best support the goals of the European Green Deal through its network of public health schools and departments?" This study looked at the implementation of climate education in public health schools in the European region and climate action taken by these public health schools. An online survey among ASPHER members with a 51% overall response rate (excluding non-European members) shows that 64% of the responding schools provide climate-health educational offerings, while 63% consider these for the future. Additionally, most climate actions taken by the schools were ad hoc actions. These findings show that a systematic approach is missing, and there is a general lack of strategy in most schools. We consequently recommend that schools invest in climate and health education in their curricula and become exemplars for climate action to actively contribute to the achievement of Europe's climate goals.</w:t>
      </w:r>
    </w:p>
    <w:p>
      <w:pPr/>
      <w:r>
        <w:rPr>
          <w:b/>
        </w:rPr>
        <w:t>POSSIBLE 2020:</w:t>
      </w:r>
      <w:r>
        <w:t xml:space="preserve"> Analysing European Union circular economy policies: words versus actions — https://doi.org/10.1016/j.spc.2020.11.001</w:t>
      </w:r>
    </w:p>
    <w:p>
      <w:pPr/>
      <w:r>
        <w:rPr>
          <w:b/>
        </w:rPr>
        <w:t>Shared claim-specific concepts:</w:t>
      </w:r>
      <w:r>
        <w:t xml:space="preserve"> action, taken, show, increase; EU scope visible. This is a provisional connection, not an outcome finding.</w:t>
      </w:r>
    </w:p>
    <w:p>
      <w:pPr>
        <w:pStyle w:val="SourceNote"/>
      </w:pPr>
      <w:r>
        <w:rPr>
          <w:b/>
        </w:rPr>
        <w:t>Available abstract (not full text):</w:t>
      </w:r>
      <w:r>
        <w:t xml:space="preserve"> Since the publication of the European Union's Circular Economy Action Plan in 2015, this new sustainability paradigm has become a guiding force behind the environmental and economic policies of the Junker Commission. The European Union (EU) has taken a particular approach to circularity, with high expectations to increase competitiveness, promote economic growth and create jobs while reducing environmental impacts and resource dependency. However, the circular economy (CE) is a contested paradigm, for which many competing interpretations exist, each seeking varying degrees of social, ecological and political transformation. Considering the emerging and contested state of the academic literature on CE, the EU's embrace of the concept is a remarkable phenomenon, which remains poorly researched. The aim of this paper is thus to address this research gap by analysing the CE discourse and policies of the Junker Commission (2014-2019) in order to critically discuss their sustainability implications and develop key policy recommendations. To do so, this research uses a combination of qualitative and quantitative research methods. The paper first critically analyses the EU's discourse based on a typology of circularity discourses. It then reviews the complex set of concrete CE policies and actions adopted by the EU and compares them to its discourse. Results show a dichotomy between wo</w:t>
      </w:r>
    </w:p>
    <w:p>
      <w:pPr>
        <w:pStyle w:val="Heading2"/>
      </w:pPr>
      <w:r>
        <w:t>692.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2024:</w:t>
      </w:r>
      <w:r>
        <w:t xml:space="preserve"> Exploring European decarbonisation pathways in the Power Decisions Game — https://doi.org/10.1186/s13705-024-00469-w</w:t>
      </w:r>
    </w:p>
    <w:p>
      <w:pPr/>
      <w:r>
        <w:rPr>
          <w:b/>
        </w:rPr>
        <w:t>Shared claim-specific concepts:</w:t>
      </w:r>
      <w:r>
        <w:t xml:space="preserve"> article, aims, exploring, understanding, citizens, insights;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2023:</w:t>
      </w:r>
      <w:r>
        <w:t xml:space="preserve"> Exploring Energy Sufficiency Benefits, Limitations, Deployment, and Opportunities in Europe — https://doi.org/10.51505/ijaemr.2023.8316</w:t>
      </w:r>
    </w:p>
    <w:p>
      <w:pPr/>
      <w:r>
        <w:rPr>
          <w:b/>
        </w:rPr>
        <w:t>Shared claim-specific concepts:</w:t>
      </w:r>
      <w:r>
        <w:t xml:space="preserve"> article, exploring, life; EU scope visible. This is a provisional connection, not an outcome finding.</w:t>
      </w:r>
    </w:p>
    <w:p>
      <w:pPr>
        <w:pStyle w:val="SourceNote"/>
      </w:pPr>
      <w:r>
        <w:rPr>
          <w:b/>
        </w:rPr>
        <w:t>Available abstract (not full text):</w:t>
      </w:r>
      <w:r>
        <w:t xml:space="preserve">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pPr/>
      <w:r>
        <w:rPr>
          <w:b/>
        </w:rPr>
        <w:t>POSSIBLE 2023:</w:t>
      </w:r>
      <w:r>
        <w:t xml:space="preserve"> Unlocking the Power of Crowds: Exploring Crowdsourcing and Crowdfunding Initiatives in Europe — https://doi.org/10.7336/academicus.2023.28.08</w:t>
      </w:r>
    </w:p>
    <w:p>
      <w:pPr/>
      <w:r>
        <w:rPr>
          <w:b/>
        </w:rPr>
        <w:t>Shared claim-specific concepts:</w:t>
      </w:r>
      <w:r>
        <w:t xml:space="preserve"> article, aims, exploring, between, support; EU scope visible. This is a provisional connection, not an outcome finding.</w:t>
      </w:r>
    </w:p>
    <w:p>
      <w:pPr>
        <w:pStyle w:val="SourceNote"/>
      </w:pPr>
      <w:r>
        <w:rPr>
          <w:b/>
        </w:rPr>
        <w:t>Available abstract (not full text):</w:t>
      </w:r>
      <w:r>
        <w:t xml:space="preserve"> The world of crowdsourcing and crowdfunding in Europe is a dynamic and transformative space that has been significantly impacted by the rapid growth of digital technologies. This innovative approach has become a game-changer for entrepreneurs, startups, and creative individuals as it harnesses the collective intelligence and financial support of people. Various platforms and mechanisms are driving crowdsourcing and crowdfunding initiatives in Europe, leading to success stories, emerging trends, and potential benefits for all partecipants. This article aims to analyze some of the various emerging trends in crowdsourcing and crowdfunding across Europe while highlighting their potential benefits for those seeking funding or collaboration opportunities. It further examines both crowdsourcing and crowdfunding advantages &amp; disadvantages. Ultimately, this article aims to unlock the full potential of collaboration between people from diverse backgrounds by exploring ways to leverage crowdsourcing &amp; crowdfunding effectively.</w:t>
      </w:r>
    </w:p>
    <w:p>
      <w:pPr/>
      <w:r>
        <w:rPr>
          <w:b/>
        </w:rPr>
        <w:t>POSSIBLE 2022:</w:t>
      </w:r>
      <w:r>
        <w:t xml:space="preserve"> Exploring the Geography of Subjective Happiness in Europe During the Years of the Economic Crisis: A Multilevel Modelling Approach — https://doi.org/10.1007/s11205-021-02874-6</w:t>
      </w:r>
    </w:p>
    <w:p>
      <w:pPr/>
      <w:r>
        <w:rPr>
          <w:b/>
        </w:rPr>
        <w:t>Shared claim-specific concepts:</w:t>
      </w:r>
      <w:r>
        <w:t xml:space="preserve"> article, exploring, understanding; EU scope visible. This is a provisional connection, not an outcome finding.</w:t>
      </w:r>
    </w:p>
    <w:p>
      <w:pPr>
        <w:pStyle w:val="SourceNote"/>
      </w:pPr>
      <w:r>
        <w:rPr>
          <w:b/>
        </w:rPr>
        <w:t>Available abstract (not full text):</w:t>
      </w:r>
      <w:r>
        <w:t xml:space="preserve"> Abstract This article builds on the efforts by geographers and regional scientists aimed at adding a geographical dimension to the analysis and understanding of happiness and well-being. In particular, the article explores the changes in observed subjective wellbeing measures of residents in countries and regions that were mostly hit by the severe economic crisis and austerity measures. To that end, we present a multilevel modelling approach to the analysis of suitable secondary data derived from the European Social Survey (ESS), as well as relevant contextual regional-level data from Eurostat. The article first presents a brief overview of the state of the art in happiness and well-being research, with particular emphasis on the relatively limited but rapidly growing geographical studies, as well as studies by economists regarding the impact of austerity and inequality upon happiness and well-being. We then present key findings from a comprehensive analysis of European Social Survey data combined with austerity related data at the regional level in order to explore the geography of happiness and well-being in Europe amid times of economic gloom and severe austerity measures. The research presented in this article involves analysis of data before, during and after (or in towards the end of) the crisis and it is aimed at identifying geographical as well as individual socio-econo</w:t>
      </w:r>
    </w:p>
    <w:p>
      <w:pPr/>
      <w:r>
        <w:rPr>
          <w:b/>
        </w:rPr>
        <w:t>POSSIBLE 2021:</w:t>
      </w:r>
      <w:r>
        <w:t xml:space="preserve"> The Dissemination of European Popular Print: Exploring Comparative Approaches — https://doi.org/10.1163/15700690-12341482</w:t>
      </w:r>
    </w:p>
    <w:p>
      <w:pPr/>
      <w:r>
        <w:rPr>
          <w:b/>
        </w:rPr>
        <w:t>Shared claim-specific concepts:</w:t>
      </w:r>
      <w:r>
        <w:t xml:space="preserve"> article, exploring, between; EU scope visible. This is a provisional connection, not an outcome finding.</w:t>
      </w:r>
    </w:p>
    <w:p>
      <w:pPr>
        <w:pStyle w:val="SourceNote"/>
      </w:pPr>
      <w:r>
        <w:rPr>
          <w:b/>
        </w:rPr>
        <w:t>Available abstract (not full text):</w:t>
      </w:r>
      <w:r>
        <w:t xml:space="preserve"> Abstract This article discusses the prospects of a comparative approach within the field of the dissemination of European popular print. Currently, it is still hard to find studies that address distribution of popular print with a Europe-wide scope. After an introduction about the main concepts, models and approaches, the article discusses some topic related issues, questions, approaches and sources. Social and professional categorisations are explored, as well as the differences between urban and rural distribution, the impact of regional and international networks, the effects of trade regulations and the collaborative features of distribution practices. What became clear is that a wide-ranging study that includes all European countries is urgently needed but not within reach soon, due to a lack of fundamental research and assessible sources. We should therefore first start to collect data systematically and conduct a series of comparative case studies in which we explore important questions and approaches.</w:t>
      </w:r>
    </w:p>
    <w:p>
      <w:pPr/>
      <w:r>
        <w:rPr>
          <w:b/>
        </w:rPr>
        <w:t>POSSIBLE 2021:</w:t>
      </w:r>
      <w:r>
        <w:t xml:space="preserve"> Judicial Dialogue in Social Media Cases in Europe: Exploring the Role of Peers in Judicial Adjudication — https://doi.org/10.1017/glj.2021.57</w:t>
      </w:r>
    </w:p>
    <w:p>
      <w:pPr/>
      <w:r>
        <w:rPr>
          <w:b/>
        </w:rPr>
        <w:t>Shared claim-specific concepts:</w:t>
      </w:r>
      <w:r>
        <w:t xml:space="preserve"> article, aims, exploring; EU scope visible. This is a provisional connection, not an outcome finding.</w:t>
      </w:r>
    </w:p>
    <w:p>
      <w:pPr>
        <w:pStyle w:val="SourceNote"/>
      </w:pPr>
      <w:r>
        <w:rPr>
          <w:b/>
        </w:rPr>
        <w:t>Available abstract (not full text):</w:t>
      </w:r>
      <w:r>
        <w:t xml:space="preserve"> Abstract This Article aims to examine the social media jurisprudence of national courts in a selected set of EU Member States by focusing on judicial dialogue specifically via references to the case law of other courts. Do judges in social media cases engage with the case law of peers, and if so how and to what extent? The analysis investigates whether national judges draw on the jurisprudence of higher domestic courts, foreign courts and/or European supranational courts—the Court of Justice of the European Union (CJEU) and the European Court of Human Rights (ECtHR)—and explores the use of such jurisprudence. It is based on 147 cases from the constitutional and/or supreme courts of Bulgaria, Croatia, Greece, Italy, Latvia, Slovakia, and Slovenia. Although judicial dialogue is generally limited in the cases under study, the analysis illustrates the different ways in which courts interact with the rulings of peers and informs on the latter’s contribution to judicial assessment.</w:t>
      </w:r>
    </w:p>
    <w:p>
      <w:pPr/>
      <w:r>
        <w:rPr>
          <w:b/>
        </w:rPr>
        <w:t>POSSIBLE 2020:</w:t>
      </w:r>
      <w:r>
        <w:t xml:space="preserve"> Creative Connections: The power of contemporary art to explore European citizenship — https://doi.org/10.14324/lre.18.2.10</w:t>
      </w:r>
    </w:p>
    <w:p>
      <w:pPr/>
      <w:r>
        <w:rPr>
          <w:b/>
        </w:rPr>
        <w:t>Shared claim-specific concepts:</w:t>
      </w:r>
      <w:r>
        <w:t xml:space="preserve"> article, citizens, perceptions; EU scope visible. This is a provisional connection, not an outcome finding.</w:t>
      </w:r>
    </w:p>
    <w:p>
      <w:pPr>
        <w:pStyle w:val="SourceNote"/>
      </w:pPr>
      <w:r>
        <w:rPr>
          <w:b/>
        </w:rPr>
        <w:t>Available abstract (not full text):</w:t>
      </w:r>
      <w:r>
        <w:t xml:space="preserve"> Across Europe, educational institutions are essential in assisting exploration of politics, culture and history, and the use of creative arts appears crucial to supporting this aim. This article reports on Creative Connections, a multi-partner research project that facilitated exchanges for young people to explore their European identities using online art galleries and blogging technologies. Their multimodal conversations revealed an openness to consider artworks as sources of knowledge and experience. Participants did not focus on the nationality of the artist, but concentrated on the relationship that the subject matter of the work had with their own concerns. Anxiety related to populism, exclusive nationalism, social inequality and new forms of labour appeared to impact young European citizens’ relationships and their perceptions of democracy.</w:t>
      </w:r>
    </w:p>
    <w:p>
      <w:pPr/>
      <w:r>
        <w:rPr>
          <w:b/>
        </w:rPr>
        <w:t>POSSIBLE 2020:</w:t>
      </w:r>
      <w:r>
        <w:t xml:space="preserve"> The content and potential of the right to social assistance in light of Article 13 of the European Social Charter — https://doi.org/10.1177/1388262720908695</w:t>
      </w:r>
    </w:p>
    <w:p>
      <w:pPr/>
      <w:r>
        <w:rPr>
          <w:b/>
        </w:rPr>
        <w:t>Shared claim-specific concepts:</w:t>
      </w:r>
      <w:r>
        <w:t xml:space="preserve"> article, aims, support; EU scope visible. This is a provisional connection, not an outcome finding.</w:t>
      </w:r>
    </w:p>
    <w:p>
      <w:pPr>
        <w:pStyle w:val="SourceNote"/>
      </w:pPr>
      <w:r>
        <w:rPr>
          <w:b/>
        </w:rPr>
        <w:t>Available abstract (not full text):</w:t>
      </w:r>
      <w:r>
        <w:t xml:space="preserve"> This article explores the current development of the right to social assistance as well as its potential for improving income support policies. Focusing on Article 13 of the European Social Charter (ESC), it aims to shed light on the content of such provision by identifying a list of comprehensive defining standards from the monitoring activity conducted by the European Committee of Social Rights (ECSR). Secondly, it asks whether the right can effectively enhance access to social assistance in practice by studying the implementation of the right in two national cases, the UK and Spain. The article concludes that Article 13 ESC imposes clear obligations on States Parties regarding aspects of the implementation of assistance schemes, such as the level of assistance and the right to appeal. Nevertheless, practical aspects of implementation should be taken into account for the effective realisation of the right. The ESC provisions, as well as the ECSR’s Conclusions, should be enforced by States at the national level. Furthermore, the standards developed by the ECSR for Article 13 can be complemented by recommendations currently suggested by civil society, such as the increased flexibility of activation measures for households with parenting duties, and the splitting of payments to achieve financial independence.</w:t>
      </w:r>
    </w:p>
    <w:p>
      <w:pPr/>
      <w:r>
        <w:rPr>
          <w:b/>
        </w:rPr>
        <w:t>POSSIBLE 2020:</w:t>
      </w:r>
      <w:r>
        <w:t xml:space="preserve"> Who is Teleworking and Where from? Exploring the Main Determinants of Telework in Europe — https://doi.org/10.3390/su12218797</w:t>
      </w:r>
    </w:p>
    <w:p>
      <w:pPr/>
      <w:r>
        <w:rPr>
          <w:b/>
        </w:rPr>
        <w:t>Shared claim-specific concepts:</w:t>
      </w:r>
      <w:r>
        <w:t xml:space="preserve"> exploring, understanding, between, support, technological; EU scope visible. This is a provisional connection, not an outcome finding.</w:t>
      </w:r>
    </w:p>
    <w:p>
      <w:pPr>
        <w:pStyle w:val="SourceNote"/>
      </w:pPr>
      <w:r>
        <w:rPr>
          <w:b/>
        </w:rPr>
        <w:t>Available abstract (not full text):</w:t>
      </w:r>
      <w:r>
        <w:t xml:space="preserve"> Telework and ICT-based mobile work (TICTM) arrangements have emerged in response to technological changes driven by digitalisation, increasing flexibility within the labour market, and globalisation. As telework becomes more widespread, these flexible models of work are rapidly expanding to new categories of employees, changing the factors traditionally found to be important for telework eligibility. The aim of this study is to gain a deeper understanding of new profiles of teleworkers, examining main factors that increase or decrease the likelihood of different TICTM arrangements. We apply multinomial logistic regression models to a sample of more than 20,000 workers from the 6th European Working Conditions Survey. Our findings confirm the heterogeneity in the profiles of teleworkers, particularly distinguishing by TICTM arrangement. Occasional teleworkers are usually male managers or professionals, but a relevant percentage of highly mobile teleworkers are technicians and associate professionals, while clerical support workers amount to a large group of home-based teleworkers. The majority of occasional and highly mobile teleworkers are still men, but this can no longer be said of home-based teleworkers. The correlations between telework and permanent contracts, full-time jobs, and living in urban areas are weak, showing that TICTM is spreading into more precarious, temporary</w:t>
      </w:r>
    </w:p>
    <w:p>
      <w:pPr/>
      <w:r>
        <w:rPr>
          <w:b/>
        </w:rPr>
        <w:t>POSSIBLE 2020:</w:t>
      </w:r>
      <w:r>
        <w:t xml:space="preserve"> Exploring inclusive education across Europe: some insights from the European Agency Statistics on Inclusive Education — https://doi.org/10.32865/fire202061172</w:t>
      </w:r>
    </w:p>
    <w:p>
      <w:pPr/>
      <w:r>
        <w:rPr>
          <w:b/>
        </w:rPr>
        <w:t>Shared claim-specific concepts:</w:t>
      </w:r>
      <w:r>
        <w:t xml:space="preserve"> article, exploring, insights, between; EU scope visible. This is a provisional connection, not an outcome finding.</w:t>
      </w:r>
    </w:p>
    <w:p>
      <w:pPr>
        <w:pStyle w:val="SourceNote"/>
      </w:pPr>
      <w:r>
        <w:rPr>
          <w:b/>
        </w:rPr>
        <w:t>Available abstract (not full text):</w:t>
      </w:r>
      <w:r>
        <w:t xml:space="preserve"> The European Agency Statistics on Inclusive Education (EASIE) work focuses upon the collection and analysis of longitudinal, comparative national data related to inclusive education systems and learners with officially recognised special educational needs (SEN) among its 31 member countries. In this article, the EASIE work is discussed in relation to the key concepts of presence, placement, participation and progress within inclusive education systems.The findings of the EASIE work indicate differences and variations between countries in how they respond to all learners</w:t>
      </w:r>
    </w:p>
    <w:p>
      <w:pPr>
        <w:pStyle w:val="Heading2"/>
      </w:pPr>
      <w:r>
        <w:t>693.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2022:</w:t>
      </w:r>
      <w:r>
        <w:t xml:space="preserve"> The micro-macro interplay of economic factors in late-life loneliness: Evidence from Europe and China — https://doi.org/10.3389/fpubh.2022.968411</w:t>
      </w:r>
    </w:p>
    <w:p>
      <w:pPr/>
      <w:r>
        <w:rPr>
          <w:b/>
        </w:rPr>
        <w:t>Shared claim-specific concepts:</w:t>
      </w:r>
      <w:r>
        <w:t xml:space="preserve"> china, need, increase, low; EU scope visible. This is a provisional connection, not an outcome finding.</w:t>
      </w:r>
    </w:p>
    <w:p>
      <w:pPr>
        <w:pStyle w:val="SourceNote"/>
      </w:pPr>
      <w:r>
        <w:rPr>
          <w:b/>
        </w:rPr>
        <w:t>Available abstract (not full text):</w:t>
      </w:r>
      <w:r>
        <w:t xml:space="preserve"> Individual socioeconomic status has a significant impact on whether older adults can initiate and maintain social relationships and participate in society, hence it affects loneliness. At the macro level, income inequality is expected to increase the risk of loneliness by eroding social cohesion and trust, while welfare generosity might protect people from loneliness. The aim of the study is to explore whether income inequality and welfare generosity at the country level moderate the effect of socioeconomic status at the individual level on late-life loneliness. Data were obtained from the HRS family of surveys - the Survey of Health, Aging and Retirement in Europe (SHARE) (wave 5, 2011/12) and China Health and Retirement Longitudinal Study (CHARLS) (wave 2, 2012/13). Respondents aged 50 years and older from twelve European countries and China were included in the study. Logistic country fixed effect models were used in the analysis. The findings show a stronger effect of individual socioeconomic status on late-life loneliness in more income-unequal societies and a weaker effect in more welfare-generous societies. There is a need to consider the impact of income distribution and welfare spending on the risk of loneliness among those older adults with low socioeconomic status when tailoring preventive programs and interventions to reduce loneliness among this vulnerable group.</w:t>
      </w:r>
    </w:p>
    <w:p>
      <w:pPr/>
      <w:r>
        <w:rPr>
          <w:b/>
        </w:rPr>
        <w:t>POSSIBLE 2021:</w:t>
      </w:r>
      <w:r>
        <w:t xml:space="preserve"> Increased trade with China and Eastern Europe hardly affects Dutch workers — https://openalex.org/W3187283793</w:t>
      </w:r>
    </w:p>
    <w:p>
      <w:pPr/>
      <w:r>
        <w:rPr>
          <w:b/>
        </w:rPr>
        <w:t>Shared claim-specific concepts:</w:t>
      </w:r>
      <w:r>
        <w:t xml:space="preserve"> china, need, increase; EU scope visible. This is a provisional connection, not an outcome finding.</w:t>
      </w:r>
    </w:p>
    <w:p>
      <w:pPr>
        <w:pStyle w:val="SourceNote"/>
      </w:pPr>
      <w:r>
        <w:rPr>
          <w:b/>
        </w:rPr>
        <w:t>Available abstract (not full text):</w:t>
      </w:r>
      <w:r>
        <w:t xml:space="preserve"> Contrary to other studies, we find no robust effect of an increase in trade with China and Central European (CEE) countries on local employment, wages and inequality in the Netherlands. If there is an effect, it is small, with positive effects of increased exports counteracting the negative effects of increased imports. One of the reasons why we find different results for the Netherlands is the fact that the Dutch manufacturing industry was already undergoing changes well before the emergence of China and the CEE countries and became less sensitive to import competition from China or the CEE countries. In addition, the Netherlands has collective wage negotiations, which may help to explain that we do not find any effects on wages. While the effect of increased trade with China and the CEE countries on manufacturing jobs is limited, it can create uncertainty for workers. The negative effect of import competition and the positive impact of export opportunities on manufacturing jobs also point to adjustments across industries and regions. Transitioning workers to new types of work can be difficult for these workers, as they are (temporarily) unemployed and may need to move to other regions.</w:t>
      </w:r>
    </w:p>
    <w:p>
      <w:pPr/>
      <w:r>
        <w:rPr>
          <w:b/>
        </w:rPr>
        <w:t>POSSIBLE 2020:</w:t>
      </w:r>
      <w:r>
        <w:t xml:space="preserve"> Dealing with China: A European Perspective — https://doi.org/10.1080/13439006.2020.1826681</w:t>
      </w:r>
    </w:p>
    <w:p>
      <w:pPr/>
      <w:r>
        <w:rPr>
          <w:b/>
        </w:rPr>
        <w:t>Shared claim-specific concepts:</w:t>
      </w:r>
      <w:r>
        <w:t xml:space="preserve"> china, need, increase, investments; EU scope visible. This is a provisional connection, not an outcome finding.</w:t>
      </w:r>
    </w:p>
    <w:p>
      <w:pPr>
        <w:pStyle w:val="SourceNote"/>
      </w:pPr>
      <w:r>
        <w:rPr>
          <w:b/>
        </w:rPr>
        <w:t>Available abstract (not full text):</w:t>
      </w:r>
      <w:r>
        <w:t xml:space="preserve"> The EU faces international (how to tackle Russian and Turkish policies?) and internal challenges, primarily intra-EU cooperation on strategic policies which are not “common European policies.” This reflects in the EU’s China policy. Nonetheless, some progress has been made. European perspectives on China are gradually changing. There is a growing awareness on the part of European institutions of a need to exercise caution over Chinese investments into the European Union and to counterbalance China’s diplomatic initiatives where they oppose European interests. This has opened avenues for cooperation with Japan, which has long taken a cautious yet benevolent approach to China. EU institutions and member states of greater international influence such as France have been keen to increase cooperation with Japan as they worked to strengthen European and internal legal frameworks.</w:t>
      </w:r>
    </w:p>
    <w:p>
      <w:pPr/>
      <w:r>
        <w:rPr>
          <w:b/>
        </w:rPr>
        <w:t>POSSIBLE 2020:</w:t>
      </w:r>
      <w:r>
        <w:t xml:space="preserve"> The People’s Republic of China Connecting Europe? — https://openalex.org/W3084282394</w:t>
      </w:r>
    </w:p>
    <w:p>
      <w:pPr/>
      <w:r>
        <w:rPr>
          <w:b/>
        </w:rPr>
        <w:t>Shared claim-specific concepts:</w:t>
      </w:r>
      <w:r>
        <w:t xml:space="preserve"> china, need, increase, investments, relative; EU scope visible. This is a provisional connection, not an outcome finding.</w:t>
      </w:r>
    </w:p>
    <w:p>
      <w:pPr>
        <w:pStyle w:val="SourceNote"/>
      </w:pPr>
      <w:r>
        <w:rPr>
          <w:b/>
        </w:rPr>
        <w:t>Available abstract (not full text):</w:t>
      </w:r>
      <w:r>
        <w:t xml:space="preserve"> The significance of the Belt and Road Initiative (BRI) of the People's Republic of China (PRC) for Europe is increasing. The diplomatic initiative "16+1," comprising 11 Central and East European EU member states and five Western Balkan economies, expanded to a "17+1" format in April 2019, when Greece officially joined the cooperation forum. In relative terms, the Western Balkans are expected to benefit the most from the BRI, as they show particularly high deficiencies in infrastructure and to date have limited access to EU grants. The economic effects of infrastructure projects in CESEE would, however, trickle through European production and supply chains, with an impact on economies not directly subject to construction plans. EU initiatives presented in 2018 may help to increase complementarity between Chinese and European infrastructure development plans, as well as reducing risks for some European economies, such as unsustainable debt or the rise of new barriers resulting from increased competition for Chinese investments. The BRI is about to change physical and digital connectivity within Europe, while the EU has yet to become an active player engaging in the initiative, in order to enable improved connectivity in Europe to drive economic convergence and not political divergence. The need to establish a level playing field for trade, investment, and its financing has become</w:t>
      </w:r>
    </w:p>
    <w:p>
      <w:pPr/>
      <w:r>
        <w:rPr>
          <w:b/>
        </w:rPr>
        <w:t>POSSIBLE 2020:</w:t>
      </w:r>
      <w:r>
        <w:t xml:space="preserve"> Perceptions of plagiarism by biomedical researchers: an online survey in Europe and China — https://doi.org/10.1186/s12910-020-00473-7</w:t>
      </w:r>
    </w:p>
    <w:p>
      <w:pPr/>
      <w:r>
        <w:rPr>
          <w:b/>
        </w:rPr>
        <w:t>Shared claim-specific concepts:</w:t>
      </w:r>
      <w:r>
        <w:t xml:space="preserve"> china, need, indicate; EU scope visible. This is a provisional connection, not an outcome finding.</w:t>
      </w:r>
    </w:p>
    <w:p>
      <w:pPr>
        <w:pStyle w:val="SourceNote"/>
      </w:pPr>
      <w:r>
        <w:rPr>
          <w:b/>
        </w:rPr>
        <w:t>Available abstract (not full text):</w:t>
      </w:r>
      <w:r>
        <w:t xml:space="preserve"> BACKGROUND: Plagiarism is considered as serious research misconduct, together with data fabrication and falsification. However, little is known about biomedical researchers' views on plagiarism. Moreover, it has been argued - based on limited empirical evidence - that perceptions of plagiarism depend on cultural and other determinants. The authors explored, by means of an online survey among 46 reputable universities in Europe and China, how plagiarism is perceived by biomedical researchers in both regions. METHODS: We collected work e-mail addresses of biomedical researchers identified through the websites of 13 reputable universities in Europe and 33 reputable universities in China and invited them to participate in an online anonymous survey. Our questionnaire was designed to assess respondents' views about plagiarism by asking whether they considered specific practices as plagiarism. We analyzed if respondents in China and Europe responded differently, using logistic regression analysis with adjustments for demographic and other relevant factors. RESULTS: The authors obtained valid responses from 204 researchers based in China (response rate 2.1%) and 826 researchers based in Europe (response rate 5.6%). Copying text from someone else's publication without crediting the source, using idea(s) from someone else's publication without crediting the source and republishing one's</w:t>
      </w:r>
    </w:p>
    <w:p>
      <w:pPr/>
      <w:r>
        <w:rPr>
          <w:b/>
        </w:rPr>
        <w:t>POSSIBLE 2020:</w:t>
      </w:r>
      <w:r>
        <w:t xml:space="preserve"> The foreign direct investment from China to Europe — https://openalex.org/W3145125818</w:t>
      </w:r>
    </w:p>
    <w:p>
      <w:pPr/>
      <w:r>
        <w:rPr>
          <w:b/>
        </w:rPr>
        <w:t>Shared claim-specific concepts:</w:t>
      </w:r>
      <w:r>
        <w:t xml:space="preserve"> china, need, increase, low, rapid; EU scope visible. This is a provisional connection, not an outcome finding.</w:t>
      </w:r>
    </w:p>
    <w:p>
      <w:pPr>
        <w:pStyle w:val="SourceNote"/>
      </w:pPr>
      <w:r>
        <w:rPr>
          <w:b/>
        </w:rPr>
        <w:t>Available abstract (not full text):</w:t>
      </w:r>
      <w:r>
        <w:t xml:space="preserve"> With the rapid development of China's economy, foreign trade and foreign investment have been taken to great achievements. As in 2000 the Chinese government Chinese actively encourage enterprises going out, and its positioning as a national strategy, China's foreign investment in recent years has entered a period of gold. According to statistics, 2015 annual our country's outward FDI flow of 73.508 million yuan RMB, an increase rate of 14.7%, by the end of the year, China's outward FDI stock accumulated up to 5.4 trillion yuan, which is sufficient to prove that, in our country both from the investment flow or investment stock has been entered the ranks of big country of foreign investment among. In contrast, the European Union and China is the EU's second largest trading partner, very close economic exchanges between China and EU development, but due to the 2008 financial crisis and the European debt crisis to the EU's economic development has brought hit, once malaise, so the current EU need absorb foreign capital to boost the economy and solid economic recovery and relieve the EU internal social and economic contradictions. But the flow and stock of China's FDI is still low compared with the volume of trade between the EU and China, so China still has a huge space for development of EU FDI. Therefore, it is of great significance to study how to further cooperation on investme</w:t>
      </w:r>
    </w:p>
    <w:p>
      <w:pPr>
        <w:pStyle w:val="Heading2"/>
      </w:pPr>
      <w:r>
        <w:t>694.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2020:</w:t>
      </w:r>
      <w:r>
        <w:t xml:space="preserve"> CH2018 – National climate scenarios for Switzerland: How to construct consistent multi-model projections from ensembles of opportunity — https://doi.org/10.1016/j.cliser.2020.100196</w:t>
      </w:r>
    </w:p>
    <w:p>
      <w:pPr/>
      <w:r>
        <w:rPr>
          <w:b/>
        </w:rPr>
        <w:t>Shared claim-specific concepts:</w:t>
      </w:r>
      <w:r>
        <w:t xml:space="preserve"> unique, multi-model, used, ensemble; EU scope visible. This is a provisional connection, not an outcome finding.</w:t>
      </w:r>
    </w:p>
    <w:p>
      <w:pPr>
        <w:pStyle w:val="SourceNote"/>
      </w:pPr>
      <w:r>
        <w:rPr>
          <w:b/>
        </w:rPr>
        <w:t>Available abstract (not full text):</w:t>
      </w:r>
      <w:r>
        <w:t xml:space="preserve"> The latest Swiss Climate Scenarios (CH2018), released in November 2018, consist of several datasets derived through various methods that provide robust and relevant information on climate change in Switzerland. The scenarios build upon the regional climate model projections for Europe produced through the internationally coordinated downscaling effort EURO-CORDEX. The simulations from EURO-CORDEX consist of simulations at two spatial horizontal resolutions, several global climate models, and three different emission scenarios. Even with this unique dataset of regional climate scenarios, a number of practical challenges regarding a consistent interpretation of the model ensemble arise. Here we present the methodological chain employed in CH2018 in order to generate a multi-model ensemble that is consistent across scenarios and is used as a basis for deriving the CH2018 products. The different steps involve a thorough evaluation of the full EURO-CORDEX model ensemble, the removal of doubtful and potentially erroneous simulations, a time-shift approach to account for an equal number of simulations for each emission scenario, and the multi-model combination of simulations with different spatial resolutions. Each component of this cascade of processing steps is associated with an uncertainty that eventually contributes to the overall scientific uncertainty of the derived scenario pr</w:t>
      </w:r>
    </w:p>
    <w:p>
      <w:pPr>
        <w:pStyle w:val="Heading2"/>
      </w:pPr>
      <w:r>
        <w:t>695.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2024:</w:t>
      </w:r>
      <w:r>
        <w:t xml:space="preserve"> Parabolic Modeling Forecasts of Space and Time European Hydropower Production — https://doi.org/10.3390/pr12061098</w:t>
      </w:r>
    </w:p>
    <w:p>
      <w:pPr/>
      <w:r>
        <w:rPr>
          <w:b/>
        </w:rPr>
        <w:t>Shared claim-specific concepts:</w:t>
      </w:r>
      <w:r>
        <w:t xml:space="preserve"> forecasts, show, trends, technology; EU scope visible. This is a provisional connection, not an outcome finding.</w:t>
      </w:r>
    </w:p>
    <w:p>
      <w:pPr>
        <w:pStyle w:val="SourceNote"/>
      </w:pPr>
      <w:r>
        <w:rPr>
          <w:b/>
        </w:rPr>
        <w:t>Available abstract (not full text):</w:t>
      </w:r>
      <w:r>
        <w:t xml:space="preserve"> Renewable sources of energy production are some of the main targets today to protect the environment through reduced fossil fuel consumption and CO2 emissions. Alongside wind, solar, marine, biomass and nuclear sources, hydropower is among the oldest but still not fully explored renewable energy sources. Compared with other sources like wind and solar, hydropower is more stable and consistent, offering increased predictability. Even so, it should be analyzed considering water flow, dams capacity, climate change, irrigation, navigation, and so on. The aim of this study is to propose a forecast model of hydropower production capacity and identify long-term trends. The curve fit forecast parabolic model was applied to 33 European countries for time series data from 1990 to 2021. Space-time cube ArcGIS representation in 2D and 3D offers visualization of the prediction and model confidence rate. The quadratic trajectory fit the raw data for 14 countries, validated by visual check, and in 20 countries, validated by FMRSE 10% threshold from the maximal value. The quadratic model choice is good for forecasting future values of hydropower electric capacity in 22 countries, with accuracy confirmed by the VMRSE 10% threshold from the maximal value. Seven local outliers were identified, with only one validated as a global outlier based on the Generalized Extreme Studentized Deviate (GESD)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Global trends and forecasts of breast cancer incidence and deaths — https://doi.org/10.1038/s41597-023-02253-5</w:t>
      </w:r>
    </w:p>
    <w:p>
      <w:pPr/>
      <w:r>
        <w:rPr>
          <w:b/>
        </w:rPr>
        <w:t>Shared claim-specific concepts:</w:t>
      </w:r>
      <w:r>
        <w:t xml:space="preserve"> forecasts, show, trends, regions; EU scope not established. This is a provisional connection, not an outcome finding.</w:t>
      </w:r>
    </w:p>
    <w:p>
      <w:pPr>
        <w:pStyle w:val="SourceNote"/>
      </w:pPr>
      <w:r>
        <w:rPr>
          <w:b/>
        </w:rPr>
        <w:t>Available abstract (not full text):</w:t>
      </w:r>
      <w:r>
        <w:t xml:space="preserve"> Breast cancer (BC) is one of the major public health challenges worldwide. Studies that address the new evidence on trends of BC are of great importance for preventing and controlling the occurrence and development of diseases and improving health. The aim of this study was to analyze the outcomes for the global burden of disease (GBD), incidence, deaths, and risk factors for BC from 1990 to 2019, and predict the GBD of BC until 2050 to inform global BC control planning efforts. In this study, the results show that the regions with low levels of socio-demographic index (SDI) will have the largest disease burden of BC in the future. The leading global risk factor for death attributable to BC in 2019 was metabolic risks, followed by behavioral risks. This study supports the worldwide urgent need for comprehensive cancer prevention and control strategies to reduce exposure, early screening, and improve treatment to effectively reduce the GBD of BC.</w:t>
      </w:r>
    </w:p>
    <w:p>
      <w:pPr/>
      <w:r>
        <w:rPr>
          <w:b/>
        </w:rPr>
        <w:t>POSSIBLE 2023:</w:t>
      </w:r>
      <w:r>
        <w:t xml:space="preserve"> CUSTOMS POLICY OF THE EUROPEAN UNION: TRENDS, FORECASTS, AND DEVELOPMENT PERSPECTIVES — https://doi.org/10.30970/ves.2023.65.0.6519</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The development of EU customs policy refl ects the state of economic relations within the EU. It is crucial for its ability to effi ciently respond to changes in global trade and infl uence its geopolitical position amidst global challenges and opportunities. The article aims to elucidate the specifi cs of applying customs tariff regulatory instruments in the EU, identify trends, and forecast the volumes of extra- and intra-EU trade for the nearest years. An assortment of scientifi c methods was employed in the article, including systemic, situational, and comparative analysis, to study trends, issues, and prospects of EU customs policy. For forecasting the trade volumes of the European Union, the FORECAST. The ETS function in Microsoft Excel was utilized, based on forecasting using the exponential smoothing algorithm. It is noted that the EU’s normative regulation is based on the Customs Code and bilateral trade agreements, with main tariff rates and product nomenclature defi ned by the EU Customs Tariff . The EU has exclusive competence in customs union matters, common trade policy, and the conclusion of international trade agreements of member countries. Customs tariff regulation regimes and instruments include the Most favored nation regime, anti-dumping and countervailing duties, preferential tariff s, and tariff quotas. The article evaluates EU trade volumes from 2015 to </w:t>
      </w:r>
    </w:p>
    <w:p>
      <w:pPr/>
      <w:r>
        <w:rPr>
          <w:b/>
        </w:rPr>
        <w:t>POSSIBLE 2022:</w:t>
      </w:r>
      <w:r>
        <w:t xml:space="preserve"> Trends and gaps in photovoltaic power forecasting with machine learning — https://doi.org/10.1016/j.egyr.2022.11.208</w:t>
      </w:r>
    </w:p>
    <w:p>
      <w:pPr/>
      <w:r>
        <w:rPr>
          <w:b/>
        </w:rPr>
        <w:t>Shared claim-specific concepts:</w:t>
      </w:r>
      <w:r>
        <w:t xml:space="preserve"> trends, world, help; EU scope not established. This is a provisional connection, not an outcome finding.</w:t>
      </w:r>
    </w:p>
    <w:p>
      <w:pPr>
        <w:pStyle w:val="SourceNote"/>
      </w:pPr>
      <w:r>
        <w:rPr>
          <w:b/>
        </w:rPr>
        <w:t>Available abstract (not full text):</w:t>
      </w:r>
      <w:r>
        <w:t xml:space="preserve"> The share of solar energy in the electricity mix increases year after year. Knowing the production of photovoltaic (PV) power at each instant of time is crucial for its integration into the grid. However, due to meteorological phenomena, PV power output can be uncertain and continuously varying, which complicates yield prediction. In recent years, machine learning (ML) techniques have entered the world of PV power forecasting to help increase the accuracy of predictions. Researchers have seen great potential in this approach, creating a vast literature on the topic. This paper intends to identify the most popular approaches and the gaps in this discipline. To do so, a representative part of the literature consisting of 100 publications is classified based on different aspects such as ML family, location of PV systems, number of systems considered, features, etc. Via this classification, the main trends and gaps can be highlighted while offering advice to researchers interested in the topic.</w:t>
      </w:r>
    </w:p>
    <w:p>
      <w:pPr/>
      <w:r>
        <w:rPr>
          <w:b/>
        </w:rPr>
        <w:t>POSSIBLE 2020:</w:t>
      </w:r>
      <w:r>
        <w:t xml:space="preserve"> European Mortality Forecasts: Are the Targets Still Moving? — https://doi.org/10.1007/978-3-030-42472-5_9</w:t>
      </w:r>
    </w:p>
    <w:p>
      <w:pPr/>
      <w:r>
        <w:rPr>
          <w:b/>
        </w:rPr>
        <w:t>Shared claim-specific concepts:</w:t>
      </w:r>
      <w:r>
        <w:t xml:space="preserve"> forecasts, show, trends, life; EU scope visible. This is a provisional connection, not an outcome finding.</w:t>
      </w:r>
    </w:p>
    <w:p>
      <w:pPr>
        <w:pStyle w:val="SourceNote"/>
      </w:pPr>
      <w:r>
        <w:rPr>
          <w:b/>
        </w:rPr>
        <w:t>Available abstract (not full text):</w:t>
      </w:r>
      <w:r>
        <w:t xml:space="preserve"> Abstract Many statistical agencies routinely produce population forecasts, and revise these forecasts when new data become available, or when current demographic trends indicate that an update is necessary. When the forecaster strongly revises, from one forecast round to the next one, a forecast for a certain target year (for instance the life expectancy in 2050), this indicates large uncertainty connected to mortality predictions. The aim of this chapter is to shed more light on the uncertainty in mortality forecasts, by analysing the extent to which life expectancy predictions for 2030 and 2050 were revised in subsequent rounds of population forecasts published by statistical agencies in selected countries. It updates and extends earlier work that focused on United Nations and Eurostat forecasts published between 1994 and 2004 (Keilman et al. 2008). There the conclusion was that life expectancy forecasts for 18 European countries for the year 2050 had been revised upwards systematically, by around 2 years on average during the 10-year publication period. A recent analysis based on official population forecasts for Norway published in the period 1999–2018 led to the same conclusion (Keilman 2018). Here we will show that the period of upward revisions seems to have ended for some European countries.</w:t>
      </w:r>
    </w:p>
    <w:p>
      <w:pPr/>
      <w:r>
        <w:rPr>
          <w:b/>
        </w:rPr>
        <w:t>POSSIBLE 2020:</w:t>
      </w:r>
      <w:r>
        <w:t xml:space="preserve"> Trend Analysis and Forecasting of COVID-19 outbreak in India — https://doi.org/10.1101/2020.03.26.20044511</w:t>
      </w:r>
    </w:p>
    <w:p>
      <w:pPr/>
      <w:r>
        <w:rPr>
          <w:b/>
        </w:rPr>
        <w:t>Shared claim-specific concepts:</w:t>
      </w:r>
      <w:r>
        <w:t xml:space="preserve"> show, trends, world; EU scope not established. This is a provisional connection, not an outcome finding.</w:t>
      </w:r>
    </w:p>
    <w:p>
      <w:pPr>
        <w:pStyle w:val="SourceNote"/>
      </w:pPr>
      <w:r>
        <w:rPr>
          <w:b/>
        </w:rPr>
        <w:t>Available abstract (not full text):</w:t>
      </w:r>
      <w:r>
        <w:t xml:space="preserve"> A bstract COVID-19 is spreading really fast around the world. The current study describes the situation of the outbreak of this disease in India and predicts the number of cases expected to rise in India. The study also discusses the regional analysis of Indian states and presents the preparedness level of India in combating this outbreak. The study uses exploratory data analysis to report the current situation and uses time-series forecasting methods to predict the future trends. The data has been considered from the repository of John Hopkins University and covers up the time period from 30 th January 2020 when the first case occurred in India till the end of 24 th March 2020 when the Prime Minister of India declared a complete lockdown in the country for 21 days starting 25 th March 2020. The major findings show that number of infected cases in India is rising quickly with the average infected cases per day rising from 10 to 73 from the first case to the 300 th case. The current mortality rate for India stands around 1.9. Kerala and Maharashtra are the top two infected states in India with more than 100 infected cases reported in each state, respectively. A total of 25 states have reported at least one infected case, however only 8 of them have reported deaths due to COVID-19. The ARIMA model prediction shows that the infected cases in India may reach up to 700 thousands in </w:t>
      </w:r>
    </w:p>
    <w:p>
      <w:pPr>
        <w:pStyle w:val="Heading2"/>
      </w:pPr>
      <w:r>
        <w:t>696.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2023:</w:t>
      </w:r>
      <w:r>
        <w:t xml:space="preserve"> Anxiety among children and adolescents during the COVID-19 pandemic in Europe: a systematic review protocol — https://doi.org/10.1186/s13643-023-02225-1</w:t>
      </w:r>
    </w:p>
    <w:p>
      <w:pPr/>
      <w:r>
        <w:rPr>
          <w:b/>
        </w:rPr>
        <w:t>Shared claim-specific concepts:</w:t>
      </w:r>
      <w:r>
        <w:t xml:space="preserve"> overview, prepared; EU scope visible. This is a provisional connection, not an outcome finding.</w:t>
      </w:r>
    </w:p>
    <w:p>
      <w:pPr>
        <w:pStyle w:val="SourceNote"/>
      </w:pPr>
      <w:r>
        <w:rPr>
          <w:b/>
        </w:rPr>
        <w:t>Available abstract (not full text):</w:t>
      </w:r>
      <w:r>
        <w:t xml:space="preserve"> BACKGROUND: A growing number of studies point to a high mental health burden among children and adolescents during the COVID-19 pandemic, particularly concerning anxiety. However, the study quality and effect direction are heterogeneous in the existing primary studies with a lacking overview for the European continent. Therefore, this systematic review aims to critically synthesise the evidence regarding the impact of the COVID-19 pandemic on anxiety among children and adolescents in Europe compared to a pre-pandemic baseline. METHODS: A systematic literature search will be performed in six databases (MEDLINE, EMBASE, PsycINFO, Cochrane Central Register of Controlled Trials, Web of Science, and WHO COVID-19 database) with a peer reviewed search strategy according to the evidence-based checklist Peer Review of Electronic Search Strategies (PRESS). Inclusion criteria are children and adolescents ≤ 19 years living in Europe and data report during the COVID-19 pandemic with an appropriate pre-pandemic baseline. Primary outcomes are general anxiety symptoms and clinically relevant anxiety rates. Risk of bias will be assessed using the 'Risk of Bias in Non-randomised Studies of Exposure' (ROBINS-E). Data extraction will systematically include information on study design, population characteristics, COVID-19 determinants, pre-pandemic baseline, diagnostic instruments and outcome. The </w:t>
      </w:r>
    </w:p>
    <w:p>
      <w:pPr/>
      <w:r>
        <w:rPr>
          <w:b/>
        </w:rPr>
        <w:t>POSSIBLE 2021:</w:t>
      </w:r>
      <w:r>
        <w:t xml:space="preserve"> Overview of reported national greenhouse gas policies and measures in Europe in 2021 — https://doi.org/10.5281/zenodo.6020402</w:t>
      </w:r>
    </w:p>
    <w:p>
      <w:pPr/>
      <w:r>
        <w:rPr>
          <w:b/>
        </w:rPr>
        <w:t>Shared claim-specific concepts:</w:t>
      </w:r>
      <w:r>
        <w:t xml:space="preserve"> overview, national; EU scope visible. This is a provisional connection, not an outcome finding.</w:t>
      </w:r>
    </w:p>
    <w:p>
      <w:pPr>
        <w:pStyle w:val="SourceNote"/>
      </w:pPr>
      <w:r>
        <w:rPr>
          <w:b/>
        </w:rPr>
        <w:t>Available abstract (not full text):</w:t>
      </w:r>
      <w:r>
        <w:t xml:space="preserve"> Member States have to report every two years on their national greenhouse gas policies and measures. In 2021, EU Member States reported a total of 2 052 expired, existing and planned policies and measures. This is again a marked increase in the number of policies and measures reported by Member States, that partially can be explained by the implementation of the National Energy and Climate Plans. Quantitative evidence on the effectiveness and costs and benefits of these measures remains insufficiently reported.</w:t>
      </w:r>
    </w:p>
    <w:p>
      <w:pPr/>
      <w:r>
        <w:rPr>
          <w:b/>
        </w:rPr>
        <w:t>POSSIBLE 2020:</w:t>
      </w:r>
      <w:r>
        <w:t xml:space="preserve"> European Language Grid: An Overview — https://doi.org/10.48550/arxiv.2003.13551</w:t>
      </w:r>
    </w:p>
    <w:p>
      <w:pPr/>
      <w:r>
        <w:rPr>
          <w:b/>
        </w:rPr>
        <w:t>Shared claim-specific concepts:</w:t>
      </w:r>
      <w:r>
        <w:t xml:space="preserve"> overview, national, sectors; EU scope visible. This is a provisional connection, not an outcome finding.</w:t>
      </w:r>
    </w:p>
    <w:p>
      <w:pPr>
        <w:pStyle w:val="SourceNote"/>
      </w:pPr>
      <w:r>
        <w:rPr>
          <w:b/>
        </w:rPr>
        <w:t>Available abstract (not full text):</w:t>
      </w:r>
      <w:r>
        <w:t xml:space="preserve"> With 24 official EU and many additional languages, multilingualism in Europe and an inclusive Digital Single Market can only be enabled through Language Technologies (LTs). European LT business is dominated by hundreds of SMEs and a few large players. Many are world-class, with technologies that outperform the global players. However, European LT business is also fragmented, by nation states, languages, verticals and sectors, significantly holding back its impact. The European Language Grid (ELG) project addresses this fragmentation by establishing the ELG as the primary platform for LT in Europe. The ELG is a scalable cloud platform, providing, in an easy-to-integrate way, access to hundreds of commercial and non-commercial LTs for all European languages, including running tools and services as well as data sets and resources. Once fully operational, it will enable the commercial and non-commercial European LT community to deposit and upload their technologies and data sets into the ELG, to deploy them through the grid, and to connect with other resources. The ELG will boost the Multilingual Digital Single Market towards a thriving European LT community, creating new jobs and opportunities. Furthermore, the ELG project organises two open calls for up to 20 pilot projects. It also sets up 32 National Competence Centres (NCCs) and the European LT Council (LTC) for outreach and c</w:t>
      </w:r>
    </w:p>
    <w:p>
      <w:pPr/>
      <w:r>
        <w:rPr>
          <w:b/>
        </w:rPr>
        <w:t>POSSIBLE 2020:</w:t>
      </w:r>
      <w:r>
        <w:t xml:space="preserve"> Plant food anti-nutritional factors and their reduction strategies: an overview — https://doi.org/10.1186/s43014-020-0020-5</w:t>
      </w:r>
    </w:p>
    <w:p>
      <w:pPr/>
      <w:r>
        <w:rPr>
          <w:b/>
        </w:rPr>
        <w:t>Shared claim-specific concepts:</w:t>
      </w:r>
      <w:r>
        <w:t xml:space="preserve"> graphical, overview, factors; EU scope not established. This is a provisional connection, not an outcome finding.</w:t>
      </w:r>
    </w:p>
    <w:p>
      <w:pPr>
        <w:pStyle w:val="SourceNote"/>
      </w:pPr>
      <w:r>
        <w:rPr>
          <w:b/>
        </w:rPr>
        <w:t>Available abstract (not full text):</w:t>
      </w:r>
      <w:r>
        <w:t xml:space="preserve"> Abstract Legumes and cereals contain high amounts of macronutrients and micronutrients but also anti-nutritional factors. Major anti-nutritional factors, which are found in edible crops include saponins, tannins, phytic acid, gossypol, lectins, protease inhibitors, amylase inhibitor, and goitrogens. Anti-nutritional factors combine with nutrients and act as the major concern because of reduced nutrient bioavailability. Various other factors like trypsin inhibitors and phytates, which are present mainly in legumes and cereals, reduce the digestibility of proteins and mineral absorption. Anti-nutrients are one of the key factors, which reduce the bioavailability of various components of the cereals and legumes. These factors can cause micronutrient malnutrition and mineral deficiencies. There are various traditional methods and technologies, which can be used to reduce the levels of these anti-nutrient factors. Several processing techniques and methods such as fermentation, germination, debranning, autoclaving, soaking etc. are used to reduce the anti-nutrient contents in foods. By using various methods alone or in combinations, it is possible to reduce the level of anti-nutrients in foods. This review is focused on different types of anti-nutrients, and possible processing methods that can be used to reduce the level of these factors in food products. Graphical abstract A brief </w:t>
      </w:r>
    </w:p>
    <w:p>
      <w:pPr>
        <w:pStyle w:val="Heading2"/>
      </w:pPr>
      <w:r>
        <w:t>697.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2024:</w:t>
      </w:r>
      <w:r>
        <w:t xml:space="preserve"> Modelling the effect of context-specific greenhouse gas and nitrogen emission mitigation options in key European dairy farming systems — https://doi.org/10.1007/s13593-023-00940-6</w:t>
      </w:r>
    </w:p>
    <w:p>
      <w:pPr/>
      <w:r>
        <w:rPr>
          <w:b/>
        </w:rPr>
        <w:t>Shared claim-specific concepts:</w:t>
      </w:r>
      <w:r>
        <w:t xml:space="preserve"> effect, key, increasing, potential, systems, negative; EU scope visible. This is a provisional connection, not an outcome finding.</w:t>
      </w:r>
    </w:p>
    <w:p>
      <w:pPr>
        <w:pStyle w:val="SourceNote"/>
      </w:pPr>
      <w:r>
        <w:rPr>
          <w:b/>
        </w:rPr>
        <w:t>Available abstract (not full text):</w:t>
      </w:r>
      <w:r>
        <w:t xml:space="preserve"> Abstract Understanding the environmental consequences associated with dairy cattle production systems is crucial for the implementation of targeted strategies for emission reduction. However, few studies have modelled the effect of tailored emission mitigation options across key European dairy production systems. Here, we assess the single and combined effect of six emission mitigation practises on selected case studies across Europe through the Sustainable and Integrated Management System for Dairy Production model. This semi-mechanistic model accounts for the interacting flows from a whole-farm perspective simulating the environmental losses in response to different management strategies and site-specific conditions. The results show how reducing the crude protein content of the purchased fraction of the diet was an adequate strategy to reduce the greenhouse gas and nitrogen emission intensity in all systems. Furthermore, implementing an anaerobic digestion plant reduced the greenhouse gas emissions in all tested case studies while increasing the nitrogen emissions intensity, particularly when slurry was applied using broadcast. Regarding the productivity increase, contrasting effects were observed amongst the case studies modelled. Moreover, shallow slurry injection effectively mitigated the intensity of nitrogen losses from the fields due to strong reductions in ammonia vol</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systems, show;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2023:</w:t>
      </w:r>
      <w:r>
        <w:t xml:space="preserve"> Design and application of a key performance indicator (KPI) framework for autonomous shipping in Europe — https://doi.org/10.1016/j.martra.2023.100095</w:t>
      </w:r>
    </w:p>
    <w:p>
      <w:pPr/>
      <w:r>
        <w:rPr>
          <w:b/>
        </w:rPr>
        <w:t>Shared claim-specific concepts:</w:t>
      </w:r>
      <w:r>
        <w:t xml:space="preserve"> effect, key, systems; EU scope visible. This is a provisional connection, not an outcome finding.</w:t>
      </w:r>
    </w:p>
    <w:p>
      <w:pPr>
        <w:pStyle w:val="SourceNote"/>
      </w:pPr>
      <w:r>
        <w:rPr>
          <w:b/>
        </w:rPr>
        <w:t>Available abstract (not full text):</w:t>
      </w:r>
      <w:r>
        <w:t xml:space="preserve"> The European Union (EU) transport policy recognizes the importance of the waterborne transport systems as key elements for sustainable growth in Europe. By 2030, 30% of total road freight over 300 km should shift to rail or waterborne transport, and more than 50% by 2050. Thus far, this ambition has failed but there have been several project initiatives within the EU to address these issues. In one of these projects, we consider a new waterborne transport system for Europe that is green, robust, flexible, more automated and autonomous, and able to connect both rural and urban terminals. The purpose of this paper is to describe work and preliminary results from this project. To that effect, and in order to assess any solutions contemplated, a comprehensive set of Key Performance Indicators (KPIs) has been defined, and three specific use cases within Europe are examined and evaluated according to these KPIs. KPIs represent the criteria under which the set of solutions developed are evaluated, and also compared to non-autonomous solutions. They are grouped under economic, environmental and social KPIs. KPIs have been selected after a consultation process involving project partners and external Advisory Group members. Links to EU transport and other regulatory action are also discussed.</w:t>
      </w:r>
    </w:p>
    <w:p>
      <w:pPr/>
      <w:r>
        <w:rPr>
          <w:b/>
        </w:rPr>
        <w:t>POSSIBLE 2022:</w:t>
      </w:r>
      <w:r>
        <w:t xml:space="preserve"> European Citizens’ Happiness: Key Factors and the Mediating Effect of Quality of Life, a PLS Approach — https://doi.org/10.3390/math10030367</w:t>
      </w:r>
    </w:p>
    <w:p>
      <w:pPr/>
      <w:r>
        <w:rPr>
          <w:b/>
        </w:rPr>
        <w:t>Shared claim-specific concepts:</w:t>
      </w:r>
      <w:r>
        <w:t xml:space="preserve"> effect, key, population, increasing, show; EU scope visible. This is a provisional connection, not an outcome finding.</w:t>
      </w:r>
    </w:p>
    <w:p>
      <w:pPr>
        <w:pStyle w:val="SourceNote"/>
      </w:pPr>
      <w:r>
        <w:rPr>
          <w:b/>
        </w:rPr>
        <w:t>Available abstract (not full text):</w:t>
      </w:r>
      <w:r>
        <w:t xml:space="preserve"> Happiness is a very important aspect in the life and well-being of all citizens; as such, it has become a key factor in personal preferences. For these reasons, it is relevant to study what factors principally affect the happiness of the population. However, the difficulties involved in measuring this concept mean that there are no clear criteria as to which aspects should be promoted in order for citizens to achieve greater happiness. This paper uses variance-based structural equation modelling (SEM)—partial least squares path modelling (PLS)—to analyse the direct and indirect effects of European citizens’ assessment of different aspects of their city related to safety, environmental quality and urban planning on their happiness. The source of information used in this study is the Flash Eurobarometer 419 prepared by Eurostat in 2015, with a total of 9799 observations. The results show how quality of life, safety, the environment and city planning have a positive and significant influence on European citizens’ happiness, especially safety. In addition, quality of life acts as a mediating variable, primarily increasing the influence of urban planning on happiness. The findings of the study point to the relevant policies that governments should undertake to ensure the happiness of their citizens.</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effect, increasing, distribution, systems;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Assessing the energy potential of modernizing the European hydropower fleet — https://doi.org/10.1016/j.enconman.2021.114655</w:t>
      </w:r>
    </w:p>
    <w:p>
      <w:pPr/>
      <w:r>
        <w:rPr>
          <w:b/>
        </w:rPr>
        <w:t>Shared claim-specific concepts:</w:t>
      </w:r>
      <w:r>
        <w:t xml:space="preserve"> increasing, expected, potential; EU scope visible. This is a provisional connection, not an outcome finding.</w:t>
      </w:r>
    </w:p>
    <w:p>
      <w:pPr>
        <w:pStyle w:val="SourceNote"/>
      </w:pPr>
      <w:r>
        <w:rPr>
          <w:b/>
        </w:rPr>
        <w:t>Available abstract (not full text):</w:t>
      </w:r>
      <w:r>
        <w:t xml:space="preserve"> About 50% of all hydropower plants (HPPs) worldwide were originally commissioned more than 40 years ago, so that the advanced age of the fleet is a major concern across all continents, and especially in Europe. The modernization of HPPs can generate several benefits in terms of generation, flexibility, safety, operation, and may have neutral or even positive implications for the environment. In this work, we appraise several options for the modernization of existing plants, with the exclusion of measures expected to increase the hydro-morphological pressure on water bodies (e.g. increase of withdrawals or new parallel waterways): dam heightening, head loss reduction in waterways, increase of weighted efficiency of electro-mechanical equipment, digitalization and inflow forecast, and floating photovoltaic (evaporation reduction). We provide an indicative estimation of the additional power and annual generation that could be obtained compared to the current condition. We estimate that the overall energy generation could be increased by 8.4% for European Union and 9.4% for the whole Europe by implementing the above-mentioned strategies. The additional energy gain achievable by increasing the inflow was discussed but not included in the above mentioned overall indicator, because it is very site-specific. The additional energy storage achievable by reservoir interconnection and coor</w:t>
      </w:r>
    </w:p>
    <w:p>
      <w:pPr/>
      <w:r>
        <w:rPr>
          <w:b/>
        </w:rPr>
        <w:t>POSSIBLE 2021:</w:t>
      </w:r>
      <w:r>
        <w:t xml:space="preserve"> HIV seroprevalence in five key populations in Europe: a systematic literature review, 2009 to 2019 — https://doi.org/10.2807/1560-7917.es.2021.26.47.2100044</w:t>
      </w:r>
    </w:p>
    <w:p>
      <w:pPr/>
      <w:r>
        <w:rPr>
          <w:b/>
        </w:rPr>
        <w:t>Shared claim-specific concepts:</w:t>
      </w:r>
      <w:r>
        <w:t xml:space="preserve"> key, population, systems; EU scope visible. This is a provisional connection, not an outcome finding.</w:t>
      </w:r>
    </w:p>
    <w:p>
      <w:pPr>
        <w:pStyle w:val="SourceNote"/>
      </w:pPr>
      <w:r>
        <w:rPr>
          <w:b/>
        </w:rPr>
        <w:t>Available abstract (not full text):</w:t>
      </w:r>
      <w:r>
        <w:t xml:space="preserve"> BackgroundIn Europe, HIV disproportionately affects men who have sex with men (MSM), people who inject drugs (PWID), prisoners, sex workers, and transgender people. Epidemiological data are primarily available from national HIV case surveillance systems that rarely capture information on sex work, gender identity or imprisonment. Surveillance of HIV prevalence in key populations often occurs as independent studies with no established mechanism for collating such information at the European level.AimWe assessed HIV prevalence in MSM, PWID, prisoners, sex workers, and transgender people in the 30 European Union/European Economic Area countries and the United Kingdom.MethodsWe conducted a systematic literature review of peer-reviewed studies published during 2009-19, by searching PubMed, Embase and the Cochrane Library. Data are presented in forest plots by country, as simple prevalence or pooled across multiple studies.ResultsEighty-seven country- and population-specific studies were identified from 23 countries. The highest number of studies, and the largest variation in HIV prevalence, were identified for MSM, ranging from 2.4-29.0% (19 countries) and PWID, from 0.0-59.5% (13 countries). Prevalence ranged from 0.0-15.6% in prisoners (nine countries), 1.1-8.5% in sex workers (five countries) and was 10.9% in transgender people (one country). Individuals belonging to several key </w:t>
      </w:r>
    </w:p>
    <w:p>
      <w:pPr>
        <w:pStyle w:val="Heading2"/>
      </w:pPr>
      <w:r>
        <w:t>698.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r>
        <w:rPr>
          <w:b/>
        </w:rPr>
        <w:t>POSSIBLE 2021:</w:t>
      </w:r>
      <w:r>
        <w:t xml:space="preserve"> Islam, Europe and Democracy. Seeking answers in an ongoing discussion — https://openalex.org/W3189651574</w:t>
      </w:r>
    </w:p>
    <w:p>
      <w:pPr/>
      <w:r>
        <w:rPr>
          <w:b/>
        </w:rPr>
        <w:t>Shared claim-specific concepts:</w:t>
      </w:r>
      <w:r>
        <w:t xml:space="preserve"> discussion, brief, historical; EU scope visible. This is a provisional connection, not an outcome finding.</w:t>
      </w:r>
    </w:p>
    <w:p>
      <w:pPr>
        <w:pStyle w:val="SourceNote"/>
      </w:pPr>
      <w:r>
        <w:rPr>
          <w:b/>
        </w:rPr>
        <w:t>Available abstract (not full text):</w:t>
      </w:r>
      <w:r>
        <w:t xml:space="preserve"> Angeliki Ziaka * Islam, Europe and Democracy.Islam, Europe and Democracy.Seeking answers in an ongoing discussion.Seeking answers in an ongoing discussion.When approaching the discourse on Islam, Europe and Democracy, and laying aside apparent understandings and admissions, we are faced with certain observations and questions.This brief contribution aims at setting them.A first approach of "Islam, Europe, and Democracy" bears with it a certain consensus.That is, that Islam, as a religious system, with more or less apparent theocratic elements -depending on the countries it dominates and where it is applied, as well as due to its "essentialist" religious and political trajectory in time and sociopolitical process -does not carry with it European values and the imperatives of the West, such as Democracy and, consequently, the spirit of Enlightenment.Such values are considered shaped by the European spirit -due to both Christianity and secularism -and produced by the struggles of the French Revolution against religious authority and the tyranny of monarchy 1 .A variety of historical, spiritual, philosophical and political journeys have yielded a unique heritage for the individual, society and humanity as well, thereby safeguarding human rights and protecting the individual from the terms and imperatives of a religiously and politically pre-modern communal * Associate professor on </w:t>
      </w:r>
    </w:p>
    <w:p>
      <w:pPr/>
      <w:r>
        <w:rPr>
          <w:b/>
        </w:rPr>
        <w:t>POSSIBLE 2021:</w:t>
      </w:r>
      <w:r>
        <w:t xml:space="preserve"> Hallmark features of post-socialist urban development in Central Europe — https://doi.org/10.4324/9781003039792-13</w:t>
      </w:r>
    </w:p>
    <w:p>
      <w:pPr/>
      <w:r>
        <w:rPr>
          <w:b/>
        </w:rPr>
        <w:t>Shared claim-specific concepts:</w:t>
      </w:r>
      <w:r>
        <w:t xml:space="preserve"> discussion, brief, represent; EU scope visible. This is a provisional connection, not an outcome finding.</w:t>
      </w:r>
    </w:p>
    <w:p>
      <w:pPr>
        <w:pStyle w:val="SourceNote"/>
      </w:pPr>
      <w:r>
        <w:rPr>
          <w:b/>
        </w:rPr>
        <w:t>Available abstract (not full text):</w:t>
      </w:r>
      <w:r>
        <w:t xml:space="preserve"> Conclusions represent the thirteenth and final chapter of the edited volume focused on the post-socialist transformation of selected cities of various sizes in Central Europe. After a brief recapitulation of the background of transformational predispositions in the model region, the chapter summarises the main findings and results of theoretical assumptions and specific research from all previous parts of the book. The differences and similarities of transformation processes are reflected, the effects of transformation on the socio-economic, demographic and physical environment of cities, the approaches of city representatives, population behaviour, and possible directions of future development are discussed. We believe that the deeper analysis and discussion presented will contribute to the discovery and understanding of three decades of fundamental spatial, economic and social change in the region.</w:t>
      </w:r>
    </w:p>
    <w:p>
      <w:pPr/>
      <w:r>
        <w:rPr>
          <w:b/>
        </w:rPr>
        <w:t>POSSIBLE 2021:</w:t>
      </w:r>
      <w:r>
        <w:t xml:space="preserve"> EUROPEAN AUTONOMOUS EMPLOYEE DEFINITION. A REASON FOR A DISCUSSION OVER DEVELOPMENT OF EMPLOYMENT RIGHTS — https://doi.org/10.5604/01.3001.0015.6077</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For many years, there has been a discussion in the study of Polish labour law on the legitimacy of replacing labour law with employment law as a broader category, including also people who perform paid work on other grounds. The implementation of Directive 2019/1152 on transparent and predictable working conditions in the European Union should also cover a wider group of people performing paid work. The EU legislator, when defining the subjective scope, refers to the autonomous EU definition of an employee created by the CJEU, which is broader than many national definitions. Despite the objections raised against the concept of employment law, the implementation of the directive may be a step towards building a new field of law, just as the extension of the subjective scope of the Act on Trade Unions contributed to the creation of collective employment law.</w:t>
      </w:r>
    </w:p>
    <w:p>
      <w:pPr>
        <w:pStyle w:val="Heading2"/>
      </w:pPr>
      <w:r>
        <w:t>699.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2024:</w:t>
      </w:r>
      <w:r>
        <w:t xml:space="preserve"> The Economic Diversification and Sustainability Development in Oil-Rich Countries: A Panel Data Study — https://doi.org/10.1051/e3sconf/202459301001</w:t>
      </w:r>
    </w:p>
    <w:p>
      <w:pPr/>
      <w:r>
        <w:rPr>
          <w:b/>
        </w:rPr>
        <w:t>Shared claim-specific concepts:</w:t>
      </w:r>
      <w:r>
        <w:t xml:space="preserve"> sources, countries, potential; EU scope not established. This is a provisional connection, not an outcome finding.</w:t>
      </w:r>
    </w:p>
    <w:p>
      <w:pPr>
        <w:pStyle w:val="SourceNote"/>
      </w:pPr>
      <w:r>
        <w:rPr>
          <w:b/>
        </w:rPr>
        <w:t>Available abstract (not full text):</w:t>
      </w:r>
      <w:r>
        <w:t xml:space="preserve"> Diversifying income sources in oil-producing countries is necessary for achieving financial sustainability and a pathway to a more prosperous future. Despite the recognized importance of diversification, there remains a research gap in understanding the combined impact of factors like capital formation, oil rents, foreign investment, labor dynamics, rule of law, and CO2 emissions on sustainable growth. This research delves into the nexus between economic diversification and sustainable development in GCC countries, aiming to identify the key factors influencing economic diversification in this region. The study meticulously analyzes the impact of these critical variables on the economic diversification efforts of GCC countries. The findings reveal a robust positive correlation between economic diversification and these influential factors, as measured by GDP. This correlation underscores the potential benefits of economic diversification, such as enhanced sustainability and resilience, reinforcing the importance of this research topic. Also, the study emphasizes the urgent need for GCC countries to invest in non-oil economic sectors.</w:t>
      </w:r>
    </w:p>
    <w:p>
      <w:pPr/>
      <w:r>
        <w:rPr>
          <w:b/>
        </w:rPr>
        <w:t>POSSIBLE 2021:</w:t>
      </w:r>
      <w:r>
        <w:t xml:space="preserve"> Large Shareholder Portfolio Diversification and Voluntary Disclosure* — https://doi.org/10.1111/1911-3846.12707</w:t>
      </w:r>
    </w:p>
    <w:p>
      <w:pPr/>
      <w:r>
        <w:rPr>
          <w:b/>
        </w:rPr>
        <w:t>Shared claim-specific concepts:</w:t>
      </w:r>
      <w:r>
        <w:t xml:space="preserve"> relying, diversified, portfolio, benefit; EU scope not established. This is a provisional connection, not an outcome finding.</w:t>
      </w:r>
    </w:p>
    <w:p>
      <w:pPr>
        <w:pStyle w:val="SourceNote"/>
      </w:pPr>
      <w:r>
        <w:rPr>
          <w:b/>
        </w:rPr>
        <w:t>Available abstract (not full text):</w:t>
      </w:r>
      <w:r>
        <w:t xml:space="preserve"> ABSTRACT Although large shareholders have sufficient influence to engage privately with management, extant literature provides inconclusive evidence on the relation between large equity positions and corporate disclosure. This study examines whether large shareholders' portfolio diversification affects voluntary corporate disclosure. We define diversification as the extent to which investors spread investments among portfolio stocks. We predict that holding a diversified portfolio deters large shareholders from incurring the costs of private information gathering about a portfolio firm. We document that firms provide more voluntary disclosure when their large shareholders hold a more diversified portfolio, consistent with investors relying more on public disclosure about portfolio firms when their portfolio diversification is higher. Evidence from cross‐sectional analyses suggests that, as predicted, the positive relation between portfolio diversification and voluntary disclosure is weaker as the net benefit of acquiring private information increases for large shareholders (i.e., when portfolio firms are more connected, have alternative information channels, or are more complex). Overall, our results suggest that diversified large shareholders' preference for a richer public disclosure environment creates a positive externality of lowering the information costs for external sta</w:t>
      </w:r>
    </w:p>
    <w:p>
      <w:pPr>
        <w:pStyle w:val="Heading2"/>
      </w:pPr>
      <w:r>
        <w:t>700.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find, emission, commitment;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2023:</w:t>
      </w:r>
      <w:r>
        <w:t xml:space="preserve"> The Drivers of Emission Reductions in the European Carbon Market — https://openalex.org/W7111538042</w:t>
      </w:r>
    </w:p>
    <w:p>
      <w:pPr/>
      <w:r>
        <w:rPr>
          <w:b/>
        </w:rPr>
        <w:t>Shared claim-specific concepts:</w:t>
      </w:r>
      <w:r>
        <w:t xml:space="preserve"> find, emission, reductions, dominant, also; EU scope visible. This is a provisional connection, not an outcome finding.</w:t>
      </w:r>
    </w:p>
    <w:p>
      <w:pPr>
        <w:pStyle w:val="SourceNote"/>
      </w:pPr>
      <w:r>
        <w:rPr>
          <w:b/>
        </w:rPr>
        <w:t>Available abstract (not full text):</w:t>
      </w:r>
      <w:r>
        <w:t xml:space="preserve"> This paper studies the drivers of emission reductions in the carbon market of the European Union Emission Trading System (EU ETS) since its inception in 2005. We introduce a novel empirical framework that facilitates the joint identification of simultaneous demand and supply shocks underlying the European carbon market. We find that emission supply restrictions of the EU ETS were the dominant driver of emissions reductions, reducing emissions by 46%. However we also find that two opposing emission demand factors also played an important role. Demand from industrial economic activity increased emissions by 15%, while other demand-side factors, primarily reflecting the transition to low-carbon economies, reduced emissions by 21%.</w:t>
      </w:r>
    </w:p>
    <w:p>
      <w:pPr/>
      <w:r>
        <w:rPr>
          <w:b/>
        </w:rPr>
        <w:t>POSSIBLE 2023:</w:t>
      </w:r>
      <w:r>
        <w:t xml:space="preserve"> Emissions savings from equitable energy demand reduction — https://doi.org/10.1038/s41560-023-01283-y</w:t>
      </w:r>
    </w:p>
    <w:p>
      <w:pPr/>
      <w:r>
        <w:rPr>
          <w:b/>
        </w:rPr>
        <w:t>Shared claim-specific concepts:</w:t>
      </w:r>
      <w:r>
        <w:t xml:space="preserve"> reductions, energy, transport, climate; EU scope visible. This is a provisional connection, not an outcome finding.</w:t>
      </w:r>
    </w:p>
    <w:p>
      <w:pPr>
        <w:pStyle w:val="SourceNote"/>
      </w:pPr>
      <w:r>
        <w:rPr>
          <w:b/>
        </w:rPr>
        <w:t>Available abstract (not full text):</w:t>
      </w:r>
      <w:r>
        <w:t xml:space="preserve"> Abstract Energy demand reduction (EDR) will be required to reach climate targets in the Global North. To be compatible with just transitions principles, EDR needs to be equitable. Equitable EDR may involve targeting high energy users while ensuring the satisfaction of needs for all, which could require increasing consumption of low users. Emissions impacts of equitable EDR approaches have not yet been assessed. This Article finds that capping energy use of the top quintile of consumers across 27 European countries can achieve considerable greenhouse gas emissions reductions of 11.4% from domestic energy, 16.8% from transport and 9.7% from total energy consumption. Increasing consumption of low energy users in poverty reduces these savings by only 1.2, 0.9 and 1.4 percentage points, respectively. Additional high annual emissions cuts of 7.3–24.0% would be required for Europe to meet globally equitable 2050 emissions budgets. Equitable EDR could make an important contribution to increasing public acceptance of such transformative action.</w:t>
      </w:r>
    </w:p>
    <w:p>
      <w:pPr/>
      <w:r>
        <w:rPr>
          <w:b/>
        </w:rPr>
        <w:t>POSSIBLE 2023:</w:t>
      </w:r>
      <w:r>
        <w:t xml:space="preserve"> Identifying and Monitoring Priority Areas for Methane Emissions Reduction — https://doi.org/10.1596/1813-9450-10391</w:t>
      </w:r>
    </w:p>
    <w:p>
      <w:pPr/>
      <w:r>
        <w:rPr>
          <w:b/>
        </w:rPr>
        <w:t>Shared claim-specific concepts:</w:t>
      </w:r>
      <w:r>
        <w:t xml:space="preserve"> dominant, but, also; EU scope visible. This is a provisional connection, not an outcome finding.</w:t>
      </w:r>
    </w:p>
    <w:p>
      <w:pPr>
        <w:pStyle w:val="SourceNote"/>
      </w:pPr>
      <w:r>
        <w:rPr>
          <w:b/>
        </w:rPr>
        <w:t>Available abstract (not full text):</w:t>
      </w:r>
      <w:r>
        <w:t xml:space="preserve"> This paper identifies high-priority areas for methane emissions reduction and estimates recent emissions changes in those areas using atmospheric concentration data from the European Space Agency’s Sentinel-5P satellite platform. The modeling approach is illustrated with three case studies: landfills in Spain (Madrid), irrigated rice production in India (Karnal district, Haryana state), and oil production in Iraq (Al Amarah district, Maysan governorate). For each case, the paper estimates two change models by fixed effects: the monthly trend in methane concentration from January 2019 to November 2022, and the difference between mean concentration in 2022 and the previous three years. The paper estimates the change models for 775 high-priority areas and finds that cases with decreasing methane emissions are outnumbered four to one by cases with increasing emissions. The paper also analyzes trends in high-priority areas for seven major methane source sectors (agricultural soils, livestock, gas, oil, coal, landfills, and wastewater) and finds only two where emissions decreases outnumber increases (gas and oil). Among World Bank income groups, decreases outnumber increases in high-income economies but increases are hugely dominant in the other three groups. The paper concludes with a presentation of summary emissions trend reports for all 775 high-priority areas, with accompanying </w:t>
      </w:r>
    </w:p>
    <w:p>
      <w:pPr/>
      <w:r>
        <w:rPr>
          <w:b/>
        </w:rPr>
        <w:t>POSSIBLE 2022:</w:t>
      </w:r>
      <w:r>
        <w:t xml:space="preserve"> An econometric analysis of the potential emission reduction components in Indonesia — https://doi.org/10.1016/j.clpl.2022.100008</w:t>
      </w:r>
    </w:p>
    <w:p>
      <w:pPr/>
      <w:r>
        <w:rPr>
          <w:b/>
        </w:rPr>
        <w:t>Shared claim-specific concepts:</w:t>
      </w:r>
      <w:r>
        <w:t xml:space="preserve"> emission, energy, lead, climate; EU scope not established. This is a provisional connection, not an outcome finding.</w:t>
      </w:r>
    </w:p>
    <w:p>
      <w:pPr>
        <w:pStyle w:val="SourceNote"/>
      </w:pPr>
      <w:r>
        <w:rPr>
          <w:b/>
        </w:rPr>
        <w:t>Available abstract (not full text):</w:t>
      </w:r>
      <w:r>
        <w:t xml:space="preserve"> Emissions reduction and increasing environmental quality have become a global concern to ensure sustainable development and mitigate the negative impacts of global warming and climate change. However, there is a scarcity of research exploring the potential of emission reduction components by using econometric approaches. Thus, the present study investigated the role of economic growth, fossil fuel energy use, renewable energy use, technological innovation, agricultural productivity, and forested area to achieve environmental sustainability by reducing carbon dioxide emissions in Indonesia. Time series data from 1990 to 2020 were utilized by applying the Dynamic Ordinary Least Squares method. The empirical findings revealed that a 1% increase in economic growth and fossil fuel energy use will increase carbon dioxide emissions by 0.36% and 0.67% in Indonesia. Conversely, a 1% increase in renewable energy use, technological innovation, agricultural productivity, and the forested area may lead to carbon dioxide emissions reduction by 0.11%, 0.07%, 0.24%, and 2.87%, respectively in the long run. This article put forward policy recommendations in the areas of low-carbon economy, promoting renewable energy use, financing technological innovation, climate-smart agriculture, and sustainable forest management which would ensure environmental sustainability by reducing emissions in Indone</w:t>
      </w:r>
    </w:p>
    <w:p>
      <w:pPr/>
      <w:r>
        <w:rPr>
          <w:b/>
        </w:rPr>
        <w:t>POSSIBLE 2022:</w:t>
      </w:r>
      <w:r>
        <w:t xml:space="preserve"> Improved monitoring of shipping NO 2 with TROPOMI: decreasing NO x emissions in European seas during the COVID-19 pandemic — https://doi.org/10.5194/amt-15-1415-2022</w:t>
      </w:r>
    </w:p>
    <w:p>
      <w:pPr/>
      <w:r>
        <w:rPr>
          <w:b/>
        </w:rPr>
        <w:t>Shared claim-specific concepts:</w:t>
      </w:r>
      <w:r>
        <w:t xml:space="preserve"> find, emission, reductions, but; EU scope visible. This is a provisional connection, not an outcome finding.</w:t>
      </w:r>
    </w:p>
    <w:p>
      <w:pPr>
        <w:pStyle w:val="SourceNote"/>
      </w:pPr>
      <w:r>
        <w:rPr>
          <w:b/>
        </w:rPr>
        <w:t>Available abstract (not full text):</w:t>
      </w:r>
      <w:r>
        <w:t xml:space="preserve"> Abstract. TROPOMI measurements of tropospheric NO2 columns provide powerful information on emissions of air pollution by ships on open sea. This information is potentially useful for authorities to help determine the (non-)compliance of ships with increasingly stringent NOx emission regulations. We find that the information quality is improved further by recent upgrades in the TROPOMI cloud retrieval and an optimal data selection. We show that the superior spatial resolution of TROPOMI allows the detection of several lanes of NO2 pollution ranging from the Aegean Sea near Greece to the Skagerrak in Scandinavia, which have not been detected with other satellite instruments before. Additionally, we demonstrate that under conditions of sun glint TROPOMI's vertical sensitivity to NO2 in the marine boundary layer increases by up to 60 %. The benefits of sun glint are most prominent under clear-sky situations when sea surface winds are low, but slightly above zero (±2 m/s). Beyond spatial resolution and sun glint, we examine for the first time the impact of the recently improved cloud algorithm on the TROPOMI NO2 retrieval quality, both over sea and over land. We find that the new FRESCO+wide algorithm leads to 50 hPa lower cloud pressures, correcting a known high bias, and produces 1–4·1015 molec/cm2 higher retrieved NO2 columns, thereby at least partially correcting for the previou</w:t>
      </w:r>
    </w:p>
    <w:p>
      <w:pPr/>
      <w:r>
        <w:rPr>
          <w:b/>
        </w:rPr>
        <w:t>POSSIBLE 2021:</w:t>
      </w:r>
      <w:r>
        <w:t xml:space="preserve"> Impact of SOx, NOx and NH3 emission reductions on PM2.5 concentrations across Europe: Hints for future measure development — https://doi.org/10.1016/j.envint.2021.106699</w:t>
      </w:r>
    </w:p>
    <w:p>
      <w:pPr/>
      <w:r>
        <w:rPr>
          <w:b/>
        </w:rPr>
        <w:t>Shared claim-specific concepts:</w:t>
      </w:r>
      <w:r>
        <w:t xml:space="preserve"> find, emission, reductions, but; EU scope visible. This is a provisional connection, not an outcome finding.</w:t>
      </w:r>
    </w:p>
    <w:p>
      <w:pPr>
        <w:pStyle w:val="SourceNote"/>
      </w:pPr>
      <w:r>
        <w:rPr>
          <w:b/>
        </w:rPr>
        <w:t>Available abstract (not full text):</w:t>
      </w:r>
      <w:r>
        <w:t xml:space="preserve"> Given the remaining air quality issues in many European regions, smart air quality strategies are necessary to reduce the burden of poor air quality. While designing effective strategies for non-reactive primary pollutants is straightforward, this is not the case for secondary pollutants for which the relationship between emission changes and the resulting concentration changes can be nonlinear. Under such conditions, strategies targeting the largest emitting sources might not be the most effective. In this work, we provide elements to better understand the role of the main emission precursors (SO2, NOx, NH3) on the formation of secondary inorganic aerosols. By quantifying the PM2.5 sensitivity to emission reductions for each of these three precursors, we define and quantify the intensity of PM2.5 formation chemical regimes across Europe. We find that for emission reductions limited to 25%, the relation between emission and PM concentration changes remain mostly linear, with the exception of the Po Valley where non-linearities reach more than 30% in winter. When emission reductions increase to 50%, non-linearity reaches more than 60% in the Po Valley but stay below 30% in the rest of Europe. In terms of implications on abatement strategies, our findings can be summarized in the following key messages: (1) reducing SO2 emissions where abundant is always efficient (e.g. eastern E</w:t>
      </w:r>
    </w:p>
    <w:p>
      <w:pPr/>
      <w:r>
        <w:rPr>
          <w:b/>
        </w:rPr>
        <w:t>POSSIBLE 2021:</w:t>
      </w:r>
      <w:r>
        <w:t xml:space="preserve"> Pricing carbon in the aviation sector: Evidence from the European emissions trading system — https://doi.org/10.1016/j.jeem.2021.102591</w:t>
      </w:r>
    </w:p>
    <w:p>
      <w:pPr/>
      <w:r>
        <w:rPr>
          <w:b/>
        </w:rPr>
        <w:t>Shared claim-specific concepts:</w:t>
      </w:r>
      <w:r>
        <w:t xml:space="preserve"> find, emission, sector, transport, but, also; EU scope visible. This is a provisional connection, not an outcome finding.</w:t>
      </w:r>
    </w:p>
    <w:p>
      <w:pPr>
        <w:pStyle w:val="SourceNote"/>
      </w:pPr>
      <w:r>
        <w:rPr>
          <w:b/>
        </w:rPr>
        <w:t>Available abstract (not full text):</w:t>
      </w:r>
      <w:r>
        <w:t xml:space="preserve"> A policy change in the European Union's Emissions Trading Scheme (EU ETS) provides us with a unique opportunity to measure the impact of carbon pricing on aviation, the most climate-intensive mode of transport. We implement a difference-in-differences strategy on a sample based on all flights within Europe from 2010 to 2016 to examine the causal impact of the EU ETS on emissions and supply. We find that the EU ETS reduced emissions by 4.7% in the regulated routes relative to the counterfactual. When we restrict the sample to short-haul flights, routes on which competition from other means of transport may exist (less than 1,000 km), the reduction in emissions is 10.7%. Finally, the reduction in emissions is also high for low-cost airlines (−11%) but it is not statistically significant for network airlines. In sum, the EU ETS has helped to mitigate emission growth by 3 Mt CO2 per year during the period analyzed, but not to reduce absolute emissions in the sector, as needed.</w:t>
      </w:r>
    </w:p>
    <w:p>
      <w:pPr/>
      <w:r>
        <w:rPr>
          <w:b/>
        </w:rPr>
        <w:t>POSSIBLE 2021:</w:t>
      </w:r>
      <w:r>
        <w:t xml:space="preserve"> Decoupling of urban CO 2 and air pollutant emission reductions during the European SARS-CoV-2 lockdown — https://doi.org/10.5194/acp-21-3091-2021</w:t>
      </w:r>
    </w:p>
    <w:p>
      <w:pPr/>
      <w:r>
        <w:rPr>
          <w:b/>
        </w:rPr>
        <w:t>Shared claim-specific concepts:</w:t>
      </w:r>
      <w:r>
        <w:t xml:space="preserve"> find, emission, reductions, energy, long-term, mitigation; EU scope visible. This is a provisional connection, not an outcome finding.</w:t>
      </w:r>
    </w:p>
    <w:p>
      <w:pPr>
        <w:pStyle w:val="SourceNote"/>
      </w:pPr>
      <w:r>
        <w:rPr>
          <w:b/>
        </w:rPr>
        <w:t>Available abstract (not full text):</w:t>
      </w:r>
      <w:r>
        <w:t xml:space="preserve"> Abstract. Lockdown and the associated massive reduction in people’s mobility imposed by SARS-CoV-2 mitigation measures across the globe provide a unique sensitivity experiment to investigate impacts on carbon and air pollution emissions. We present an integrated observational analysis based on long-term in-situ multispecies eddy flux measurements, allowing to quantify near real time changes of urban surface emissions for key air quality and climate tracers. During the first European SARS-CoV-2 wave we find that the emission reduction of classic air pollutants decoupled from CO2 and was significantly larger. These differences can only be rationalized by the different nature of urban combustion sources, and point towards a systematic bias of extrapolated urban NOx emissions in state-of the art emission models. The analysis suggests that European policies, shifting residential, public and commercial energy demand towards cleaner combustion, have helped to improve air quality more than expected, and that the urban NOx flux remains to be dominated (e.g. &gt; 90 %) by traffic.</w:t>
      </w:r>
    </w:p>
    <w:p>
      <w:pPr/>
      <w:r>
        <w:rPr>
          <w:b/>
        </w:rPr>
        <w:t>POSSIBLE 2020:</w:t>
      </w:r>
      <w:r>
        <w:t xml:space="preserve"> The European Union Emissions Trading System reduced CO 2 emissions despite low prices — https://doi.org/10.1073/pnas.1918128117</w:t>
      </w:r>
    </w:p>
    <w:p>
      <w:pPr/>
      <w:r>
        <w:rPr>
          <w:b/>
        </w:rPr>
        <w:t>Shared claim-specific concepts:</w:t>
      </w:r>
      <w:r>
        <w:t xml:space="preserve"> find, emission, reductions; EU scope visible. This is a provisional connection, not an outcome finding.</w:t>
      </w:r>
    </w:p>
    <w:p>
      <w:pPr>
        <w:pStyle w:val="SourceNote"/>
      </w:pPr>
      <w:r>
        <w:rPr>
          <w:b/>
        </w:rPr>
        <w:t>Available abstract (not full text):</w:t>
      </w:r>
      <w:r>
        <w:t xml:space="preserve"> International carbon markets are an appealing and increasingly popular tool to regulate carbon emissions. By putting a price on carbon, carbon markets reshape incentives faced by firms and reduce the value of emissions. How effective are carbon markets? Observers have tended to infer their effectiveness from market prices. The general belief is that a carbon market needs a high price in order to reduce emissions. As a result, many observers remain skeptical of initiatives such as the European Union Emissions Trading System (EU ETS), whose price remained low (compared to the social cost of carbon). In this paper, we assess whether the EU ETS reduced [Formula: see text] emissions despite low prices. We motivate our study by documenting that a carbon market can be effective if it is a credible institution that can plausibly become more stringent in the future. In such a case, firms might cut emissions even though market prices are low. In fact, low prices can be a signal that the demand for carbon permits weakens. Thus, low prices are compatible with successful carbon markets. To assess whether the EU ETS reduced carbon emissions even as permits were cheap, we estimate counterfactual carbon emissions using an original sectoral emissions dataset. We find that the EU ETS saved about 1.2 billion tons of [Formula: see text] between 2008 and 2016 (3.8%) relative to a world without carb</w:t>
      </w:r>
    </w:p>
    <w:p>
      <w:pPr/>
      <w:r>
        <w:rPr>
          <w:b/>
        </w:rPr>
        <w:t>POSSIBLE 2020:</w:t>
      </w:r>
      <w:r>
        <w:t xml:space="preserve"> The role of woody biomass for reduction of fossil GHG emissions in the future North European energy sector — https://doi.org/10.1016/j.apenergy.2020.115360</w:t>
      </w:r>
    </w:p>
    <w:p>
      <w:pPr/>
      <w:r>
        <w:rPr>
          <w:b/>
        </w:rPr>
        <w:t>Shared claim-specific concepts:</w:t>
      </w:r>
      <w:r>
        <w:t xml:space="preserve"> find, emission, reductions, energy, sector, transport; EU scope visible. This is a provisional connection, not an outcome finding.</w:t>
      </w:r>
    </w:p>
    <w:p>
      <w:pPr>
        <w:pStyle w:val="SourceNote"/>
      </w:pPr>
      <w:r>
        <w:rPr>
          <w:b/>
        </w:rPr>
        <w:t>Available abstract (not full text):</w:t>
      </w:r>
      <w:r>
        <w:t xml:space="preserve"> In this study, we analyse the use of woody biomass in the heat and power sector in Northern Europe towards 2040 and quantify the fossil GHG-emission reductions from biomass use at different carbon price levels. The applied partial equilibrium energy system model has endogenous capacity investments in relevant heat and power technologies. The results show that use of woody biomass can reduce the direct emissions from the Northern European power and heat sector by 4–27% for carbon prices in the range of 5–103 €/tonne CO2eq in 2030 compared to a scenario where woody biomass is not available for power and heat generation. The cost of delivering heat and electricity increases with 0.2–0.7% when wood chips are excluded, depending on the carbon price. At a low carbon price, the use of natural gas, wind, and coal power generation increases when biomass is not available for power and heat generation. At higher carbon prices, solar power, wind power, power-to-heat, and natural gas become increasingly competitive, and therefore the use of biomass has a lower impact on emission reductions. Using the same biomass volumes for liquid transport fuel, we find a higher impact on fossil carbon emission reductions but substantially higher costs. The main conclusion from this study is that woody biomass contribution to lowering the fossil emission from heat and power generation in the Northern Euro</w:t>
      </w:r>
    </w:p>
    <w:p>
      <w:pPr>
        <w:pStyle w:val="Heading2"/>
      </w:pPr>
      <w:r>
        <w:t>701.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2025:</w:t>
      </w:r>
      <w:r>
        <w:t xml:space="preserve"> The duck curve in electricity demand — https://doi.org/10.4337/9781035310371.000120</w:t>
      </w:r>
    </w:p>
    <w:p>
      <w:pPr/>
      <w:r>
        <w:rPr>
          <w:b/>
        </w:rPr>
        <w:t>Shared claim-specific concepts:</w:t>
      </w:r>
      <w:r>
        <w:t xml:space="preserve"> electricity, either, electric, united; EU scope not established. This is a provisional connection, not an outcome finding.</w:t>
      </w:r>
    </w:p>
    <w:p>
      <w:pPr>
        <w:pStyle w:val="SourceNote"/>
      </w:pPr>
      <w:r>
        <w:rPr>
          <w:b/>
        </w:rPr>
        <w:t>Available abstract (not full text):</w:t>
      </w:r>
      <w:r>
        <w:t xml:space="preserve"> The “duck curve” is jargon in the energy industry that refers to a graph having the shape of a duck and showing the amount of power dispatched by the grid across the day. The term appeared in around 2012 and was established by the California Independent System Operator (CAISO) in the United States. It refers to the so-called duck problem that is encountered in economies with high penetration by solar power. Electricity generated from solar power starts decreasing until complete darkness falls, when there is no more sunshine. Unless there are sufficient solar energy storage amendments, the electricity demand at nighttime has to be met with other energy sources, either renewable or nonrenewable ones. The problem with evening times is that at those times demand reaches a peak because household members are at home and in need of electric power to satisfy all household needs.</w:t>
      </w:r>
    </w:p>
    <w:p>
      <w:pPr/>
      <w:r>
        <w:rPr>
          <w:b/>
        </w:rPr>
        <w:t>POSSIBLE 2025:</w:t>
      </w:r>
      <w:r>
        <w:t xml:space="preserve"> Climate crisis, war and pandemic: How weather and global events have shaped UK electricity demand — https://doi.org/10.1016/j.jenvman.2025.126937</w:t>
      </w:r>
    </w:p>
    <w:p>
      <w:pPr/>
      <w:r>
        <w:rPr>
          <w:b/>
        </w:rPr>
        <w:t>Shared claim-specific concepts:</w:t>
      </w:r>
      <w:r>
        <w:t xml:space="preserve"> electricity, carbon; EU scope not established. This is a provisional connection, not an outcome finding.</w:t>
      </w:r>
    </w:p>
    <w:p>
      <w:pPr>
        <w:pStyle w:val="SourceNote"/>
      </w:pPr>
      <w:r>
        <w:rPr>
          <w:b/>
        </w:rPr>
        <w:t>Available abstract (not full text):</w:t>
      </w:r>
      <w:r>
        <w:t xml:space="preserve"> The present study, using high-frequency hourly data from 2009 to 2023, investigates the impacts of weather conditions, carbon prices, COVID-19 pandemic, and the Russia-Ukraine war on electricity demand in the UK. Using a semi-parametric estimation technique - generalised additive models - we find that temperature, carbon prices, and snowfall have a significant non-linear impact on electricity usage. Temperature and electricity demand exhibit a non-linear, U-shaped pattern, with electricity demand decreasing during mild weather and sharply rising during extremely hot or cold weather. Carbon prices moderate the temperature effect on electricity demand, with higher prices reducing this effect. Snowfall and rain increase electricity demand due to additional heating needs. Our analyses also suggest that global events such as the COVID-19 pandemic and the Russia-Ukraine war have strongly affected the trajectory of electricity demand, reflecting broader economic disruptions driven by global and geopolitical events. The results remain consistent after controlling for electricity prices. These findings highlight the importance of adaptive energy policies, including flexible carbon pricing strategies, to effectively manage electricity demand during extreme weather events and geopolitical crises.</w:t>
      </w:r>
    </w:p>
    <w:p>
      <w:pPr/>
      <w:r>
        <w:rPr>
          <w:b/>
        </w:rPr>
        <w:t>POSSIBLE 2025:</w:t>
      </w:r>
      <w:r>
        <w:t xml:space="preserve"> Electricity Demand Characteristics in the Energy Transition Pathway Under the Carbon Neutrality Goal for China — https://doi.org/10.3390/su17041759</w:t>
      </w:r>
    </w:p>
    <w:p>
      <w:pPr/>
      <w:r>
        <w:rPr>
          <w:b/>
        </w:rPr>
        <w:t>Shared claim-specific concepts:</w:t>
      </w:r>
      <w:r>
        <w:t xml:space="preserve"> electricity, decrease, significantly, pathway, pathways, carbon; EU scope not established. This is a provisional connection, not an outcome finding.</w:t>
      </w:r>
    </w:p>
    <w:p>
      <w:pPr>
        <w:pStyle w:val="SourceNote"/>
      </w:pPr>
      <w:r>
        <w:rPr>
          <w:b/>
        </w:rPr>
        <w:t>Available abstract (not full text):</w:t>
      </w:r>
      <w:r>
        <w:t xml:space="preserve"> The energy transition towards achieving carbon neutrality is marked by the decarbonization of the power system and a high degree of electrification in end-use sectors. The decarbonization of the power system primarily relies on large-scale renewable energy, nuclear power, and fossil fuel-based power with carbon capture technologies. This structure of power supply introduces significant uncertainty in electricity supply. Due to the technological progress in end-use sectors and spatial reallocation of industries in China, the load curve and power supply curve is very different today. However, most studies’ analyses of future electricity systems are based on today’s load curve, which could be misleading when seeking to understand future electricity systems. Therefore, it is essential to thoroughly analyze changes in end-use load curves to better align electricity demand with supply. This paper analyzes the characteristics of electricity demand load under China’s future energy transition and economic transformation pathways using the Integrated Energy and Environment Policy Assessment model of China (IPAC). It examines the electricity and energy usage characteristics of various sectors in six typical regions, provides 24-h load curves for two representative days, and evaluates the effectiveness of demand-side response in selected provinces in 2050. The study reveals that, with the </w:t>
      </w:r>
    </w:p>
    <w:p>
      <w:pPr/>
      <w:r>
        <w:rPr>
          <w:b/>
        </w:rPr>
        <w:t>POSSIBLE 2025:</w:t>
      </w:r>
      <w:r>
        <w:t xml:space="preserve"> Supply and Demand Situation and Development Pathway of China's Green Electricity and Green Certificate Markets — https://doi.org/10.1007/978-981-96-2042-5_27</w:t>
      </w:r>
    </w:p>
    <w:p>
      <w:pPr/>
      <w:r>
        <w:rPr>
          <w:b/>
        </w:rPr>
        <w:t>Shared claim-specific concepts:</w:t>
      </w:r>
      <w:r>
        <w:t xml:space="preserve"> electricity, pathway;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Pathways for Net-Zero: How Future Electricity Demand Shapes India’s Power Sector Decarbonization Strategies — https://doi.org/10.2139/ssrn.5964754</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pStyle w:val="Heading2"/>
      </w:pPr>
      <w:r>
        <w:t>702.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2024:</w:t>
      </w:r>
      <w:r>
        <w:t xml:space="preserve"> The European Union and the Wider Europe — https://doi.org/10.1017/9781009230322.017</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2024:</w:t>
      </w:r>
      <w:r>
        <w:t xml:space="preserve"> European Union Law — https://doi.org/10.1017/9781009230322</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2024:</w:t>
      </w:r>
      <w:r>
        <w:t xml:space="preserve"> European Integration and the Treaties on European Union — https://doi.org/10.1017/9781009230322.008</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2023:</w:t>
      </w:r>
      <w:r>
        <w:t xml:space="preserve"> Economic Interdependence between Norway and The European Union Compared to Switzerland and The European Union — https://doi.org/10.34010/gpsjournal.v7i1.8697</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Norway and Switzerland have a history of being part of the European Union (EU) and eventually opting out. Though, as a part of the European Economic Area allows Norway to integrate and participate with the EU’s single market. Similarly, Switzerland can participate in and access the European single market through a set of bilateral agreements with the EU. Consequently, both countries must accept a set of rules by the EU. This paper aims to compare and examine the bilateral relations maintained between Norway and the EU compared to Switzerland and the EU in the field of economic cooperation namely the trade and investment sectors in the aftermath of the financial crisis. This paper incorporates two types of analysis. The first part uses quantitative methods of descriptive statistical analysis and is followed by strength, weakness, opportunities, and threat (SWOT) analysis. This paper demonstrates that the bilateral relations between Norway and the EU as well as for Switzerland and the EU have created conditions of interdependence for both the EU and its partners, namely, Norway and Switzerland. Keywords— European Union, Interdependence, Norway, Switzerland</w:t>
      </w:r>
    </w:p>
    <w:p>
      <w:pPr/>
      <w:r>
        <w:rPr>
          <w:b/>
        </w:rPr>
        <w:t>POSSIBLE 2022:</w:t>
      </w:r>
      <w:r>
        <w:t xml:space="preserve"> The cultural policy of the European Union — https://doi.org/10.4337/9781800375932.00021</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The study reviews the development of EU cultural policy over the past decades. It sets out its foundations in the Treaty on European Union and the Treaty on the Functioning of the European Union, and the role of the EU's various institutions. It assesses the consecutive generations of programmes such as Ariane, Kaleidoscope and Raphael, the European Capital of Culture, the Culture 2000 Programme and its successors, and the Creative Europe Programme (2014 to 2020). The impact of the UNESCO Convention on Cultural Diversity is covered as well. The author concludes that the Union still regards cultural policy mainly as a means to further integration. Although, by now the identity building function of EU cultural policy became less manifest, the different cultural programmes follow a much more comprehensive set of goals. However, some inherent aspects of cultural diversity are still not tackled properly, especially the problem of ethnic minorities.</w:t>
      </w:r>
    </w:p>
    <w:p>
      <w:pPr/>
      <w:r>
        <w:rPr>
          <w:b/>
        </w:rPr>
        <w:t>POSSIBLE 2022:</w:t>
      </w:r>
      <w:r>
        <w:t xml:space="preserve"> Gender Mainstreaming the European Union Energy Transition — https://doi.org/10.3390/en15218087</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This paper explores gender dimensions of the energy transition in the European Union (EU). The EU has set out its ambitions for an equitable transition to clean secure energy. It has also set out it objectives for gender equality. In this paper, I implement a systematic literature review to explore the intersection of gender issues with the energy transition in the EU. There is little peer reviewed literature in this area. Analysis of academic papers shows most focus on social science rather than technical or engineering problems. A critical review of the grey literature including EU policies and reports shows that there is a disconnect between EU gender equality and clean energy plans and that gender has yet to be mainstreamed into the EU energy transition. This review identifies opportunities to mainstream gender into EU energy policies by linking to EU gender equality objectives, and connecting to gender-energy research themes.</w:t>
      </w:r>
    </w:p>
    <w:p>
      <w:pPr/>
      <w:r>
        <w:rPr>
          <w:b/>
        </w:rPr>
        <w:t>POSSIBLE 2022:</w:t>
      </w:r>
      <w:r>
        <w:t xml:space="preserve"> A comprehensive indicator set for measuring the sustainable energy performance in the European Union — https://doi.org/10.1201/9781003259954-2</w:t>
      </w:r>
    </w:p>
    <w:p>
      <w:pPr/>
      <w:r>
        <w:rPr>
          <w:b/>
        </w:rPr>
        <w:t>Shared claim-specific concepts:</w:t>
      </w:r>
      <w:r>
        <w:t xml:space="preserve"> union, set, out, approach; EU scope visible. This is a provisional connection, not an outcome finding.</w:t>
      </w:r>
    </w:p>
    <w:p>
      <w:pPr>
        <w:pStyle w:val="SourceNote"/>
      </w:pPr>
      <w:r>
        <w:rPr>
          <w:b/>
        </w:rPr>
        <w:t>Available abstract (not full text):</w:t>
      </w:r>
      <w:r>
        <w:t xml:space="preserve"> Clean energy transition is the key for sustainable energy. In spite of the positive tendencies, the Covid-19 has also raised many issues and highlighted the importance of the topic. The Sustainable Development Goal 7 and 13 may serve as a basis to achieve affordable and clean energy and to combat global climate change. Meeting these objectives needs well-designed energy and environmental policy with a strong holistic approach. This study aims to build a comprehensive indicator set for measuring the sustainable energy performance of the European Union Member States. To determine the indicator set we follow rigorous steps, the methodology of which is described in detail. Finally, we present the list of eight selected indicators, from which a composite indicator can be built. Additionally, the overall structure of the dataset is analyzed through correlation analysis, stationarity and normality tests. Standardization is carried out to make the variables comparable with different units. Respecting the main dimensions of the theory of sustainable development, we also determine the weighting factors and we put them up for discussion.</w:t>
      </w:r>
    </w:p>
    <w:p>
      <w:pPr/>
      <w:r>
        <w:rPr>
          <w:b/>
        </w:rPr>
        <w:t>POSSIBLE 2021:</w:t>
      </w:r>
      <w:r>
        <w:t xml:space="preserve"> The European Union and Yemen — https://doi.org/10.4324/9780429317873-38</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Yemen is one of the most volatile countries in the Middle East not least as the site of a conflict which has claimed thousands of lives and caused humanitarian catastrophe. Despite this, the country has always occupied a marginal place in the foreign policy of the European Union (EU). This chapter will provide an overview of EU–Yemeni relations since the formation of the modern Republic of Yemen in 1990 with a focus on policies of the Union in the areas of development and political reform as set out in the Country Strategy Paper. It will then examine the role played by the EU in response to the 2011 uprising and in the transitional period that followed, in particular in relation to the National Dialogue Conference. Finally, the chapter will examine the response of the EU to the conflict that has devastated the country since 2015 and, especially, European efforts to mediate between the warring parties. The chapter will examine the extent to which the efforts of the EU have been undermined by the sometimes divergent interests of individual Member States in the region more broadly. It will conclude with a reflection on the possible future course of EU–Yemeni relations.</w:t>
      </w:r>
    </w:p>
    <w:p>
      <w:pPr/>
      <w:r>
        <w:rPr>
          <w:b/>
        </w:rPr>
        <w:t>POSSIBLE 2021:</w:t>
      </w:r>
      <w:r>
        <w:t xml:space="preserve"> Diplomatic service of the European Union — https://doi.org/10.37772/2309-9275-2021-2(17)-3</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Problem setting. Today the European Union interacts with the whole world and represents the interests and values of the European community far beyond one continent. Carrying out such activities provides for the existence of effective institutions for its implementation, which today are the European External Action Service and the European Uniondelegations around the world. It significantly differs from the classical manifestations of diplomacy, which determines the relevance of research into the establishment and development of the European Union diplomatic service. Moreover, understanding the process of formation and features of European Union diplomacy is interesting for domestic researchers of European Union law given the pro-European aspirations of Ukraine. Analysis of recent researches and publications. Certain aspects of this topic have been studied by suchdomesticscientistsas F. Baranovsky, M. Hnatyuk, O. Grinenko, O. Gladenko, M. Entin, O. Opanasyuk-Radlinska, E. Ryaboshtan, D. Tkachenko, O. Turchenko, Y.Sergienko, V. Streltsova, G. Utko, O. Fisun, V. Tsivaty, V. Shamraeva, O. Shapovalova, etc. Target of research is to research the basic preconditions and features of the establishment and development of the European Union diplomatic service and its functioning in today’s conditions. Article’s main body. The article is devoted to the study of the main prerequisites and f</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union, out, other, hand;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2020:</w:t>
      </w:r>
      <w:r>
        <w:t xml:space="preserve"> European Union — https://doi.org/10.1017/9781839700507.019</w:t>
      </w:r>
    </w:p>
    <w:p>
      <w:pPr/>
      <w:r>
        <w:rPr>
          <w:b/>
        </w:rPr>
        <w:t>Shared claim-specific concepts:</w:t>
      </w:r>
      <w:r>
        <w:t xml:space="preserve"> union, set, out, periods, before; EU scope visible. This is a provisional connection, not an outcome finding.</w:t>
      </w:r>
    </w:p>
    <w:p>
      <w:pPr>
        <w:pStyle w:val="SourceNote"/>
      </w:pPr>
      <w:r>
        <w:rPr>
          <w:b/>
        </w:rPr>
        <w:t>Available abstract (not full text):</w:t>
      </w:r>
      <w:r>
        <w:t xml:space="preserve"> INTRODUCTION As concerns the issue of limitation periods on claims in tort, there are three dimensions in EU law. First, limitation of claims brought against the EU itself has been regulated. This is the primary subject matter of the present report. Second, in striving to harmonise national laws and ensure the functioning of the common market, the EU enacts directives requiring the implementation of specified regulations into domestic law. At times these directives concern tort law, and make reference in some scope to the issue of limitation periods. Third, the issue of expiry of claims appears in conjunction with the liability of a Member State for damage caused by a violation of EU law; such liability is subject to a mixed set of regulations, both national and European. The second and third issues are the focus of the last fragment of the report. DEFINITION OF PRESCRIPTION Expiry of a claim for damages against the EU 1 is regulated in art 46 of the Statute of the Court of Justice of the European Union. Article 46 Proceedings against the Union in matters arising from non-contractual liability shall be barred after a period of five years from the occurrence of the event giving rise thereto. The period of limitation shall be interrupted if proceedings are instituted before the Court of Justice or if prior to such proceedings an application is made by the aggrieved party to the r</w:t>
      </w:r>
    </w:p>
    <w:p>
      <w:pPr/>
      <w:r>
        <w:rPr>
          <w:b/>
        </w:rPr>
        <w:t>POSSIBLE 2020:</w:t>
      </w:r>
      <w:r>
        <w:t xml:space="preserve"> Policies for transitioning towards a circular economy: Expectations from the European Union (EU) — https://doi.org/10.1016/j.resconrec.2019.104634</w:t>
      </w:r>
    </w:p>
    <w:p>
      <w:pPr/>
      <w:r>
        <w:rPr>
          <w:b/>
        </w:rPr>
        <w:t>Shared claim-specific concepts:</w:t>
      </w:r>
      <w:r>
        <w:t xml:space="preserve"> union, set, out, hand; EU scope visible. This is a provisional connection, not an outcome finding.</w:t>
      </w:r>
    </w:p>
    <w:p>
      <w:pPr>
        <w:pStyle w:val="SourceNote"/>
      </w:pPr>
      <w:r>
        <w:rPr>
          <w:b/>
        </w:rPr>
        <w:t>Available abstract (not full text):</w:t>
      </w:r>
      <w:r>
        <w:t xml:space="preserve"> The circular economy is a much discussed pathway towards sustainability. While some scholarly work has been carried out on barriers towards a circular economy, there are relatively few academic studies on policies that may accelerate a transition towards a circular economy. Those that focus on policies mostly scrutinize existing policies. The study at hand utilizes data from semi-structured interviews with 47 public and private sector circular economy experts from the European Union to explore expectations regarding circular economy policies, with expectations possibly going beyond existing policies. Expectations identified via this work include more robust standards and norms in production, expansion of circular procurement, tax relief for circular products, liberalization of waste trading and its facilitation through virtual platforms, support for eco-industrial parks, and awareness campaigns. The set of policy recommendations is presented from a life-cycle perspective that is necessary for a transition towards a circular economy. The study aims to contribute to the nascent body of circular economy literature concerning policies and may be of particular interest to practitioners.</w:t>
      </w:r>
    </w:p>
    <w:p>
      <w:pPr>
        <w:pStyle w:val="Heading2"/>
      </w:pPr>
      <w:r>
        <w:t>703.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two, transition, pathways, energy, system, current;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2023:</w:t>
      </w:r>
      <w:r>
        <w:t xml:space="preserve"> An assessment of different transition pathways to a green global economy — https://doi.org/10.1038/s43247-023-01109-5</w:t>
      </w:r>
    </w:p>
    <w:p>
      <w:pPr/>
      <w:r>
        <w:rPr>
          <w:b/>
        </w:rPr>
        <w:t>Shared claim-specific concepts:</w:t>
      </w:r>
      <w:r>
        <w:t xml:space="preserve"> transition, pathways, renewable, energy, sector; EU scope not established. This is a provisional connection, not an outcome finding.</w:t>
      </w:r>
    </w:p>
    <w:p>
      <w:pPr>
        <w:pStyle w:val="SourceNote"/>
      </w:pPr>
      <w:r>
        <w:rPr>
          <w:b/>
        </w:rPr>
        <w:t>Available abstract (not full text):</w:t>
      </w:r>
      <w:r>
        <w:t xml:space="preserve"> Abstract Transition to green economy is urgently needed in order to reach the climate targets by the end of this century. We investigate the optimal pathways for transitioning of the global economy from one dominated by the fossil-fueled (brown) sector to one dominated by the zero-emission (green) sector. We consider three transition regimes: a "Linear" regime with a constant growth rate of the green sector, a "Delayed" regime composed of a much lower early growth rate until 2050 followed by a higher growth rate afterwards, and a "Fast" regime composed of a much higher early growth rate until 2050 followed by a slower growth rate afterwards. Our results indicate that the labor market is more sensitive to the pace of transition than the capital market. We also find that slow green growth under the "Delayed" regime induces higher rates of abatement in the brown sector which are amplified by early R&amp;D investment in green capital productivity. Finally, we show that rapid transition to green economy requires substantial upfront investment in renewable energy infrastructure and human capital development which in turn, reduces greenhouse gas emissions by 60% in 2050 compared to the "Delayed" regime.</w:t>
      </w:r>
    </w:p>
    <w:p>
      <w:pPr/>
      <w:r>
        <w:rPr>
          <w:b/>
        </w:rPr>
        <w:t>POSSIBLE 2023:</w:t>
      </w:r>
      <w:r>
        <w:t xml:space="preserve"> AdJUST: Potential Pathways of a Just Energy Transition in Europe — https://doi.org/10.20446/jep-2414-3197-39-3-139</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The impact of methane leakage on the role of natural gas in the European energy transition — https://doi.org/10.1038/s41467-023-41527-9</w:t>
      </w:r>
    </w:p>
    <w:p>
      <w:pPr/>
      <w:r>
        <w:rPr>
          <w:b/>
        </w:rPr>
        <w:t>Shared claim-specific concepts:</w:t>
      </w:r>
      <w:r>
        <w:t xml:space="preserve"> transition, pathways, renewable, energy, system, current; EU scope visible. This is a provisional connection, not an outcome finding.</w:t>
      </w:r>
    </w:p>
    <w:p>
      <w:pPr>
        <w:pStyle w:val="SourceNote"/>
      </w:pPr>
      <w:r>
        <w:rPr>
          <w:b/>
        </w:rPr>
        <w:t>Available abstract (not full text):</w:t>
      </w:r>
      <w:r>
        <w:t xml:space="preserve"> Abstract Decarbonising energy systems is a prevalent topic in the current literature on climate change mitigation, but the additional climate burden caused by methane emissions along the natural gas value chain is rarely discussed at the system level. Considering a two-basket greenhouse gas neutrality objective (both CO 2 and methane), we model cost-optimal European energy transition pathways towards 2050. Our analysis shows that adoption of best available methane abatement technologies can entail an 80% reduction in methane leakage, limiting the additional environmental burden to 8% of direct CO 2 emissions (vs. 35% today). We show that, while renewable energy sources are key drivers of climate neutrality, the role of natural gas strongly depends on actions to abate both associated CO 2 and methane emissions. Moreover, clean hydrogen (produced mainly from renewables) can replace natural gas in a substantial proportion of its end-uses, satisfying nearly a quarter of final energy demand in a climate-neutral Europe.</w:t>
      </w:r>
    </w:p>
    <w:p>
      <w:pPr/>
      <w:r>
        <w:rPr>
          <w:b/>
        </w:rPr>
        <w:t>POSSIBLE 2022:</w:t>
      </w:r>
      <w:r>
        <w:t xml:space="preserve"> Policy Instruments to Support Agroecological Transitions in Europe — https://doi.org/10.1111/1746-692x.12367</w:t>
      </w:r>
    </w:p>
    <w:p>
      <w:pPr/>
      <w:r>
        <w:rPr>
          <w:b/>
        </w:rPr>
        <w:t>Shared claim-specific concepts:</w:t>
      </w:r>
      <w:r>
        <w:t xml:space="preserve"> two, transition, system; EU scope visible. This is a provisional connection, not an outcome finding.</w:t>
      </w:r>
    </w:p>
    <w:p>
      <w:pPr>
        <w:pStyle w:val="SourceNote"/>
      </w:pPr>
      <w:r>
        <w:rPr>
          <w:b/>
        </w:rPr>
        <w:t>Available abstract (not full text):</w:t>
      </w:r>
      <w:r>
        <w:t xml:space="preserve"> Summary Agroecological transitions have the potential to deliver multiple environmental and social benefits. However socio‐economic barriers have prevented those transitions in many European contexts. This article aims to inform policymakers about policy instruments that can foster agroecological transitions in Europe, especially by removing key socio‐economic barriers. A multi‐step methodology was carried out over a two‐year period in 15 case studies across Europe. The case studies represent farming systems that are in the process of initiating or enhancing the transition. Data collection relied on a participatory process, involving a variety of transdisciplinary actors. Study findings identify three major themes of barriers to agroecological transitions, namely actor capacity , value chain and policy . To address these barriers, policy instruments should consider the farming system’s stage in the transition pathway to take account of the different priorities of local actors. At the stage of initiating the transition, removing the barriers requires improvements in knowledge delivery mechanisms by strengthening advisory services and reducing decision‐makers’ uncertainty. At the stage of enhancing the transition, a focus on social capital is needed, for example by strengthening networking and cooperation measures. Generally, more attention towards state interventions which suppo</w:t>
      </w:r>
    </w:p>
    <w:p>
      <w:pPr/>
      <w:r>
        <w:rPr>
          <w:b/>
        </w:rPr>
        <w:t>POSSIBLE 2022:</w:t>
      </w:r>
      <w:r>
        <w:t xml:space="preserve"> Reflecting the energy transition from a European perspective and in the global context—Relevance of solar photovoltaics benchmarking two ambitious scenarios — https://doi.org/10.1002/pip.3659</w:t>
      </w:r>
    </w:p>
    <w:p>
      <w:pPr/>
      <w:r>
        <w:rPr>
          <w:b/>
        </w:rPr>
        <w:t>Shared claim-specific concepts:</w:t>
      </w:r>
      <w:r>
        <w:t xml:space="preserve"> two, transition, renewable, energy, power, sector; EU scope visible. This is a provisional connection, not an outcome finding.</w:t>
      </w:r>
    </w:p>
    <w:p>
      <w:pPr>
        <w:pStyle w:val="SourceNote"/>
      </w:pPr>
      <w:r>
        <w:rPr>
          <w:b/>
        </w:rPr>
        <w:t>Available abstract (not full text):</w:t>
      </w:r>
      <w:r>
        <w:t xml:space="preserve"> Abstract Multiple energy‐related crises require a fast transition towards a sustainable energy system. The European Green Deal aims for zero CO 2 emission by 2050, while accelerating climate change impacts obligate a faster phase‐out of fossil fuels. Energy transition studies for Europe at and near 100% renewable energy are used as a benchmark for two newly introduced scenarios for Europe reaching zero CO 2 emissions by 2050 and 2040. A technology‐rich energy system model was applied in hourly resolution for Europe in 20 interconnected regions and in full sector coupling covering all energy demands. The results reveal a cost‐neutral energy transition towards 2050 based on declining levelised cost of electricity and a pathway with 9% higher energy costs leading to 17% lower total CO 2 emissions with an accelerated energy transition by 2040. The two scenarios find shares of solar photovoltaic (PV) in total generation of 61%–63% by 2050, the highest ever estimated for Europe, still below the highest global average shares ranging between 75% and 77% form three independent studies. The central energy system components are solar PV, wind power, batteries, electrolysers and CO 2 direct air capture for carbon capture and utilisation. The core characteristic of the European energy future may be best described by a power‐to‐X economy, which may evolve on the global scale to a solar‐to‐X </w:t>
      </w:r>
    </w:p>
    <w:p>
      <w:pPr/>
      <w:r>
        <w:rPr>
          <w:b/>
        </w:rPr>
        <w:t>POSSIBLE 2022:</w:t>
      </w:r>
      <w:r>
        <w:t xml:space="preserve"> Pathways of Transition to Organic Agriculture in Morocco — https://doi.org/10.3390/world3030040</w:t>
      </w:r>
    </w:p>
    <w:p>
      <w:pPr/>
      <w:r>
        <w:rPr>
          <w:b/>
        </w:rPr>
        <w:t>Shared claim-specific concepts:</w:t>
      </w:r>
      <w:r>
        <w:t xml:space="preserve"> transition, pathways, sector, system, current, area; EU scope not established. This is a provisional connection, not an outcome finding.</w:t>
      </w:r>
    </w:p>
    <w:p>
      <w:pPr>
        <w:pStyle w:val="SourceNote"/>
      </w:pPr>
      <w:r>
        <w:rPr>
          <w:b/>
        </w:rPr>
        <w:t>Available abstract (not full text):</w:t>
      </w:r>
      <w:r>
        <w:t xml:space="preserve"> Agriculture is a vital sector in Morocco through its contribution to the gross domestic product (13%) and workforce (30%). However, the sector faces important sustainability challenges due to Morocco’s dependence on rain-fed crops for 90% of the production and its vulnerability to climate change. In this context, organic agriculture presents itself as a promising alternative to valorize production and mitigate climate change effects. This article describes the dynamics and development of the organic agriculture niche in Morocco through the lens of the Multi-Level Perspective (MLP) on socio-technical transitions. The MLP is a widely used framework that bases its analysis on transitions being the result of the interaction of niches, socio-technical regimes, and socio-technical landscape. Results of the literature review and semi-structured interviews show that, although the organic niche is relatively well established (11,000 ha of organic land area in 2019), it is still developing at a slower rate than expected due to multiple setbacks. While organic farming does solve many sustainability challenges that Moroccan agriculture faces, it still lacks the infrastructure and human capital to succeed as a niche. All in all, organic farming is still in the first transition stages and can follow a multitude of pathways before becoming relevant in the current agri-food system.</w:t>
      </w:r>
    </w:p>
    <w:p>
      <w:pPr/>
      <w:r>
        <w:rPr>
          <w:b/>
        </w:rPr>
        <w:t>POSSIBLE 2020:</w:t>
      </w:r>
      <w:r>
        <w:t xml:space="preserve"> Developing Transition Pathways towards Sustainable Mobility in European Cities — https://openalex.org/W3217687997</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To create a climate-neutral Europe and liveable cities by 2050, transitions towards sustainable urban mobility need to be accelerated. To make these goals possible, cities need a clear long-term vision and a strategic pathway charting these transitions– as well as practical skills in relation to implementation in shorter-term. This report provides an evidence-based conceptual framework for how such transition pathways might look and implementation strategies for them, whilst and implementation strategies, and provides two sets of practical guidance to support European cities in developing these.</w:t>
      </w:r>
    </w:p>
    <w:p>
      <w:pPr>
        <w:pStyle w:val="Heading2"/>
      </w:pPr>
      <w:r>
        <w:t>704.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2024:</w:t>
      </w:r>
      <w:r>
        <w:t xml:space="preserve"> Housing conditions in European one-person households — https://doi.org/10.1371/journal.pone.0303295</w:t>
      </w:r>
    </w:p>
    <w:p>
      <w:pPr/>
      <w:r>
        <w:rPr>
          <w:b/>
        </w:rPr>
        <w:t>Shared claim-specific concepts:</w:t>
      </w:r>
      <w:r>
        <w:t xml:space="preserve"> them, both, actions; EU scope visible. This is a provisional connection, not an outcome finding.</w:t>
      </w:r>
    </w:p>
    <w:p>
      <w:pPr>
        <w:pStyle w:val="SourceNote"/>
      </w:pPr>
      <w:r>
        <w:rPr>
          <w:b/>
        </w:rPr>
        <w:t>Available abstract (not full text):</w:t>
      </w:r>
      <w:r>
        <w:t xml:space="preserve"> This study addresses the satisfaction of housing-related needs in single-person households across European countries. The primary objective is to assess the housing satisfaction of single-person households in European countries, specifically within the Visegrad Group. The study seeks to identify trends in housing conditions, create a ranking of countries based on these conditions, and categorize countries with similar levels of unmet housing needs. The study employs statistical measures and methods to achieve its objectives. Time series are constructed for European countries, and linear trends are analyzed to identify statistically significant changes in selected housing aspects from 2005 to 2022. Various research tasks, including ranking countries and grouping them based on housing conditions, are accomplished using established methods like linear ranking and Ward's cluster analysis. Key findings include significant variations in financial burdens related to housing costs, thermal comfort, environmental pollution, and safety issues across European countries. The study reveals both improvements and challenges in housing conditions from 2005 to 2022 in one-person households. For instance, financial stress due to housing costs decreased in some countries, while thermal comfort issues improved in several nations. The results also highlight the heterogeneity within the Visegrad Gro</w:t>
      </w:r>
    </w:p>
    <w:p>
      <w:pPr/>
      <w:r>
        <w:rPr>
          <w:b/>
        </w:rPr>
        <w:t>POSSIBLE 2023:</w:t>
      </w:r>
      <w:r>
        <w:t xml:space="preserve"> Fighting depopulation in Europe by analyzing the financial risks of local governments — https://doi.org/10.1177/00208523231158982</w:t>
      </w:r>
    </w:p>
    <w:p>
      <w:pPr/>
      <w:r>
        <w:rPr>
          <w:b/>
        </w:rPr>
        <w:t>Shared claim-specific concepts:</w:t>
      </w:r>
      <w:r>
        <w:t xml:space="preserve"> analyzing, them, one, specific; EU scope visible. This is a provisional connection, not an outcome finding.</w:t>
      </w:r>
    </w:p>
    <w:p>
      <w:pPr>
        <w:pStyle w:val="SourceNote"/>
      </w:pPr>
      <w:r>
        <w:rPr>
          <w:b/>
        </w:rPr>
        <w:t>Available abstract (not full text):</w:t>
      </w:r>
      <w:r>
        <w:t xml:space="preserve"> Throughout Europe, one of the main problems facing policymakers is that of falling rural populations. In many cases, this is aggravated by high levels of local government borrowing. Although researchers have sought to determine the causes of this debt, much remains to be known about the factors influencing the default risk of small- and medium-sized towns, information that would help them formulate policies to combat the loss of population. The aim of our study is to identify factors relevant to this default risk. We analyzed demographic, socioeconomic, and financial factors in a sample of 6456 Spanish local governments by their population size. Our findings show that financial policies applied to reduce this risk should vary according to the population size, as certain factors exert a specific influence on smaller municipalities. Nevertheless, socioeconomic and financial variables have more impact on default risk than demographic factors. Our findings are novel and useful for all concerned in combating the depopulation of rural areas in Europe, owing to the relevance of conclusions for the design of public policies based on the sustainability of public services in small municipalities. Points for practitioners The measurement of the default risk in local governments reveals very relevant information for the design of public policies against depopulation. Socioeconomic and fina</w:t>
      </w:r>
    </w:p>
    <w:p>
      <w:pPr/>
      <w:r>
        <w:rPr>
          <w:b/>
        </w:rPr>
        <w:t>POSSIBLE 2023:</w:t>
      </w:r>
      <w:r>
        <w:t xml:space="preserve"> Leadership styles: a study in Latin America, the United States and Europe — https://doi.org/10.56294/saludcyt2023401</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Introduction: leadership styles vary in organizations due to multiple factors, such as policies or organizational culture. Today's globalized world and post-pandemic times require a leader capable of integrating people and motivating them to achieve objectives. Objective: the aim of this study was to analyze leadership styles in organizations in Latin America, the United States and Europe. Method: a sample of eighty-one leaders were administered a questionnaire composed of twenty-one items, in order to evaluate the leadership style with the Blake and Mouton test, in order to identify whether leaders are people-oriented or task-oriented. Results: once the test was applied to the leaders of the study sample, it was found that 1,23 % are social leaders, 4,94 % are authoritarian leaders and 93,83 % are team leaders.Conclusions: today's society demands an integrative leadership style that helps transform the work team. Research on leadership identifies multiple factors that can lead to the selection of a leadership style. In this regard, the results obtained revealed that the team leadership style is the one most used by leaders</w:t>
      </w:r>
    </w:p>
    <w:p>
      <w:pPr/>
      <w:r>
        <w:rPr>
          <w:b/>
        </w:rPr>
        <w:t>POSSIBLE 2023:</w:t>
      </w:r>
      <w:r>
        <w:t xml:space="preserve"> Membership Trends in European Countries — https://doi.org/10.1353/ben.2023.a923758</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Membership Trends in European Countries Thomas Piazza (bio) Thomas Piazza Thomas Piazza is a retired survey research designer and statistician from the University of California, Berkeley. He was a Benedictine monk of St. Leo Abbey in Florida during the 1960s. Footnotes 1. Thomas Piazza, "Regional Trends in the Benedictine Confederation," American Benedictine Review 73, no. 3 (September 2022): 322–330. The number of monks considered as being in Europe in that article include 16 monks from Australia (rather than simply dropping them from the analysis) and 9 monks mistakenly classified as being in the UK instead of the U.S. Therefore, the current article counts 25 monks fewer in Europe than the earlier one. 2. See Piazza, "Regional Trends," 329–330. 3. Catalogus Monasteriorum O.S.B. Monachorum (Rome: The Benedictine Confederation, 2020). The Catalogus has been published by the Curia of the Abbot Primate in Rome at Sant'Anselmo approximately every five years since 1880 (except during periods of major wars). The Catalogus reports membership statistics for professed monks plus a few claustral oblates. We are grateful to Fr. Patrick Carter, O.S.B., for carrying out the computer work to digitize the 2020 Catalogus and to Fr. Geraldo González y Lima, O.S.B., for facilitating access to the data file. 4. The number of professed monks in the Confederation declined about 20 percent during t</w:t>
      </w:r>
    </w:p>
    <w:p>
      <w:pPr/>
      <w:r>
        <w:rPr>
          <w:b/>
        </w:rPr>
        <w:t>POSSIBLE 2022:</w:t>
      </w:r>
      <w:r>
        <w:t xml:space="preserve"> Review and Analysis of National Monitoring Systems for Antimicrobial Resistance in Animal Bacterial Pathogens in Europe: A Basis for the Development of the European Antimicrobial Resistance Surveillance Network in Veterinary Medicine (EARS-Vet) — https://doi.org/10.3389/fmicb.2022.838490</w:t>
      </w:r>
    </w:p>
    <w:p>
      <w:pPr/>
      <w:r>
        <w:rPr>
          <w:b/>
        </w:rPr>
        <w:t>Shared claim-specific concepts:</w:t>
      </w:r>
      <w:r>
        <w:t xml:space="preserve"> them, one, both, but; EU scope visible. This is a provisional connection, not an outcome finding.</w:t>
      </w:r>
    </w:p>
    <w:p>
      <w:pPr>
        <w:pStyle w:val="SourceNote"/>
      </w:pPr>
      <w:r>
        <w:rPr>
          <w:b/>
        </w:rPr>
        <w:t>Available abstract (not full text):</w:t>
      </w:r>
      <w:r>
        <w:t xml:space="preserve"> The monitoring of antimicrobial resistance (AMR) in bacterial pathogens of animals is not currently coordinated at European level. To fill this gap, experts of the European Union Joint Action on Antimicrobial Resistance and Healthcare Associated Infections (EU-JAMRAI) recommended building the European Antimicrobial Resistance Surveillance network in Veterinary medicine (EARS-Vet). In this study, we (i) identified national monitoring systems for AMR in bacterial pathogens of animals (both companion and food-producing) among 27 countries affiliated to EU-JAMRAI, (ii) described their structures and operations, and (iii) analyzed their respective strengths, weaknesses, opportunities and threats (SWOT). Twelve countries reported having at least one national monitoring system in place, representing an opportunity to launch EARS-Vet, but highlighting important gaps in AMR data generation in Europe. In total, 15 national monitoring systems from 11 countries were described and analyzed. They displayed diverse structures and operations, but most of them shared common weaknesses (e.g., data management and representativeness) and common threats (e.g., economic vulnerability and data access), which could be addressed collectively under EARS-Vet. This work generated useful information to countries planning to build or improve their system, by learning from others' experience. It also enabled</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analyzing, one, hand, other;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2021:</w:t>
      </w:r>
      <w:r>
        <w:t xml:space="preserve"> Possibilities of the Development of Edible Insect-Based Foods in Europe — https://doi.org/10.3390/foods10040766</w:t>
      </w:r>
    </w:p>
    <w:p>
      <w:pPr/>
      <w:r>
        <w:rPr>
          <w:b/>
        </w:rPr>
        <w:t>Shared claim-specific concepts:</w:t>
      </w:r>
      <w:r>
        <w:t xml:space="preserve"> them, one, valuable, knowledge, both, hand;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2020:</w:t>
      </w:r>
      <w:r>
        <w:t xml:space="preserve"> Perceptions of plagiarism by biomedical researchers: an online survey in Europe and China — https://doi.org/10.1186/s12910-020-00473-7</w:t>
      </w:r>
    </w:p>
    <w:p>
      <w:pPr/>
      <w:r>
        <w:rPr>
          <w:b/>
        </w:rPr>
        <w:t>Shared claim-specific concepts:</w:t>
      </w:r>
      <w:r>
        <w:t xml:space="preserve"> them, one, both, but, other, indicate; EU scope visible. This is a provisional connection, not an outcome finding.</w:t>
      </w:r>
    </w:p>
    <w:p>
      <w:pPr>
        <w:pStyle w:val="SourceNote"/>
      </w:pPr>
      <w:r>
        <w:rPr>
          <w:b/>
        </w:rPr>
        <w:t>Available abstract (not full text):</w:t>
      </w:r>
      <w:r>
        <w:t xml:space="preserve"> BACKGROUND: Plagiarism is considered as serious research misconduct, together with data fabrication and falsification. However, little is known about biomedical researchers' views on plagiarism. Moreover, it has been argued - based on limited empirical evidence - that perceptions of plagiarism depend on cultural and other determinants. The authors explored, by means of an online survey among 46 reputable universities in Europe and China, how plagiarism is perceived by biomedical researchers in both regions. METHODS: We collected work e-mail addresses of biomedical researchers identified through the websites of 13 reputable universities in Europe and 33 reputable universities in China and invited them to participate in an online anonymous survey. Our questionnaire was designed to assess respondents' views about plagiarism by asking whether they considered specific practices as plagiarism. We analyzed if respondents in China and Europe responded differently, using logistic regression analysis with adjustments for demographic and other relevant factors. RESULTS: The authors obtained valid responses from 204 researchers based in China (response rate 2.1%) and 826 researchers based in Europe (response rate 5.6%). Copying text from someone else's publication without crediting the source, using idea(s) from someone else's publication without crediting the source and republishing one's</w:t>
      </w:r>
    </w:p>
    <w:p>
      <w:pPr/>
      <w:r>
        <w:rPr>
          <w:b/>
        </w:rPr>
        <w:t>POSSIBLE 2020:</w:t>
      </w:r>
      <w:r>
        <w:t xml:space="preserve"> Youth Participation in Europe — https://doi.org/10.1093/oso/9780190937768.003.0007</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Abstract In the European context, there is no one accepted definition of youth participation either in the political arena or in academic debates. This chapter analyzes whether the current discourses consider reshaping youth involvement in both public and individual spheres. It presents empirical findings on youth participation’s discourses as they emerge in exemplary interviews with experts, contrasting them with comments from young people collected through focus groups conducted in different youth social spaces in eight European cities. The goal is to analyze whether the claim for youth inclusion and engagement is inspired by the socio-pedagogical principle of participation as an empowering tool for young people, groups, and communities or by an adult-driven agenda focused on young people’s future as adults rather than their actual way of living, their needs, and their desires.</w:t>
      </w:r>
    </w:p>
    <w:p>
      <w:pPr>
        <w:pStyle w:val="Heading2"/>
      </w:pPr>
      <w:r>
        <w:t>705.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2024:</w:t>
      </w:r>
      <w:r>
        <w:t xml:space="preserve"> Sea Level Rise in Europe: Adaptation measures and decision-making principles — https://doi.org/10.5194/sp-3-slre1-6-2024</w:t>
      </w:r>
    </w:p>
    <w:p>
      <w:pPr/>
      <w:r>
        <w:rPr>
          <w:b/>
        </w:rPr>
        <w:t>Shared claim-specific concepts:</w:t>
      </w:r>
      <w:r>
        <w:t xml:space="preserve"> decision-making, technological, different;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2023:</w:t>
      </w:r>
      <w:r>
        <w:t xml:space="preserve"> Decision-making in Transition to Sustainable Energy — https://doi.org/10.7250/9789934229091</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The goal of the Thesis is to create an algorithm of decision-making, which takes into account existing knowledge about barriers and policies that hamper or facilitate development of sustainable energy by focusing on identifying and analysing stages and steps of decision-making throughout policy lifecycle, as well as identifying suitable methods of analysis at each stage and step of making decisions to support decision-making about energy and climate policy, and integrating those in the decision-making process with the purpose of ensuring a policy lifecycle leading to sustainable energy system.</w:t>
      </w:r>
    </w:p>
    <w:p>
      <w:pPr/>
      <w:r>
        <w:rPr>
          <w:b/>
        </w:rPr>
        <w:t>POSSIBLE 2021:</w:t>
      </w:r>
      <w:r>
        <w:t xml:space="preserve"> Decision-making in sustainable energy transition in Southeastern Europe: probabilistic network-based model — https://doi.org/10.1186/s13705-021-00315-3</w:t>
      </w:r>
    </w:p>
    <w:p>
      <w:pPr/>
      <w:r>
        <w:rPr>
          <w:b/>
        </w:rPr>
        <w:t>Shared claim-specific concepts:</w:t>
      </w:r>
      <w:r>
        <w:t xml:space="preserve"> decision-making, transition, energy, challenging, different; EU scope visible. This is a provisional connection, not an outcome finding.</w:t>
      </w:r>
    </w:p>
    <w:p>
      <w:pPr>
        <w:pStyle w:val="SourceNote"/>
      </w:pPr>
      <w:r>
        <w:rPr>
          <w:b/>
        </w:rPr>
        <w:t>Available abstract (not full text):</w:t>
      </w:r>
      <w:r>
        <w:t xml:space="preserve"> Abstract Background Sustainable energy transition of a country is complex and long-term process, which requires decision-making in all stages and at all levels, including a large number of different factors, with different causality. The main objective of this paper is the development of a probabilistic model for decision-making in sustainable energy transition in developing countries of SE Europe. The model will be developed according to the specificities of the countries for which it is intended—SE Europe. These are countries where energy transition is slower and more difficult due to many factors: high degree of uncertainty, low transparency, corruption, investment problems, insufficiently reliable data, lower level of economic development, high level of corruption and untrained human resources. All these factors are making decision-making more challenging and demanding. Methods Research was done by using content analysis, artificial intelligence methods, software development method and testing. The model was developed by using MSBNx—Microsoft Research’s Bayesian Network Authoring and Evaluation Tool. Results Due to the large number of insufficiently clear, but interdependent factors, the model is developed on the principle of probabilistic (Bayesian) networks of factors of interest. The paper presents the first model for supporting decision-making in the field of energy sus</w:t>
      </w:r>
    </w:p>
    <w:p>
      <w:pPr/>
      <w:r>
        <w:rPr>
          <w:b/>
        </w:rPr>
        <w:t>POSSIBLE 2021:</w:t>
      </w:r>
      <w:r>
        <w:t xml:space="preserve"> Overcoming decision paralysis—A digital twin for decision making in energy system design — https://doi.org/10.1016/j.apenergy.2021.117954</w:t>
      </w:r>
    </w:p>
    <w:p>
      <w:pPr/>
      <w:r>
        <w:rPr>
          <w:b/>
        </w:rPr>
        <w:t>Shared claim-specific concepts:</w:t>
      </w:r>
      <w:r>
        <w:t xml:space="preserve"> energy, uncertainties, different; EU scope not established. This is a provisional connection, not an outcome finding.</w:t>
      </w:r>
    </w:p>
    <w:p>
      <w:pPr>
        <w:pStyle w:val="SourceNote"/>
      </w:pPr>
      <w:r>
        <w:rPr>
          <w:b/>
        </w:rPr>
        <w:t>Available abstract (not full text):</w:t>
      </w:r>
      <w:r>
        <w:t xml:space="preserve"> The design of efficient energy systems, through the development of new technologies and the improvement of current ones, requires the use of rigorous process synthesis methods for generating and analysing design alternatives. We introduce a digital twin of process and energy system design that interactively translates needs and preferences of decision makers into an optimization-based model and generates meaningful solutions. The Interactive Digital Twin (InDiT) assists decision makers in steering the exploration of the solution space and guiding them towards relevant system design decisions, taking into account multiple aspects such as the impact of uncertainties and multi-criteria analysis. InDiT enhances step-by-step communication with the decision maker, relying on visual aids to keep the communication during solution generation and exploration intuitive and flexible. In this way, decision makers are guided towards relevant solutions and improve their understanding of relations between the problem definition and system design decisions, while InDiT builds on the decision makers’ preferences and can, after training, suggest solutions that are best-suited to their interests. The novelty of this work lies in the holistic approach of addressing both (i) the systematic generation and exploration of solutions with the assistance of a digital consultant, which translates the decis</w:t>
      </w:r>
    </w:p>
    <w:p>
      <w:pPr/>
      <w:r>
        <w:rPr>
          <w:b/>
        </w:rPr>
        <w:t>POSSIBLE 2020:</w:t>
      </w:r>
      <w:r>
        <w:t xml:space="preserve"> Decision making on regional energy transition : models, tools and approaches — https://openalex.org/W3034318633</w:t>
      </w:r>
    </w:p>
    <w:p>
      <w:pPr/>
      <w:r>
        <w:rPr>
          <w:b/>
        </w:rPr>
        <w:t>Shared claim-specific concepts:</w:t>
      </w:r>
      <w:r>
        <w:t xml:space="preserve"> transition, energy, technological; EU scope not established. This is a provisional connection, not an outcome finding.</w:t>
      </w:r>
    </w:p>
    <w:p>
      <w:pPr>
        <w:pStyle w:val="SourceNote"/>
      </w:pPr>
      <w:r>
        <w:rPr>
          <w:b/>
        </w:rPr>
        <w:t>Available abstract (not full text):</w:t>
      </w:r>
      <w:r>
        <w:t xml:space="preserve"> Since the industrial revolution we have relied heavily on fossil fuels as feedstock and energy source. A major drawback in using fossil fuels is the emission of anthropogenic greenhouse gases. Deep reductions in these greenhouse gas emissions are needed if climate change is to be limited to 1.5-2°C above pre-industrial levels. These reductions will require a drastic transformation of the energy system as indicated by scenario studies which have evaluated possible roadmaps for this transformation. There is no straightforward solution to make a transition from a fossil-driven energy system to one based on renewables. There are many technological options to consider and which options work best depends to a great extent on local and regional circumstances. Therefore, it is increasingly recognized that the energy transition will take place at the local and regional level. This is where major decisions will have to be made.</w:t>
      </w:r>
    </w:p>
    <w:p>
      <w:pPr/>
      <w:r>
        <w:rPr>
          <w:b/>
        </w:rPr>
        <w:t>POSSIBLE 2020:</w:t>
      </w:r>
      <w:r>
        <w:t xml:space="preserve"> Energy transition in the South East Europe: The case of the Romanian power system — https://doi.org/10.1016/j.egyr.2020.07.032</w:t>
      </w:r>
    </w:p>
    <w:p>
      <w:pPr/>
      <w:r>
        <w:rPr>
          <w:b/>
        </w:rPr>
        <w:t>Shared claim-specific concepts:</w:t>
      </w:r>
      <w:r>
        <w:t xml:space="preserve"> decision-making, transition, energy, three; EU scope visible. This is a provisional connection, not an outcome finding.</w:t>
      </w:r>
    </w:p>
    <w:p>
      <w:pPr>
        <w:pStyle w:val="SourceNote"/>
      </w:pPr>
      <w:r>
        <w:rPr>
          <w:b/>
        </w:rPr>
        <w:t>Available abstract (not full text):</w:t>
      </w:r>
      <w:r>
        <w:t xml:space="preserve"> With the exception of Albania, the countries of South-Eastern Europe (SEE) have high shares of electricity generation from an ageing fleet of coal-fired power units with quite low efficiencies. Energy planning-related decision-making regarding whether to modernize or replace a significant share of this old generating capacity has to be fixed within a global clean energy transition context. At the same time, the SEE region has a huge potential for renewable energy deployment and energy efficiency implementation. This work presents a generic mixed integer linear programming model to determine the optimal energy scheduling of a multi-zonal power system following the roadmaps of its energy transition process. Through a detailed unit commitment model implementing a co-optimization of energy and reserves market with a cost minimization objective function, the developed approach determines the optimal annual energy mixes of the Romanian power system through the day by day iterative solution of all the dates of three specific time milestones (2020, 2030, and 2040), where the outputs of a specific date comprise the inputs of the next one. The model outputs highlight the impacts on the power system in terms of technical, economic, and environmental performance. The energy transition towards a renewables dominant capacity and production mix guarantees the system’s security of supply, and </w:t>
      </w:r>
    </w:p>
    <w:p>
      <w:pPr/>
      <w:r>
        <w:rPr>
          <w:b/>
        </w:rPr>
        <w:t>POSSIBLE 2020:</w:t>
      </w:r>
      <w:r>
        <w:t xml:space="preserve"> The International Energy Security Risk Index in Sustainable Energy and Economy Transition Decision Making—A Reliability Analysis — https://doi.org/10.3390/en13143691</w:t>
      </w:r>
    </w:p>
    <w:p>
      <w:pPr/>
      <w:r>
        <w:rPr>
          <w:b/>
        </w:rPr>
        <w:t>Shared claim-specific concepts:</w:t>
      </w:r>
      <w:r>
        <w:t xml:space="preserve"> decision-making, transition, energy, economy, different; EU scope not established. This is a provisional connection, not an outcome finding.</w:t>
      </w:r>
    </w:p>
    <w:p>
      <w:pPr>
        <w:pStyle w:val="SourceNote"/>
      </w:pPr>
      <w:r>
        <w:rPr>
          <w:b/>
        </w:rPr>
        <w:t>Available abstract (not full text):</w:t>
      </w:r>
      <w:r>
        <w:t xml:space="preserve"> The world economy and society are in a complex process of transition characterized by a high degree of uncertainty. Therefore, further development and management of the transition will largely depend on the quality of the decisions made and, accordingly, on the decision-making process itself. The main goal of this study is to analyze the reliability of International Energy Security Risk Index as a tool to support the process of energy and economy transition decision making, as closely related and highly interdependent phenomena. The index is composed of 29 aggregated variables (grouped into eight categories), and the research is conducted on a research sample of 25 countries over a period of 36 years. The reliability assessment is performed by using Multiple Regression Analysis. Multicollinearity test, plus Multicollinearity test with Variance Inflation Factors, is used for methodological verification. The test results indicate a high degree of unreliability of the Index, as is concluded based on the observed errors in its methodological settings. These errors primarily relate to a high degree of multicollinearity in all 29 variables, whereby independent variables lose their independence and thus jeopardize reliability of the total Index. Out of the eight groups of variables, the fuel imports group is the only one that does not show big methodological errors. The paper presents</w:t>
      </w:r>
    </w:p>
    <w:p>
      <w:pPr/>
      <w:r>
        <w:rPr>
          <w:b/>
        </w:rPr>
        <w:t>POSSIBLE 2020:</w:t>
      </w:r>
      <w:r>
        <w:t xml:space="preserve"> Stakeholder involvement through national panels and surveys to address the issues and uncertainties arising in the preparedness and management of the transition phase — https://doi.org/10.1051/radiopro/2020022</w:t>
      </w:r>
    </w:p>
    <w:p>
      <w:pPr/>
      <w:r>
        <w:rPr>
          <w:b/>
        </w:rPr>
        <w:t>Shared claim-specific concepts:</w:t>
      </w:r>
      <w:r>
        <w:t xml:space="preserve"> decision-making, transition, uncertainties; EU scope visible. This is a provisional connection, not an outcome finding.</w:t>
      </w:r>
    </w:p>
    <w:p>
      <w:pPr>
        <w:pStyle w:val="SourceNote"/>
      </w:pPr>
      <w:r>
        <w:rPr>
          <w:b/>
        </w:rPr>
        <w:t>Available abstract (not full text):</w:t>
      </w:r>
      <w:r>
        <w:t xml:space="preserve"> Under the framework of the CONFIDENCE project, work package 4 was focusing on the transition to long-term recovery, involving stakeholders in decision-making processes. The essential research was performed using a participatory approach, which combined scenario-based stakeholder discussion panels and transnational stakeholder surveys following the Delphi methodology. The objective was to identify and address the issues and uncertainties arising in the preparedness and management of the transition phase and to explore ways to facilitate the incorporation of stakeholders’ expertise, points of view and interests in the decision-making processes. The final goal was to build best practices for planning optimal remediation strategies during the transition phase considering stakeholder involvement in the decision-making process. The results obtained from the work undertaken in nine European countries are presented.</w:t>
      </w:r>
    </w:p>
    <w:p>
      <w:pPr>
        <w:pStyle w:val="Heading2"/>
      </w:pPr>
      <w:r>
        <w:t>706.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2023:</w:t>
      </w:r>
      <w:r>
        <w:t xml:space="preserve"> The Mid-Pleistocene Climate Transition — https://doi.org/10.1146/annurev-earth-032320-104209</w:t>
      </w:r>
    </w:p>
    <w:p>
      <w:pPr/>
      <w:r>
        <w:rPr>
          <w:b/>
        </w:rPr>
        <w:t>Shared claim-specific concepts:</w:t>
      </w:r>
      <w:r>
        <w:t xml:space="preserve"> ice, about, climate; EU scope not established. This is a provisional connection, not an outcome finding.</w:t>
      </w:r>
    </w:p>
    <w:p>
      <w:pPr>
        <w:pStyle w:val="SourceNote"/>
      </w:pPr>
      <w:r>
        <w:rPr>
          <w:b/>
        </w:rPr>
        <w:t>Available abstract (not full text):</w:t>
      </w:r>
      <w:r>
        <w:t xml:space="preserve"> The timing of ice ages over the past ∼2,600 thousand years (kyr) follows pacing by cyclical changes in three aspects of Earth's orbit that influence the solar energy received as a function of latitude and season. Explaining the large magnitude of the climate changes is challenging, particularly so across the period of time from ∼1,250 to 750 ka—the Mid-Pleistocene Transition or MPT. The average repeat time of ice age cycles changed from an earlier 41-kyr rhythm to longer and more intense glaciations at a spacing of about 100 kyr. Explaining this change is very difficult because there was no corresponding change in the orbital pacing that would trigger a change in timing. While the first generation of hypotheses looked largely to changes in the behavior of Northern Hemisphere ice sheets, more recent work integrates ice behavior with new data capturing the evolution of other important aspects of past climate. A full explanation is still lacking, but attention increasingly focuses on the ocean carbon cycle and atmospheric CO2 levels as the crucial agents involved in the MPT. ▪The pattern of climate changes connected to the ice ages of the past few million years changed radically between about 1,250 and 750 thousand years ago, a time known as the Mid-Pleistocene Transition or MPT.▪While the glacial cycles were ultimately triggered by cyclical changes in Earth's orbit, the changes a</w:t>
      </w:r>
    </w:p>
    <w:p>
      <w:pPr/>
      <w:r>
        <w:rPr>
          <w:b/>
        </w:rPr>
        <w:t>POSSIBLE 2022:</w:t>
      </w:r>
      <w:r>
        <w:t xml:space="preserve"> Global wood anatomical perspective on the onset of the Late Antique Little Ice Age (LALIA) in the mid-6th century CE — https://doi.org/10.1016/j.scib.2022.10.019</w:t>
      </w:r>
    </w:p>
    <w:p>
      <w:pPr/>
      <w:r>
        <w:rPr>
          <w:b/>
        </w:rPr>
        <w:t>Shared claim-specific concepts:</w:t>
      </w:r>
      <w:r>
        <w:t xml:space="preserve"> ice, two, climate; EU scope not established. This is a provisional connection, not an outcome finding.</w:t>
      </w:r>
    </w:p>
    <w:p>
      <w:pPr>
        <w:pStyle w:val="SourceNote"/>
      </w:pPr>
      <w:r>
        <w:rPr>
          <w:b/>
        </w:rPr>
        <w:t>Available abstract (not full text):</w:t>
      </w:r>
      <w:r>
        <w:t xml:space="preserve"> Linked to major volcanic eruptions around 536 and 540 CE, the onset of the Late Antique Little Ice Age has been described as the coldest period of the past two millennia. The exact timing and spatial extent of this exceptional cold phase are, however, still under debate because of the limited resolution and geographical distribution of the available proxy archives. Here, we use 106 wood anatomical thin sections from 23 forest sites and 20 tree species in both hemispheres to search for cell-level fingerprints of ephemeral summer cooling between 530 and 550 CE. After cross-dating and double-staining, we identified 89 Blue Rings (lack of cell wall lignification), nine Frost Rings (cell deformation and collapse), and 93 Light Rings (reduced cell wall thickening) in the Northern Hemisphere. Our network reveals evidence for the strongest temperature depression between mid-July and early-August 536 CE across North America and Eurasia, whereas more localised cold spells occurred in the summers of 532, 540-43, and 548 CE. The lack of anatomical signatures in the austral trees suggests limited incursion of stratospheric volcanic aerosol into the Southern Hemisphere extra-tropics, that any forcing was mitigated by atmosphere-ocean dynamical responses and/or concentrated outside the growing season, or a combination of factors. Our findings demonstrate the advantage of wood anatomical inves</w:t>
      </w:r>
    </w:p>
    <w:p>
      <w:pPr/>
      <w:r>
        <w:rPr>
          <w:b/>
        </w:rPr>
        <w:t>POSSIBLE 2022:</w:t>
      </w:r>
      <w:r>
        <w:t xml:space="preserve"> Tunnel valley formation beneath deglaciating mid-latitude ice sheets: Observations and modelling — https://doi.org/10.1016/j.quascirev.2022.107680</w:t>
      </w:r>
    </w:p>
    <w:p>
      <w:pPr/>
      <w:r>
        <w:rPr>
          <w:b/>
        </w:rPr>
        <w:t>Shared claim-specific concepts:</w:t>
      </w:r>
      <w:r>
        <w:t xml:space="preserve"> ice, climate; EU scope not established. This is a provisional connection, not an outcome finding.</w:t>
      </w:r>
    </w:p>
    <w:p>
      <w:pPr>
        <w:pStyle w:val="SourceNote"/>
      </w:pPr>
      <w:r>
        <w:rPr>
          <w:b/>
        </w:rPr>
        <w:t>Available abstract (not full text):</w:t>
      </w:r>
      <w:r>
        <w:t xml:space="preserve"> The geological record of landforms and sediments produced beneath deglaciating ice sheets offers insights into inaccessible glacial processes. Large subglacial valleys formed by meltwater erosion of sediments (tunnel valleys) are widespread in formerly glaciated regions such as the North Sea. Obtaining a better understanding of these features may help with the parameterisation of basal melt rates and the interplay between basal hydrology and ice dynamics in numerical models of past, present, and future ice-sheet configurations. However, the mechanisms and timescales over which tunnel valleys form remain poorly constrained. Here, we present a series of numerical modelling experiments, informed by new observations from high-resolution 3D seismic data (6.25 m bin size, ∼4 m vertical resolution), which test different hypotheses of tunnel valley formation and calculate subglacial water routing, seasonal water discharges, and the rates at which tunnel valleys are eroded beneath deglaciating ice sheets. Networks of smaller or abandoned channels, pervasive slump deposits, and subglacial landforms are imaged inside and at the base of larger tunnel valleys, indicating that these tunnel valleys were carved through the action of migrating smaller channels within tens of kilometres of the ice margin and were later widened by ice-contact erosion. Our model results imply that the drainage of </w:t>
      </w:r>
    </w:p>
    <w:p>
      <w:pPr/>
      <w:r>
        <w:rPr>
          <w:b/>
        </w:rPr>
        <w:t>POSSIBLE 2022:</w:t>
      </w:r>
      <w:r>
        <w:t xml:space="preserve"> Split westerlies over Europe in the early Little Ice Age — https://doi.org/10.1038/s41467-022-32654-w</w:t>
      </w:r>
    </w:p>
    <w:p>
      <w:pPr/>
      <w:r>
        <w:rPr>
          <w:b/>
        </w:rPr>
        <w:t>Shared claim-specific concepts:</w:t>
      </w:r>
      <w:r>
        <w:t xml:space="preserve"> ice, cover, climate; EU scope visible. This is a provisional connection, not an outcome finding.</w:t>
      </w:r>
    </w:p>
    <w:p>
      <w:pPr>
        <w:pStyle w:val="SourceNote"/>
      </w:pPr>
      <w:r>
        <w:rPr>
          <w:b/>
        </w:rPr>
        <w:t>Available abstract (not full text):</w:t>
      </w:r>
      <w:r>
        <w:t xml:space="preserve"> Abstract The Little Ice Age (LIA) was the coldest period of the past millennium, characterized by high-density volcanism, low solar activity, and increased Northern Hemisphere sea-ice cover. Past studies of LIA circulation changes over the North Atlantic sector have typically referenced the North Atlantic Oscillation (NAO), though recent studies have noted that LIA climate patterns appear to be possess complexity not captured by an NAO analog. Here, we present a new precipitation-sensitive stalagmite record from northern Italy that covers the past 800 years at high resolution. Combined with terrestrial and marine records in the North Atlantic realm, we show that in the early LIA (1470-1610 C.E.), a multi-decadal scale atmospheric blocking over northern Europe split the westerlies away from central and northern Europe, and towards the Arctic and the Mediterranean. This enhanced blocking results in a cold and dry climate over central and northern Europe, and wetter conditions over the Mediterranean. The LIA atmospheric blocking could be caused by the concurrent sea-ice reduction in the Arctic and the Spörer solar minimum. With ongoing ice melting in the northern high latitudes and decreasing solar irradiance in the coming years, the early LIA may potentially serve as an analog for European hydroclimatic conditions in the coming decades.</w:t>
      </w:r>
    </w:p>
    <w:p>
      <w:pPr/>
      <w:r>
        <w:rPr>
          <w:b/>
        </w:rPr>
        <w:t>POSSIBLE 2022:</w:t>
      </w:r>
      <w:r>
        <w:t xml:space="preserve"> Global tree-ring response and inferred climate variation following the mid-thirteenth century Samalas eruption — https://doi.org/10.1007/s00382-022-06141-3</w:t>
      </w:r>
    </w:p>
    <w:p>
      <w:pPr/>
      <w:r>
        <w:rPr>
          <w:b/>
        </w:rPr>
        <w:t>Shared claim-specific concepts:</w:t>
      </w:r>
      <w:r>
        <w:t xml:space="preserve"> predominantly, climate; EU scope visible. This is a provisional connection, not an outcome finding.</w:t>
      </w:r>
    </w:p>
    <w:p>
      <w:pPr>
        <w:pStyle w:val="SourceNote"/>
      </w:pPr>
      <w:r>
        <w:rPr>
          <w:b/>
        </w:rPr>
        <w:t>Available abstract (not full text):</w:t>
      </w:r>
      <w:r>
        <w:t xml:space="preserve"> Abstract The largest explosive volcanic eruption of the Common Era in terms of estimated sulphur yield to the stratosphere was identified in glaciochemical records 40 years ago, and dates to the mid-thirteenth century. Despite eventual attribution to the Samalas (Rinjani) volcano in Indonesia, the eruption date remains uncertain, and the climate response only partially understood. Seeking a more global perspective on summer surface temperature and hydroclimate change following the eruption, we present an analysis of 249 tree-ring chronologies spanning the thirteenth century and representing all continents except Antarctica. Of the 170 predominantly temperature sensitive high-frequency chronologies, the earliest hints of boreal summer cooling are the growth depressions found at sites in the western US and Canada in 1257 CE. If this response is a result of Samalas, it would be consistent with an eruption window of circa May–July 1257 CE. More widespread summer cooling across the mid-latitudes of North America and Eurasia is pronounced in 1258, while records from Scandinavia and Siberia reveal peak cooling in 1259. In contrast to the marked post-Samalas temperature response at high-elevation sites in the Northern Hemisphere, no strong hydroclimatic anomalies emerge from the 79 precipitation-sensitive chronologies. Although our findings remain spatially biased towards the western U</w:t>
      </w:r>
    </w:p>
    <w:p>
      <w:pPr/>
      <w:r>
        <w:rPr>
          <w:b/>
        </w:rPr>
        <w:t>POSSIBLE 2022:</w:t>
      </w:r>
      <w:r>
        <w:t xml:space="preserve"> Tricentennial trends in spring ice break-ups on three rivers in northern Europe — https://doi.org/10.5194/tc-16-2881-2022</w:t>
      </w:r>
    </w:p>
    <w:p>
      <w:pPr/>
      <w:r>
        <w:rPr>
          <w:b/>
        </w:rPr>
        <w:t>Shared claim-specific concepts:</w:t>
      </w:r>
      <w:r>
        <w:t xml:space="preserve"> ice, cover, two; EU scope visible. This is a provisional connection, not an outcome finding.</w:t>
      </w:r>
    </w:p>
    <w:p>
      <w:pPr>
        <w:pStyle w:val="SourceNote"/>
      </w:pPr>
      <w:r>
        <w:rPr>
          <w:b/>
        </w:rPr>
        <w:t>Available abstract (not full text):</w:t>
      </w:r>
      <w:r>
        <w:t xml:space="preserve"> Abstract. In Finland, ice breakup observations have been recorded for centuries for Aura River (1749–2020), Torne River (1693–2020) and Kokemäki River (1793–2020). The Kokemäki River is a newly revised, extended, and updated ice breakup series from Pori. The Spearman analysis shows that the correlation between Aura and Kokemäki rivers is strong, while the correlation between the two southern rivers (Aura and Kokemäki) and Torne River is weaker. The difference is attributed to the longitudinal distance between the rivers. Temperature correlations are strong for all three rivers and the long-term trends towards earlier breakups are statistically significant. Aura and Kokemäki rivers show considerable changes. Aura and Kokemäki river have had two respectively three years without a complete ice cover in the 21st century. These are the first non-freeze events in over 270 years of recorded observations. In Torne River, however, the earliest recorded breakup date has changed only marginally the last 100 years. Moreover, the earliest recorded breakup date in the 21st century occurred only five days earlier than the earliest breakup date in the 18th century. Kokemäki River did not escape the hydroelectric power plant boom in the mid-1900s, and this has speeded up the breakup process. A qualitative analysis shows that exceptionally late ice breakups occurred in all three rivers in 1807, </w:t>
      </w:r>
    </w:p>
    <w:p>
      <w:pPr/>
      <w:r>
        <w:rPr>
          <w:b/>
        </w:rPr>
        <w:t>POSSIBLE 2021:</w:t>
      </w:r>
      <w:r>
        <w:t xml:space="preserve"> Exposure of mammal genetic diversity to mid‐21st century global change — https://doi.org/10.1111/ecog.05588</w:t>
      </w:r>
    </w:p>
    <w:p>
      <w:pPr/>
      <w:r>
        <w:rPr>
          <w:b/>
        </w:rPr>
        <w:t>Shared claim-specific concepts:</w:t>
      </w:r>
      <w:r>
        <w:t xml:space="preserve"> increase, climate, projections; EU scope not established. This is a provisional connection, not an outcome finding.</w:t>
      </w:r>
    </w:p>
    <w:p>
      <w:pPr>
        <w:pStyle w:val="SourceNote"/>
      </w:pPr>
      <w:r>
        <w:rPr>
          <w:b/>
        </w:rPr>
        <w:t>Available abstract (not full text):</w:t>
      </w:r>
      <w:r>
        <w:t xml:space="preserve"> Accelerating climate and land‐use change are rapidly transforming Earth's biodiversity. While there is substantial evidence on the exposure and vulnerability of biodiversity to global change at the species level, the global exposure of intraspecific genetic diversity (GD) is still unknown. Here, we assess the exposure of mitochondrial GD to mid‐21st century climate and land‐use change in terrestrial mammal assemblages at grid‐cell and bioclimatic region scales under alternative narratives of future societal development. We used global predictions of mammal GD distribution based on thousands of georeferenced mitochondrial genes for hundreds of mammal species, the latest generation of global climate models from the ongoing sixth phase of the Coupled Model Intercomparison Project (CMIP6), and global future projections of land‐use prepared for CMIP6. We found that more than 50% of the genetically poorest geographic areas (grid‐cells), primarily distributed in tundra, boreal forests/taiga and temperate bioclimatic regions, will be exposed to mean annual temperature rise that exceeds 2°C compared to the baseline period under all considered future scenarios. We also show that at least 30% of the most genetically rich areas in tropical, subtropical and montane regions will be exposed to an increase of mean annual temperature &gt; 2°C under less optimal scenarios. Genetic diversity in thes</w:t>
      </w:r>
    </w:p>
    <w:p>
      <w:pPr/>
      <w:r>
        <w:rPr>
          <w:b/>
        </w:rPr>
        <w:t>POSSIBLE 2021:</w:t>
      </w:r>
      <w:r>
        <w:t xml:space="preserve"> Limnological changes in Lake Victoria since the mid‐20th century — https://doi.org/10.1111/fwb.13780</w:t>
      </w:r>
    </w:p>
    <w:p>
      <w:pPr/>
      <w:r>
        <w:rPr>
          <w:b/>
        </w:rPr>
        <w:t>Shared claim-specific concepts:</w:t>
      </w:r>
      <w:r>
        <w:t xml:space="preserve"> increase, about, deeper, climate; EU scope not established. This is a provisional connection, not an outcome finding.</w:t>
      </w:r>
    </w:p>
    <w:p>
      <w:pPr>
        <w:pStyle w:val="SourceNote"/>
      </w:pPr>
      <w:r>
        <w:rPr>
          <w:b/>
        </w:rPr>
        <w:t>Available abstract (not full text):</w:t>
      </w:r>
      <w:r>
        <w:t xml:space="preserve"> Abstract Lake Victoria experienced a strong degradation of water quality between the 1960s and the 1990s and, as a consequence of eutrophication, the dominant phytoplankton group changed from diatoms to N2‐fixing cyanobacteria and there was a 2‐ to 10‐fold increase in chlorophyll‐a. The goal of this study is to determine whether the 2018–2019 physical (light, stratification) and ecological (nutrient, chlorophyll‐a, phytoplankton composition) conditions in Lake Victoria changed from the 1990s. Samples were collected in 2018–2019 in nearshore and offshore waters (Uganda), during three contrasting seasons: heavy rains (March), low rains (October), and dry (June), which corresponded to distinct water column mixing regimes, respectively, late‐stratified, early‐stratified, and mixed regimes. At each station (48 nearshore and 25 offshore), we measured vertical profiles of temperature, oxygen, phytoplankton biomass and composition, inorganic nutrients, and particulate organic carbon, particulate nitrogen (N), and phosphorus (P). Chlorophyll‐a concentrations in 2018–2019 were 10.3 ± 7.1 and 2.8 ± 1.1 µg/L in the nearshore and offshore surface waters, respectively, close to those measured in the 1960s before eutrophication, but distinctly lower than those measured in the 1990s (71 ± 100 and 14 ± 6 µg/L). The phytoplankton of Lake Victoria in 2018–2019 still appears dominated by diatoms a</w:t>
      </w:r>
    </w:p>
    <w:p>
      <w:pPr/>
      <w:r>
        <w:rPr>
          <w:b/>
        </w:rPr>
        <w:t>POSSIBLE 2020:</w:t>
      </w:r>
      <w:r>
        <w:t xml:space="preserve"> Increased European heat waves in recent decades in response to shrinking Arctic sea ice and Eurasian snow cover — https://doi.org/10.1038/s41612-020-0110-8</w:t>
      </w:r>
    </w:p>
    <w:p>
      <w:pPr/>
      <w:r>
        <w:rPr>
          <w:b/>
        </w:rPr>
        <w:t>Shared claim-specific concepts:</w:t>
      </w:r>
      <w:r>
        <w:t xml:space="preserve"> ice, increase, cover, climate; EU scope visible. This is a provisional connection, not an outcome finding.</w:t>
      </w:r>
    </w:p>
    <w:p>
      <w:pPr>
        <w:pStyle w:val="SourceNote"/>
      </w:pPr>
      <w:r>
        <w:rPr>
          <w:b/>
        </w:rPr>
        <w:t>Available abstract (not full text):</w:t>
      </w:r>
      <w:r>
        <w:t xml:space="preserve"> Abstract In recent decades, unprecedented extreme summer heat waves have occurred in Europe, and they have exhibited an increasing trend since 1970s. Although previous studies have suggested that these recent hot European summers could have been instigated by the underlying surface thermal conditions, the possible influence of shrinking Arctic sea ice and Eurasian snow cover on heat waves are not well understood. Herein, we present evidence obtained via observational analyses and numerical experiments indicating that the interdecadal increase in European heat waves is closely linked to the reductions in Arctic sea ice concentration (ASIC) and Eurasian snow cover fraction (EASC) across mid–high latitudes via the excitation of the anomalous Eurasian wave train. The combined effects of declined ASIC and EASC, accompanied by the drier soil and the stronger heat flux, tend to weaken the poleward temperature gradient at mid–high latitudes and affect the midlatitude jet stream and transient eddy activities. These dynamic and thermodynamic circulations increase the likelihood of more persistent European blocking events that favor frequent and strengthened heat waves. Further projection analysis of simulations from 13 CMIP5 climate models suggests that Europe may experience more hot summers as the ASIC and EASC continue to decline over the next century.</w:t>
      </w:r>
    </w:p>
    <w:p>
      <w:pPr/>
      <w:r>
        <w:rPr>
          <w:b/>
        </w:rPr>
        <w:t>POSSIBLE 2020:</w:t>
      </w:r>
      <w:r>
        <w:t xml:space="preserve"> Six hundred years of South American tree rings reveal an increase in severe hydroclimatic events since mid-20th century — https://doi.org/10.1073/pnas.2002411117</w:t>
      </w:r>
    </w:p>
    <w:p>
      <w:pPr/>
      <w:r>
        <w:rPr>
          <w:b/>
        </w:rPr>
        <w:t>Shared claim-specific concepts:</w:t>
      </w:r>
      <w:r>
        <w:t xml:space="preserve"> increase, climate, projections; EU scope not established. This is a provisional connection, not an outcome finding.</w:t>
      </w:r>
    </w:p>
    <w:p>
      <w:pPr>
        <w:pStyle w:val="SourceNote"/>
      </w:pPr>
      <w:r>
        <w:rPr>
          <w:b/>
        </w:rPr>
        <w:t>Available abstract (not full text):</w:t>
      </w:r>
      <w:r>
        <w:t xml:space="preserve"> South American (SA) societies are highly vulnerable to droughts and pluvials, but lack of long-term climate observations severely limits our understanding of the global processes driving climatic variability in the region. The number and quality of SA climate-sensitive tree ring chronologies have significantly increased in recent decades, now providing a robust network of 286 records for characterizing hydroclimate variability since 1400 CE. We combine this network with a self-calibrated Palmer Drought Severity Index (scPDSI) dataset to derive the South American Drought Atlas (SADA) over the continent south of 12°S. The gridded annual reconstruction of austral summer scPDSI is the most spatially complete estimate of SA hydroclimate to date, and well matches past historical dry/wet events. Relating the SADA to the Australia-New Zealand Drought Atlas, sea surface temperatures and atmospheric pressure fields, we determine that the El Niño-Southern Oscillation (ENSO) and the Southern Annular Mode (SAM) are strongly associated with spatially extended droughts and pluvials over the SADA domain during the past several centuries. SADA also exhibits more extended severe droughts and extreme pluvials since the mid-20th century. Extensive droughts are consistent with the observed 20th-century trend toward positive SAM anomalies concomitant with the weakening of midlatitude Westerlies, whi</w:t>
      </w:r>
    </w:p>
    <w:p>
      <w:pPr>
        <w:pStyle w:val="Heading2"/>
      </w:pPr>
      <w:r>
        <w:t>707.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2020:</w:t>
      </w:r>
      <w:r>
        <w:t xml:space="preserve"> Right‐Wing Populism in Rural Europe. Introduction to the Special Issue — https://doi.org/10.1111/soru.12306</w:t>
      </w:r>
    </w:p>
    <w:p>
      <w:pPr/>
      <w:r>
        <w:rPr>
          <w:b/>
        </w:rPr>
        <w:t>Shared claim-specific concepts:</w:t>
      </w:r>
      <w:r>
        <w:t xml:space="preserve"> here, built, system; EU scope visible. This is a provisional connection, not an outcome finding.</w:t>
      </w:r>
    </w:p>
    <w:p>
      <w:pPr>
        <w:pStyle w:val="SourceNote"/>
      </w:pPr>
      <w:r>
        <w:rPr>
          <w:b/>
        </w:rPr>
        <w:t>Available abstract (not full text):</w:t>
      </w:r>
      <w:r>
        <w:t xml:space="preserve"> Abstract This special issue aims to understand the rise of right‐wing populism in the European countryside, as well as the forms of resistance and the alternatives being built against it. In this short introduction, we briefly present the main objectives and conceptual position of the special issue and introduce its articles. Each article is discussed here based on its contribution to one of the following themes: (1) analysis of the existing socio‐economic system and power relations that gave rise to right‐wing populism in rural Europe; (2) critical examination of the major assumptions about rural support for populist movements; (3) problematic overlap between politics and rhetoric of right‐wing populist parties and left‐wing (green) parties and agrarian movements; (4) agrarian populism and food sovereignty movement as progressive alternatives to right‐wing politics in the European countryside.</w:t>
      </w:r>
    </w:p>
    <w:p>
      <w:pPr/>
      <w:r>
        <w:rPr>
          <w:b/>
        </w:rPr>
        <w:t>POSSIBLE 2020:</w:t>
      </w:r>
      <w:r>
        <w:t xml:space="preserve"> Alternative lenses for viewing how China has built its accounting and auditing profession — https://doi.org/10.1108/jaee-01-2019-0029</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Purpose The paper reviews some theoretical approaches that have been adopted for understanding the drivers and achievements of the Chinese professional project and the challenges it faces for the future, as a complement and a contrast to previous histories of China and to studies of other developing economies. Design/methodology/approach Based mainly on evaluating the information as obtained from the interviews in mainland China, in Hong Kong and in London reported by Macve (2020), complemented by other published histories. Findings China remains a paradox. Since the “reform and open” policy began in 1978 it has been transformed from one of the poorest countries to one of the economically most powerful in just some 40 years. However it remains (per capita) a “developing country”/”emerging economy” and ideologically a Communist country. While the accounting profession in the USA and UK has developed “from the bottom up” over more than a century and a half, the Chinese profession has effectively been created “from the top down” in under 25 years. The paper outlines alternative theorizations of the major stages in this achievement, in the context of the continuing rapid growth of China's economy and its stock markets, and of the overseas expansion of its manufacturing and increasingly service-oriented base. Research limitations/implications Space has restricted the analysis here t</w:t>
      </w:r>
    </w:p>
    <w:p>
      <w:pPr/>
      <w:r>
        <w:rPr>
          <w:b/>
        </w:rPr>
        <w:t>POSSIBLE 2020:</w:t>
      </w:r>
      <w:r>
        <w:t xml:space="preserve"> Flood exposure and vulnerability estimation methods for residential and commercial assets in Europe — https://doi.org/10.5194/egusphere-egu2020-4753</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Floods affect many types of tangible assets in Europe. Here, we present novel methods of estimating exposure and vulnerability of four important categories of assets: (1) residential buildings, (2) household contents, (3) non-residential buildings, (4) machinery and equipment. One set of models was developed for “residential” assets (1+2) and another one for “commercial” assets (3+4) within the activities of EIT Climate-KIC “SaferPLACES” project. All methods are applicable within Europe using only openly-available datasets at the level of individual buildings. Residential exposure is calculated through combination of estimated useful flood space of buildings and average national replacement costs of buildings and household contents. We devised a method for estimating building height using OpenStreetMap and pan-European raster datasets and transforming it into floor space area. Combining economic and demographic data, we calculated replacement costs of residential assets per m2 of floor space in 30 European countries, covering years 2000–2017. Regarding commercial assets, we created a method to disaggregate economic statistics to obtain detailed building-level estimates of replacement costs of non-residential buildings and machinery/equipment. Finally, we developed two Bayesian Network-based, probabilistic, multivariate models to estimate relative losses to residential and comme</w:t>
      </w:r>
    </w:p>
    <w:p>
      <w:pPr>
        <w:pStyle w:val="Heading2"/>
      </w:pPr>
      <w:r>
        <w:t>708.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r>
        <w:rPr>
          <w:b/>
        </w:rPr>
        <w:t>POSSIBLE 2023:</w:t>
      </w:r>
      <w:r>
        <w:t xml:space="preserve"> QuantMig microsimulation population projection model and migration scenarios for 31 European countries — https://doi.org/10.5281/zenodo.7728048</w:t>
      </w:r>
    </w:p>
    <w:p>
      <w:pPr/>
      <w:r>
        <w:rPr>
          <w:b/>
        </w:rPr>
        <w:t>Shared claim-specific concepts:</w:t>
      </w:r>
      <w:r>
        <w:t xml:space="preserve"> microsimulation, project, population, immigration; EU scope visible. This is a provisional connection, not an outcome finding.</w:t>
      </w:r>
    </w:p>
    <w:p>
      <w:pPr>
        <w:pStyle w:val="SourceNote"/>
      </w:pPr>
      <w:r>
        <w:rPr>
          <w:b/>
        </w:rPr>
        <w:t>Available abstract (not full text):</w:t>
      </w:r>
      <w:r>
        <w:t xml:space="preserve"> This open data deposit contains the data and model code of QuantMig-Mic microsimulation population projection model for 31 European countries and accompanies deliverables D8.3: Model outputs for dissemination and D8.1: Microsimulation projection model. This Zenodo deposit contains datasets of model input (baseline population and immigration database) and output data (demography and components output tables) and model code with parameters of the Baseline scenario (termed Default in the model code) deposited in QuantMig_mic.zip file. To view the code the users must first install MODGEN software (or can view code files in Visual Studio). All scenarios share the same parameters except the immigrant population - to change the immigration assumptions the users can import immigration assumptions for any other scenario from the ImmigDataBase.csv and change it in the immigration module using the MODGEN user interface or using Visual Studio. The file structure and codebook for the data files is included in the cover note file "readme_quantmig_datasets.pdf" Detailed information about the QuantMig-Mic microsimulation model, its modules and parameters: Marois, G., Potančoková, M., González-Leonardo, M. (2023) QuantMig-Mic microsimulation population projection model. QuantMig Project Deliverable D8.2. International Institute for Applied Systems Analysis (IIASA), Austria. Available at:http://</w:t>
      </w:r>
    </w:p>
    <w:p>
      <w:pPr/>
      <w:r>
        <w:rPr>
          <w:b/>
        </w:rPr>
        <w:t>POSSIBLE 2023:</w:t>
      </w:r>
      <w:r>
        <w:t xml:space="preserve"> MicSim, a microsimulation model for population dynamics — https://doi.org/10.21203/rs.3.rs-2986170/v1</w:t>
      </w:r>
    </w:p>
    <w:p>
      <w:pPr/>
      <w:r>
        <w:rPr>
          <w:b/>
        </w:rPr>
        <w:t>Shared claim-specific concepts:</w:t>
      </w:r>
      <w:r>
        <w:t xml:space="preserve"> microsimulation, used, project, population, different, dynamics; EU scope visible. This is a provisional connection, not an outcome finding.</w:t>
      </w:r>
    </w:p>
    <w:p>
      <w:pPr>
        <w:pStyle w:val="SourceNote"/>
      </w:pPr>
      <w:r>
        <w:rPr>
          <w:b/>
        </w:rPr>
        <w:t>Available abstract (not full text):</w:t>
      </w:r>
      <w:r>
        <w:t xml:space="preserve"> Abstract Demographers use microsimulation for studying individual life courses and their attributes; events are specified to be the result of stochastic processes based on predetermined probabilistic rules. In this study, we developed and validated a microsimulation model to reconstruct individual’s life courses and their interactions in different regions of the European Union. One of the main objectives of this study was to track migrants’ pathways in the context of three population systems, namely Sweden, the Netherlands and Spain, from 2014 to 2018. We used official datasets as data inputs to analyze and project future population dynamics. A revised version of the MicSim package which is part of the statistical software R has been used to model mobility and migration patterns at large scale. For this purpose, among other things new functions were added to make the software more efficient concerning runtimes and data handling. By analyzing the modelling results we conclude that MicSim has the potential to be applied for modelling migration and also more general population movements at a large scale. The application of the MicSim package would provide policy makers with a valid instrument for the governance of migration accounting for the demographic and social patterns of migrants and their origin-destination contextual environments.</w:t>
      </w:r>
    </w:p>
    <w:p>
      <w:pPr/>
      <w:r>
        <w:rPr>
          <w:b/>
        </w:rPr>
        <w:t>POSSIBLE 2022:</w:t>
      </w:r>
      <w:r>
        <w:t xml:space="preserve"> Health Equity and Its Economic Determinants (HEED): protocol for a pan-European microsimulation model for health impacts of income and social security policies — https://doi.org/10.1136/bmjopen-2022-062405</w:t>
      </w:r>
    </w:p>
    <w:p>
      <w:pPr/>
      <w:r>
        <w:rPr>
          <w:b/>
        </w:rPr>
        <w:t>Shared claim-specific concepts:</w:t>
      </w:r>
      <w:r>
        <w:t xml:space="preserve"> microsimulation, project, population, different; EU scope visible. This is a provisional connection, not an outcome finding.</w:t>
      </w:r>
    </w:p>
    <w:p>
      <w:pPr>
        <w:pStyle w:val="SourceNote"/>
      </w:pPr>
      <w:r>
        <w:rPr>
          <w:b/>
        </w:rPr>
        <w:t>Available abstract (not full text):</w:t>
      </w:r>
      <w:r>
        <w:t xml:space="preserve"> Introduction Government policies on taxation and social security are important determinants of population health outcomes and health inequalities. However, there is a shortage of evidence to inform policymakers of the health consequences of such policies. The Health Equity and Its Economic Determinants project aims to assess the potential impacts of different taxation and social security policies across Europe on population health and health inequalities using a computer-based simulation that provides projections over multiple health domains. Methods and analysis In the first phase, key input parameters for the model will be estimated using estimation techniques that control for the effects of prior exposure on time-varying confounders and mediators (g-methods). The second phase will involve developing and validating the microsimulation model for the UK. Policy proposals, developed with policymakers, will be simulated in the third phase to investigate the impacts of income tax and social security changes on population health and health inequalities. In the final phase, the microsimulation model will be extended across other European countries. Ethics and dissemination This project will use deidentified secondary data for which ethical approval and consents were received by the original data collectors. No further ethical approval will be required for our main analytical dataset</w:t>
      </w:r>
    </w:p>
    <w:p>
      <w:pPr/>
      <w:r>
        <w:rPr>
          <w:b/>
        </w:rPr>
        <w:t>POSSIBLE 2022:</w:t>
      </w:r>
      <w:r>
        <w:t xml:space="preserve"> Modeling Fuzzy Fidelity: Using Microsimulation to Explore Age, Period, and Cohort Effects in Secularization — https://doi.org/10.1163/2589742x-bja10012</w:t>
      </w:r>
    </w:p>
    <w:p>
      <w:pPr/>
      <w:r>
        <w:rPr>
          <w:b/>
        </w:rPr>
        <w:t>Shared claim-specific concepts:</w:t>
      </w:r>
      <w:r>
        <w:t xml:space="preserve"> microsimulation, population, period; EU scope visible. This is a provisional connection, not an outcome finding.</w:t>
      </w:r>
    </w:p>
    <w:p>
      <w:pPr>
        <w:pStyle w:val="SourceNote"/>
      </w:pPr>
      <w:r>
        <w:rPr>
          <w:b/>
        </w:rPr>
        <w:t>Available abstract (not full text):</w:t>
      </w:r>
      <w:r>
        <w:t xml:space="preserve"> Abstract This article presents a microsimulation that explores age, period, and cohort effects in the decline of religiosity in contemporary societies. The model implements a well-known and previously empirically validated theory of secularization that highlights the role of “fuzzy fidelity,” i.e., the percentage of a population whose religiosity is moderate (Voas 2009). Validation of the model involved comparing its simulation results to shifts in religiosity over 9 waves of the European Social Survey. Simulation experiments suggest that a cohort effect, based on weakened transmission of religiosity as a function of the social environment, appears to be the best explanation for secularization in the societies studied, both for the population as a whole and for the proportions of religious, fuzzy, and secular people.</w:t>
      </w:r>
    </w:p>
    <w:p>
      <w:pPr/>
      <w:r>
        <w:rPr>
          <w:b/>
        </w:rPr>
        <w:t>POSSIBLE 2021:</w:t>
      </w:r>
      <w:r>
        <w:t xml:space="preserve"> Projecting health-ageing trajectories in Europe using a dynamic microsimulation model — https://doi.org/10.1038/s41598-021-81092-z</w:t>
      </w:r>
    </w:p>
    <w:p>
      <w:pPr/>
      <w:r>
        <w:rPr>
          <w:b/>
        </w:rPr>
        <w:t>Shared claim-specific concepts:</w:t>
      </w:r>
      <w:r>
        <w:t xml:space="preserve"> microsimulation, used, project, population, period; EU scope visible. This is a provisional connection, not an outcome finding.</w:t>
      </w:r>
    </w:p>
    <w:p>
      <w:pPr>
        <w:pStyle w:val="SourceNote"/>
      </w:pPr>
      <w:r>
        <w:rPr>
          <w:b/>
        </w:rPr>
        <w:t>Available abstract (not full text):</w:t>
      </w:r>
      <w:r>
        <w:t xml:space="preserve"> The extent of the challenges and opportunities that population ageing presents depends heavily on the population's health. Hence, for the development of appropriate strategies that enable countries to adopt the emerging demographic and epidemiological realities, information on future health trajectories of elderly population is a natural requirement. This study presents an innovative methodological framework for projecting the health of individuals using a dynamic microsimulation model that considers interactions between sociodemographic characteristics, health, mortality, bio-medical and behavioral risk factors. The model developed, called ATHLOS-Mic, is used to project the health of cohorts born before 1960 for the period 2015-2060 for selected European Countries using SHARE data to illustrate the possible effects of some selected risk factors and education on future health trajectories. Results show that, driven by a better educational attainment, each generation will be healthier than the previous one at same age. Also, we see that, on average, an individual of our base population will live about 18 more years since the start of the projection period, but only 5 years in good health. Finally, we find that a scenario that removes the effect of having a low level of education on individual health has the largest impact on the projected average health, the average number of ye</w:t>
      </w:r>
    </w:p>
    <w:p>
      <w:pPr/>
      <w:r>
        <w:rPr>
          <w:b/>
        </w:rPr>
        <w:t>POSSIBLE 2021:</w:t>
      </w:r>
      <w:r>
        <w:t xml:space="preserve"> Development and Validation of Three Regional Microsimulation Models for Predicting Colorectal Cancer Screening Benefits in Europe — https://doi.org/10.1177/2381468320984974</w:t>
      </w:r>
    </w:p>
    <w:p>
      <w:pPr/>
      <w:r>
        <w:rPr>
          <w:b/>
        </w:rPr>
        <w:t>Shared claim-specific concepts:</w:t>
      </w:r>
      <w:r>
        <w:t xml:space="preserve"> microsimulation, period, different, rates; EU scope visible. This is a provisional connection, not an outcome finding.</w:t>
      </w:r>
    </w:p>
    <w:p>
      <w:pPr>
        <w:pStyle w:val="SourceNote"/>
      </w:pPr>
      <w:r>
        <w:rPr>
          <w:b/>
        </w:rPr>
        <w:t>Available abstract (not full text):</w:t>
      </w:r>
      <w:r>
        <w:t xml:space="preserve"> Background. Validated microsimulation models have been shown to be useful tools in providing support for colorectal cancer (CRC) screening decisions. Aiming to assist European countries in reducing CRC mortality, we developed and validated three regional models for evaluating CRC screening in Europe. Methods. Microsimulation Screening Analysis–Colon (MISCAN-Colon) model versions for Italy, Slovenia, and Finland were quantified using data from different national institutions. These models were validated against the best available evidence for the effectiveness of screening from their region (when available): the Screening for COlon REctum (SCORE) trial and the Florentine fecal immunochemical test (FIT) screening study for Italy; the Norwegian Colorectal Cancer Prevention (NORCCAP) trial and the guaiac fecal occult blood test (gFOBT) Finnish population-based study for Finland. When published evidence was not available (Slovenia), the model was validated using cancer registry data. Results. Our three models reproduced age-specific CRC incidence rates and stage distributions in the prescreening period. Moreover, the Italian and Finnish models replicated CRC mortality reductions (reasonably) well against the best available evidence. CRC mortality reductions were predicted slightly larger than those observed (except for the Florentine FIT study), but consistently within the correspon</w:t>
      </w:r>
    </w:p>
    <w:p>
      <w:pPr/>
      <w:r>
        <w:rPr>
          <w:b/>
        </w:rPr>
        <w:t>POSSIBLE 2021:</w:t>
      </w:r>
      <w:r>
        <w:t xml:space="preserve"> Development and Validation of Three Regional Microsimulation Models for Predicting Colorectal Cancer Screening Benefits in Europe — https://doi.org/10.25384/sage.c.5291471</w:t>
      </w:r>
    </w:p>
    <w:p>
      <w:pPr/>
      <w:r>
        <w:rPr>
          <w:b/>
        </w:rPr>
        <w:t>Shared claim-specific concepts:</w:t>
      </w:r>
      <w:r>
        <w:t xml:space="preserve"> microsimulation, period, different, rates; EU scope visible. This is a provisional connection, not an outcome finding.</w:t>
      </w:r>
    </w:p>
    <w:p>
      <w:pPr>
        <w:pStyle w:val="SourceNote"/>
      </w:pPr>
      <w:r>
        <w:rPr>
          <w:b/>
        </w:rPr>
        <w:t>Available abstract (not full text):</w:t>
      </w:r>
      <w:r>
        <w:t xml:space="preserve"> Background. Validated microsimulation models have been shown to be useful tools in providing support for colorectal cancer (CRC) screening decisions. Aiming to assist European countries in reducing CRC mortality, we developed and validated three regional models for evaluating CRC screening in Europe. Methods. Microsimulation Screening Analysis–Colon (MISCAN-Colon) model versions for Italy, Slovenia, and Finland were quantified using data from different national institutions. These models were validated against the best available evidence for the effectiveness of screening from their region (when available): the Screening for COlon REctum (SCORE) trial and the Florentine fecal immunochemical test (FIT) screening study for Italy; the Norwegian Colorectal Cancer Prevention (NORCCAP) trial and the guaiac fecal occult blood test (gFOBT) Finnish population-based study for Finland. When published evidence was not available (Slovenia), the model was validated using cancer registry data. Results. Our three models reproduced age-specific CRC incidence rates and stage distributions in the prescreening period. Moreover, the Italian and Finnish models replicated CRC mortality reductions (reasonably) well against the best available evidence. CRC mortality reductions were predicted slightly larger than those observed (except for the Florentine FIT study), but consistently within the correspon</w:t>
      </w:r>
    </w:p>
    <w:p>
      <w:pPr/>
      <w:r>
        <w:rPr>
          <w:b/>
        </w:rPr>
        <w:t>POSSIBLE 2021:</w:t>
      </w:r>
      <w:r>
        <w:t xml:space="preserve"> POS-323 INSIDE CKD: PROJECTING THE FUTURE BURDEN OF CHRONIC KIDNEY DISEASE IN EUROPE USING MICROSIMULATION MODELLING — https://doi.org/10.1016/j.ekir.2021.03.339</w:t>
      </w:r>
    </w:p>
    <w:p>
      <w:pPr/>
      <w:r>
        <w:rPr>
          <w:b/>
        </w:rPr>
        <w:t>Shared claim-specific concepts:</w:t>
      </w:r>
      <w:r>
        <w:t xml:space="preserve"> microsimulation, project, period; EU scope visible. This is a provisional connection, not an outcome finding.</w:t>
      </w:r>
    </w:p>
    <w:p>
      <w:pPr>
        <w:pStyle w:val="SourceNote"/>
      </w:pPr>
      <w:r>
        <w:rPr>
          <w:b/>
        </w:rPr>
        <w:t>Available abstract (not full text):</w:t>
      </w:r>
      <w:r>
        <w:t xml:space="preserve"> Chronic kidney disease (CKD) is a debilitating and costly condition, affecting about 10% of people globally. Progression of CKD is associated with increased incidence of cardiovascular events, adverse renal outcomes and mortality, as well as high costs from renal replacement therapy (RRT) in end-stage renal disease. The future trajectories of CKD prevalence, progression and outcomes and their related costs, are critical considerations for public health and policy planning. Inside CKD aims to project, for the 2020–2025 period, the public health burden of CKD in Europe using a patient-level microsimulation-based model.</w:t>
      </w:r>
    </w:p>
    <w:p>
      <w:pPr/>
      <w:r>
        <w:rPr>
          <w:b/>
        </w:rPr>
        <w:t>POSSIBLE 2021:</w:t>
      </w:r>
      <w:r>
        <w:t xml:space="preserve"> Developing an integrated microsimulation model for the impact of fiscal policies on child health in Europe: the example of childhood obesity in Italy — https://doi.org/10.1186/s12916-021-02155-6</w:t>
      </w:r>
    </w:p>
    <w:p>
      <w:pPr/>
      <w:r>
        <w:rPr>
          <w:b/>
        </w:rPr>
        <w:t>Shared claim-specific concepts:</w:t>
      </w:r>
      <w:r>
        <w:t xml:space="preserve"> microsimulation, population, different, increase; EU scope visible. This is a provisional connection, not an outcome finding.</w:t>
      </w:r>
    </w:p>
    <w:p>
      <w:pPr>
        <w:pStyle w:val="SourceNote"/>
      </w:pPr>
      <w:r>
        <w:rPr>
          <w:b/>
        </w:rPr>
        <w:t>Available abstract (not full text):</w:t>
      </w:r>
      <w:r>
        <w:t xml:space="preserve"> BACKGROUND: We developed an integrated model called Microsimulation for Income and Child Health (MICH) that provides a tool for analysing the prospective effects of fiscal policies on childhood health in European countries. The aim of this first MICH study is to evaluate the impact of alternative fiscal policies on childhood overweight and obesity in Italy. METHODS: MICH model is composed of three integrated modules. Firstly, module 1 (M1) simulates the effects of fiscal policies on disposable household income using the tax-benefit microsimulation program EUROMOD fed with the Italian EU-SILC 2010 data. Secondly, module 2 (M2) exploits data provided by the Italian birth cohort called Nascita e Infanzia: gli Effetti dell'Ambiente (NINFEA), translated as Birth and Childhood: the Effects of the Environment study, and runs a series of concatenated regressions in order to estimate the prospective effects of income on child body mass index (BMI) at different ages. Finally, module 3 (M3) uses dynamic microsimulation techniques that combine the population structure and incomes obtained by M1, with regression model specifications and estimated effect sizes provided by M2, projecting BMI distributions according to the simulated policy scenarios. RESULTS: Both universal benefits, such as universal basic income (BI), and targeted interventions, such as child benefit (CB) for poorer househol</w:t>
      </w:r>
    </w:p>
    <w:p>
      <w:pPr/>
      <w:r>
        <w:rPr>
          <w:b/>
        </w:rPr>
        <w:t>POSSIBLE 2021:</w:t>
      </w:r>
      <w:r>
        <w:t xml:space="preserve"> MO494INSIDE CKD: MODELLING THE ECONOMIC BURDEN OF CHRONIC KIDNEY DISEASE IN EUROPE USING PATIENT-LEVEL MICROSIMULATION — https://doi.org/10.1093/ndt/gfab087.0014</w:t>
      </w:r>
    </w:p>
    <w:p>
      <w:pPr/>
      <w:r>
        <w:rPr>
          <w:b/>
        </w:rPr>
        <w:t>Shared claim-specific concepts:</w:t>
      </w:r>
      <w:r>
        <w:t xml:space="preserve"> microsimulation, used, population, country-specific, rates, increase; EU scope visible. This is a provisional connection, not an outcome finding.</w:t>
      </w:r>
    </w:p>
    <w:p>
      <w:pPr>
        <w:pStyle w:val="SourceNote"/>
      </w:pPr>
      <w:r>
        <w:rPr>
          <w:b/>
        </w:rPr>
        <w:t>Available abstract (not full text):</w:t>
      </w:r>
      <w:r>
        <w:t xml:space="preserve"> Abstract Background and Aims Chronic kidney disease (CKD) is a debilitating and costly condition, affecting approximately 10% of people globally. Progression of CKD is associated with an increased incidence of adverse renal and cardiovascular outcomes, and premature mortality, as well as increased requirement for renal replacement therapies (RRTs), which are associated with significant healthcare costs and resource use. The trajectories of CKD prevalence, progression, outcomes and the related costs are therefore critical considerations for public health and policy planning. Using country-specific, patient-level microsimulation, Inside CKD aims to model the global clinical and economic burden of CKD from 2020 to 2025. Method We used the Inside CKD microsimulation to model the economic burden of CKD in Europe. A virtual general population was developed for each country using national survey data and relevant data from published literature. Data inputs included country demographics, the prevalence of CKD and RRT, comorbidities and complication rates, as well as associated healthcare costs. CKD stages were defined according to Kidney Disease Improving Global Outcomes (KDIGO) 2012 recommendations and patients were categorized according to estimated glomerular filtration rate and albuminuria status. RRT modelling was calibrated against historical trends from country-specific renal re</w:t>
      </w:r>
    </w:p>
    <w:p>
      <w:pPr>
        <w:pStyle w:val="Heading2"/>
      </w:pPr>
      <w:r>
        <w:t>709.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2025:</w:t>
      </w:r>
      <w:r>
        <w:t xml:space="preserve"> Background report of ex-ante LCAs for CBE JU application IRIS — https://openalex.org/W7112006283</w:t>
      </w:r>
    </w:p>
    <w:p>
      <w:pPr/>
      <w:r>
        <w:rPr>
          <w:b/>
        </w:rPr>
        <w:t>Shared claim-specific concepts:</w:t>
      </w:r>
      <w:r>
        <w:t xml:space="preserve"> lca, environmental, categories, co2, reduction; EU scope visible. This is a provisional connection, not an outcome finding.</w:t>
      </w:r>
    </w:p>
    <w:p>
      <w:pPr>
        <w:pStyle w:val="SourceNote"/>
      </w:pPr>
      <w:r>
        <w:rPr>
          <w:b/>
        </w:rPr>
        <w:t>Available abstract (not full text):</w:t>
      </w:r>
      <w:r>
        <w:t xml:space="preserve"> To assess the environmental sustainability aspects of the IRIS technologies, ex-ante LCAs were carried out, considering a broad range of environmental impact categories like climate, resource efficiency and pollution (emissions to air, soil and water). The overall goal was to quantify the potential environmental effects from upscaling the technologies, in reference to a conventional benchmark considering the potential benefit of the IRIS innovations. A second goal was to identify critical issues of each technology early on, so that risks could be identified and IRIS could steer the development in the right direction. The data availability for the ex-ante LCAs varied greatly for different reasons, so each assessment should be discussed and interpreted separately. Biobased indigo: This ex-ante LCA is based on a recent internal study (2024). The alternative with the highest climate mitigation potential was the 2023 process (50%), followed by the fermentation process (46%) and finally the 2020 process (15%). The overall results from the study indicate that the proposed indigo solution has significant potential for environmental impact mitigation. Microbial dyes derived from atmospheric CO2 :This ex-ante LCA was modelled using specific process data obtained from partner’s pilot production. The results show that the climate impact of the biobased dye (2.5 kg CO2-eq/kg of dye) is 13% </w:t>
      </w:r>
    </w:p>
    <w:p>
      <w:pPr/>
      <w:r>
        <w:rPr>
          <w:b/>
        </w:rPr>
        <w:t>POSSIBLE 2025:</w:t>
      </w:r>
      <w:r>
        <w:t xml:space="preserve"> Anticipating uncertainty in infrastructure LCC, LCA, and S-LCA: A systematic, context-aware early identification framework — https://doi.org/10.1016/j.eiar.2025.108175</w:t>
      </w:r>
    </w:p>
    <w:p>
      <w:pPr/>
      <w:r>
        <w:rPr>
          <w:b/>
        </w:rPr>
        <w:t>Shared claim-specific concepts:</w:t>
      </w:r>
      <w:r>
        <w:t xml:space="preserve"> lca, indicators, across; EU scope not established. This is a provisional connection, not an outcome finding.</w:t>
      </w:r>
    </w:p>
    <w:p>
      <w:pPr>
        <w:pStyle w:val="SourceNote"/>
      </w:pPr>
      <w:r>
        <w:rPr>
          <w:b/>
        </w:rPr>
        <w:t>Available abstract (not full text):</w:t>
      </w:r>
      <w:r>
        <w:t xml:space="preserve"> Uncertainty undermines the reliability of Life Cycle Costing (LCC), Life Cycle Assessment (LCA), and Social Life Cycle Assessment (S-LCA) in Infrastructure Asset Management (IAM). Many methods for uncertainty analysis exist, but practitioners often lack systematic guidance to anticipate how uncertainties will unfold in specific assessments and thereby how to manage them. We propose a pre-emptive framework that anchors uncertainty analysis in the shared modelling structure of product systems, processes, and flows, making it transferable across the three methodologies. The framework links assessment context to uncertainty through three profiling indicators—instance count, intensity level, and prospective needs—and eleven infrastructure-specific dimensions that shape them. Mapping these dimensions across IAM decision-making levels illustrates how uncertainty escalates in the assessment contexts in which individual studies are embedded. A practitioner's checklist translates the framework into an early uncertainty profiling tool, guiding analysts to target rigorous modelling and quantification where it matters most. The discussion highlights the critical interdependencies between dimensions and identifies prospective needs as the dominant driver of uncertainty. Ultimately, by making uncertainty profiles explicit up front, the framework fosters proportionate, transparent, and context</w:t>
      </w:r>
    </w:p>
    <w:p>
      <w:pPr/>
      <w:r>
        <w:rPr>
          <w:b/>
        </w:rPr>
        <w:t>POSSIBLE 2024:</w:t>
      </w:r>
      <w:r>
        <w:t xml:space="preserve"> Ex-ante LCA of magnet recycling: Progressing towards sustainable industrial-scale technology — https://doi.org/10.1016/j.jclepro.2024.142453</w:t>
      </w:r>
    </w:p>
    <w:p>
      <w:pPr/>
      <w:r>
        <w:rPr>
          <w:b/>
        </w:rPr>
        <w:t>Shared claim-specific concepts:</w:t>
      </w:r>
      <w:r>
        <w:t xml:space="preserve"> lca, environmental, categories; EU scope not established. This is a provisional connection, not an outcome finding.</w:t>
      </w:r>
    </w:p>
    <w:p>
      <w:pPr>
        <w:pStyle w:val="SourceNote"/>
      </w:pPr>
      <w:r>
        <w:rPr>
          <w:b/>
        </w:rPr>
        <w:t>Available abstract (not full text):</w:t>
      </w:r>
      <w:r>
        <w:t xml:space="preserve"> To alleviate the pressure on the rare earth supply chain, new technologies are under development for recovering, recycling and remanufacturing NdFeB magnets. In this study, the anticipated environmental performance of large-scale recycling is investigated and compared to the production of primary magnets. To do so, this ex-ante life cycle assessment combines input from measurements of pilot processes, expert technology forecasts, thermodynamic modelling, and equipment data from manufacturers. We examined the effect of four technology developments: process changes, size scaling, internal recycling, and optimization. The results show that at pilot scale, recovered NdFeB powders have lower impacts than primary powders for almost all impact categories. This demonstrates that the recovery of NdFeB alloys is environmentally beneficial. Magnets from anticipated large-scale recycling have over 80% lower impacts than primary magnets in most of the impact categories analyzed. All four investigated types of technology development contributed to this improved performance. The final configuration was validated by comparison with an industrial reference and theoretical optimum configuration. Four magnet manufacturing routes (sintering, extrusion, metal injection molding, bonding) have distinct environmental profiles, but all can progress to similarly low levels of impact. The choice among ro</w:t>
      </w:r>
    </w:p>
    <w:p>
      <w:pPr/>
      <w:r>
        <w:rPr>
          <w:b/>
        </w:rPr>
        <w:t>POSSIBLE 2023:</w:t>
      </w:r>
      <w:r>
        <w:t xml:space="preserve"> Waste LCA and the future — https://doi.org/10.1016/j.wasman.2023.11.021</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Life cycle assessment (LCA) models quantifying the environmental aspects of waste management have become an integral part of waste management decision-making over the last two decades and have provided ample knowledge on both environmental benefits and drawbacks in the way we handle waste. Waste management and LCA modelling of waste management systems will soon be challenged by profound changes necessary in our societies and sectors to meet sustainable development goals. Foreseen changes in energy, material, and nutrient provision will directly and indirectly affect waste management in terms of its operation and goals. This study reflects on anticipated changes in society and industrial sectors and how these changes may affect waste management and LCA modelling of waste management systems in terms of waste input, the modelling of technologies and systems and exchanges of energy, materials, and nutrients, as well as how it may affect impact assessment and the interpretation of results. The study provides practical recommendations for LCA modelling of future waste management systems, which will hopefully lead to robust assessments that can support decision-making in an evolving society subject to great changes.</w:t>
      </w:r>
    </w:p>
    <w:p>
      <w:pPr/>
      <w:r>
        <w:rPr>
          <w:b/>
        </w:rPr>
        <w:t>POSSIBLE 2023:</w:t>
      </w:r>
      <w:r>
        <w:t xml:space="preserve"> A LCA and LCC analysis of pure subtractive manufacturing, wire arc additive manufacturing, and selective laser melting approaches — https://doi.org/10.1016/j.jmapro.2023.05.102</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The development of sustainable manufacturing solutions is gaining attention in the manufacturing sector due to increased awareness about climate change and the formulation of stricter environmental legislation. Sustainable manufacturing involves the development of solutions that are environmentally friendly and cost-effective at the same time. Considering the opportunities and limitations of metal subtractive and additive manufacturing approaches from a sustainability perspective, this study aims to compare the environmental impact and production costs associated with the manufacture of a marine propeller using pure subtractive CNC milling along with additive Wire arc additive manufacturing (WAAM) and Selective Laser Melting (SLM) approaches. Life Cycle Assessment (LCA) and Life Cycle Costing (LCC) are used to quantify the environmental and economic impacts, respectively for each manufacturing approach. Based on the LCA and LCC models formulated, and the input data collected, the WAAM approach is observed to be the most environmentally and cost-efficient approach for the marine propeller analyzed. WAAM shows an environmental impact about 2.5 times and 3.4 times lower than pure CNC milling and SLM approaches, respectively mainly due to its better material and energy efficiencies. The effect of key variables on the environmental impact and production cost such as raw material, el</w:t>
      </w:r>
    </w:p>
    <w:p>
      <w:pPr/>
      <w:r>
        <w:rPr>
          <w:b/>
        </w:rPr>
        <w:t>POSSIBLE 2022:</w:t>
      </w:r>
      <w:r>
        <w:t xml:space="preserve"> Stochastic Ex-Ante LCA under Multidimensional Uncertainty: Anticipating the Production of Undiscovered Microalgal Compounds in Europe — https://doi.org/10.1021/acs.est.2c04849</w:t>
      </w:r>
    </w:p>
    <w:p>
      <w:pPr/>
      <w:r>
        <w:rPr>
          <w:b/>
        </w:rPr>
        <w:t>Shared claim-specific concepts:</w:t>
      </w:r>
      <w:r>
        <w:t xml:space="preserve"> lca, environmental; EU scope visible. This is a provisional connection, not an outcome finding.</w:t>
      </w:r>
    </w:p>
    <w:p>
      <w:pPr>
        <w:pStyle w:val="SourceNote"/>
      </w:pPr>
      <w:r>
        <w:rPr>
          <w:b/>
        </w:rPr>
        <w:t>Available abstract (not full text):</w:t>
      </w:r>
      <w:r>
        <w:t xml:space="preserve"> Due to their biodiversity, microalgae represent a promising source of high-value compounds that bioprospecting is aiming to reveal. Performing an ex-ante Life Cycle Assessment (LCA) to anticipate and potentially minimize the environmental burden associated with the European production of a bioprospected microalgal compound is subject to substantial and multi-factorial uncertainty as the compound remains undiscovered. Given that any microalgal strain could potentially host the compound of interest, the ex-ante LCA should consider this bioprospecting uncertainty together with the uncertainty on the technology and the production mix. Using a parameterized cultivation simulation and consequential LCA model and an extensive stochastic pseudo Monte Carlo approach, we define and propagate techno-operational, bioprospecting, and production mix uncertainties for a microalgal compound being currently bioprospected in Europe. We perform global sensitivity analysis using different sampling strategies to identify the main contributors to the total output variance. Overall, the uncertainty propagation allowed us to define and analyze the probabilistic scope for the potential environmental impacts in the emerging production of high-value microalgal compounds in Europe based on current knowledge. These findings can support policy-making as well as actors in the microalgal sector toward technol</w:t>
      </w:r>
    </w:p>
    <w:p>
      <w:pPr/>
      <w:r>
        <w:rPr>
          <w:b/>
        </w:rPr>
        <w:t>POSSIBLE 2022:</w:t>
      </w:r>
      <w:r>
        <w:t xml:space="preserve"> Closing gaps in LCA of lithium-ion batteries: LCA of lab-scale cell production with new primary data — https://doi.org/10.1016/j.jclepro.2022.135510</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Battery storage systems have become an important pillar in the transformation of the energy and transportation sector over the last decades. Lithium-ion batteries (LIBs) are the dominating technology in this process making them a constant subject of analysis regarding their sustainability. To assess their environmental performance, several Life Cycle Assessments (LCA) of LIBs have been performed over the last years. Yet, the amount of available primary data on their production remains low, leading to recurrent reliance on a few disclosed datasets, mostly at industrial scale. Thus, there is a need for new LCA studies at different scales (lab, pilot, industrial) using transparent datasets to facilitate more reliable and robust assessments. This work presents a screening of recent environmental assessments for LIBs at different production scales aiming at identifying remaining gaps and challenges, and deriving a detailed LCA of a lab-scale battery cell production. For the first time the environmental impact of a lab-scale battery production based on process-oriented primary data is investigated. The results are flanked by sensitivity analyses and scenarios and compared with literature values. The hotspots identified in this study, cathode slurry, anode current collector, as well as the energy demand of the dry room and coating process, are consistent with the literature, although </w:t>
      </w:r>
    </w:p>
    <w:p>
      <w:pPr/>
      <w:r>
        <w:rPr>
          <w:b/>
        </w:rPr>
        <w:t>POSSIBLE 2022:</w:t>
      </w:r>
      <w:r>
        <w:t xml:space="preserve"> Exploring the photocatalytic total oxidation of methane through the lens of a prospective LCA — https://doi.org/10.1016/j.aeaoa.2022.100190</w:t>
      </w:r>
    </w:p>
    <w:p>
      <w:pPr/>
      <w:r>
        <w:rPr>
          <w:b/>
        </w:rPr>
        <w:t>Shared claim-specific concepts:</w:t>
      </w:r>
      <w:r>
        <w:t xml:space="preserve"> lca, environmental, emission; EU scope not established. This is a provisional connection, not an outcome finding.</w:t>
      </w:r>
    </w:p>
    <w:p>
      <w:pPr>
        <w:pStyle w:val="SourceNote"/>
      </w:pPr>
      <w:r>
        <w:rPr>
          <w:b/>
        </w:rPr>
        <w:t>Available abstract (not full text):</w:t>
      </w:r>
      <w:r>
        <w:t xml:space="preserve"> Hundreds of megatons of the second most important greenhouse gas (GHG), methane, are released annually to the atmosphere, often from emission sources which are difficult to abate. Research on post-emission mitigation technology is scarce and still in its infancy. This paper proposes a self-sufficient photocatalytic system to mitigate atmospheric methane via total oxidation to CO 2 and analyzes its future viability and feasibility using environmental as well as physicochemical metrics. A four-step, explorative, scaled-up, prospective life cycle assessment (LCA) for the year 2050 shows that, in the best-case scenario, the market-ready photocatalytic module will amortize the produced GHG emissions in 1.5 years, while under more conservative assumptions, the physicochemical properties hinder a climate reasonable implementation. Targets like photocatalytic turnover numbers as well as reaction rates are calculated and compared to values reported in the literature to enable goal-oriented research and development. It is shown that more R&amp;D is needed to have the proposed photocatalyst ready by 2050. The importance of methane mitigation development is highlighted and avenues for doing so are presented.</w:t>
      </w:r>
    </w:p>
    <w:p>
      <w:pPr/>
      <w:r>
        <w:rPr>
          <w:b/>
        </w:rPr>
        <w:t>POSSIBLE 2022:</w:t>
      </w:r>
      <w:r>
        <w:t xml:space="preserve"> A Modular Tool to Support Data Management for LCA in Industry: Methodology, Application and Potentialities — https://doi.org/10.3390/su14073746</w:t>
      </w:r>
    </w:p>
    <w:p>
      <w:pPr/>
      <w:r>
        <w:rPr>
          <w:b/>
        </w:rPr>
        <w:t>Shared claim-specific concepts:</w:t>
      </w:r>
      <w:r>
        <w:t xml:space="preserve"> lca, environmental, across; EU scope not established. This is a provisional connection, not an outcome finding.</w:t>
      </w:r>
    </w:p>
    <w:p>
      <w:pPr>
        <w:pStyle w:val="SourceNote"/>
      </w:pPr>
      <w:r>
        <w:rPr>
          <w:b/>
        </w:rPr>
        <w:t>Available abstract (not full text):</w:t>
      </w:r>
      <w:r>
        <w:t xml:space="preserve"> Life Cycle Assessment (LCA) computes potential environmental impacts of a product or process. However, LCAs in the industrial sector are generally delivered through static yearly analyses which cannot capture any temporal dynamics of inventory data. Moreover, LCA must deal with differences across background models, Life Cycle Impact Assessment (LCIA) methods and specific rules of environmental labels, together with their developments over time and the difficulty of the non-expert organization staff to effectively interpret LCA results. A case study which discusses how to manage these barriers and their relevance is currently lacking. Here, we fill this gap by proposing a general methodology to develop a modular tool which integrates spreadsheets, LCA software, coding and visualization modules that can be independently modified while leaving the architecture unchanged. We test the tool within the ORI Martin secondary steelmaking plant, finding that it can manage (i) a high amount of primary foreground data to build a dynamic LCA; (ii) different background models, LCIA methods and environmental labels rules; (iii) interactive visualizations. Then, we outline the relevance of these capabilities since (i) temporal dynamics of foreground inventory data affect monthly LCA results, which may vary by ±14% around the yearly value; (ii) background datasets, LCIA methods and environmental</w:t>
      </w:r>
    </w:p>
    <w:p>
      <w:pPr/>
      <w:r>
        <w:rPr>
          <w:b/>
        </w:rPr>
        <w:t>POSSIBLE 2021:</w:t>
      </w:r>
      <w:r>
        <w:t xml:space="preserve"> Environmental assessments of scales: The effect of ex-ante and ex-post data on life cycle assessment of wood torrefaction — https://doi.org/10.1016/j.resconrec.2021.105906</w:t>
      </w:r>
    </w:p>
    <w:p>
      <w:pPr/>
      <w:r>
        <w:rPr>
          <w:b/>
        </w:rPr>
        <w:t>Shared claim-specific concepts:</w:t>
      </w:r>
      <w:r>
        <w:t xml:space="preserve"> ex-post, lca, environmental; EU scope not established. This is a provisional connection, not an outcome finding.</w:t>
      </w:r>
    </w:p>
    <w:p>
      <w:pPr>
        <w:pStyle w:val="SourceNote"/>
      </w:pPr>
      <w:r>
        <w:rPr>
          <w:b/>
        </w:rPr>
        <w:t>Available abstract (not full text):</w:t>
      </w:r>
      <w:r>
        <w:t xml:space="preserve"> Life Cycle Assessment (LCA) is a powerful tool for achieving sustainability. Traditional LCAs analyze well defined and developed industrial systems, but recent developments of LCA focus on analyzing emerging technologies which are not yet optimized with respect to energy and materials. Therefore, LCA results of ex-ante applications can be very different from ex-post applications for the same system. The purpose of this study is to show the different effects of data scales on LCA results regarding global warming, fine particulate matter formation, terrestrial acidification and freshwater eutrophication potentials. For this purpose torrefaction technology was selected as the case study and assessed based on bench scale data, lab scale data, data derived from process simulations, pilot scale data and commercial scale data. Considered environmental impacts were global warming, fine particulate matter formation, terrestrial acidification and freshwater eutrophication. Results showed that process efficiencies improved significantly between the bench scale system and systems with higher technology readiness levels (TRLs), such as pilot, process simulations and commercial scale systems. Furthermore, process simulations result in scores closer to commercial scale regarding all considered environmental impacts. However, if LCA practitioners focus only on global warming impact, then pilot</w:t>
      </w:r>
    </w:p>
    <w:p>
      <w:pPr>
        <w:pStyle w:val="Heading2"/>
      </w:pPr>
      <w:r>
        <w:t>710.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2021:</w:t>
      </w:r>
      <w:r>
        <w:t xml:space="preserve"> 72 The butterfly project – improving treatment escalation planning in the emergency department — https://doi.org/10.1136/spcare-2021-pcc.90</w:t>
      </w:r>
    </w:p>
    <w:p>
      <w:pPr/>
      <w:r>
        <w:rPr>
          <w:b/>
        </w:rPr>
        <w:t>Shared claim-specific concepts:</w:t>
      </w:r>
      <w:r>
        <w:t xml:space="preserve"> respect, requires, rate; EU scope not established. This is a provisional connection, not an outcome finding.</w:t>
      </w:r>
    </w:p>
    <w:p>
      <w:pPr>
        <w:pStyle w:val="SourceNote"/>
      </w:pPr>
      <w:r>
        <w:rPr>
          <w:b/>
        </w:rPr>
        <w:t>Available abstract (not full text):</w:t>
      </w:r>
      <w:r>
        <w:t xml:space="preserve"> Background The 2017 End of Life Care Hospital Improvement Programme (ELCHIP) audit of deaths at the Leicester Royal Infirmary (LRI) an Emergency Department (ED) attendance may be an opportunity to proactively identify and plan for deterioration. The clinical frailty scale (CFS) can identify older people at increased risk of deterioration or dying and local data suggests a 1 year mortality rate of 50% in the cohort of patients with CFS 7–9. Methods The Butterfly Project is a multidisciplinary quality improvement project aiming to increase the percentage of older people CFS 7–9 dying in their preferred place of care, with additional outcomes based on early identification of uncertain recovery and treatment escalation planning. ED notes were reviewed for all CFS 7–9 patients dying within 30 days of an ED attendance between February 2019 and May 2020. Interventions were broadly within two streams. The first focused on improving treatment escalation planning including verbal and visual prompts and the introduction of the ReSPECT process. The second was based on improving the skillset of ED staff via educational interventions. Results Between May 2019 and May 2020, although there was no change in the percentage of patients dying in their preferred place of care, statistical process control charts showed sustained upward shift in: Identification and communication of uncertain recovery</w:t>
      </w:r>
    </w:p>
    <w:p>
      <w:pPr/>
      <w:r>
        <w:rPr>
          <w:b/>
        </w:rPr>
        <w:t>POSSIBLE 2020:</w:t>
      </w:r>
      <w:r>
        <w:t xml:space="preserve"> Minding the gap: identifying values to enable public and patient involvement at the pre-commencement stage of research projects — https://doi.org/10.1186/s40900-020-00220-7</w:t>
      </w:r>
    </w:p>
    <w:p>
      <w:pPr/>
      <w:r>
        <w:rPr>
          <w:b/>
        </w:rPr>
        <w:t>Shared claim-specific concepts:</w:t>
      </w:r>
      <w:r>
        <w:t xml:space="preserve"> respect, includes, critical, applied; EU scope not established. This is a provisional connection, not an outcome finding.</w:t>
      </w:r>
    </w:p>
    <w:p>
      <w:pPr>
        <w:pStyle w:val="SourceNote"/>
      </w:pPr>
      <w:r>
        <w:rPr>
          <w:b/>
        </w:rPr>
        <w:t>Available abstract (not full text):</w:t>
      </w:r>
      <w:r>
        <w:t xml:space="preserve"> BACKGROUND: The University College Dublin (UCD) Public and Patient Invovlement (PPI) ignite program is focused on embedding PPI in health and social care related research, education and training, professional practice and administration. During a PPI knowledge sharing event challenges were noted during the pre-commencement stage of research projects. This stage includes the time before a research projects/partnership starts or when funding is being applied for. As a response, we agreed there was a need to spend time developing a values-based approach to be used from the pre-commencement of PPI projects and partnerships. Values are deeply held ideals that people consider to be important. They are vital in shaping our attitudes and motivating our choices and behaviours. METHODS: Using independent facilitators, we invited a diverse group of participants to a full-day workshop in February. During the workshop, the concept of a values statement and values-based approaches was introduced. The group via a majority consensus, agreed on a core set of values and a shared understanding of them. After the workshop, a draft was shared with participants for further comment and final agreement. RESULTS: The workshop had 22 people representing experts by experience, PPI charity partners, funders, academics and national PPI Ignite partners. The group via consensus identified four values of resp</w:t>
      </w:r>
    </w:p>
    <w:p>
      <w:pPr>
        <w:pStyle w:val="Heading2"/>
      </w:pPr>
      <w:r>
        <w:t>711.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2020:</w:t>
      </w:r>
      <w:r>
        <w:t xml:space="preserve"> Instrumental Activities of Daily Living (iADL) Limitations in Europe: An Assessment of SHARE Data — https://doi.org/10.3390/ijerph17207387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This study aims to evaluate the instrumental activities of daily living (iADLs) limitations in Europe and its association with socio-demographic characteristics, economic parameters and physical and mental health status. We used data from the wave 6 of SHARE database. Individuals were classified as having either none or one or more limitations on iADLs. Participants aged 65 or more years who answered all questions for the variables included in this work were selected. A total of 54.8% of participants were female and had a mean age of 74.37 (SD = 7.08) years. A global prevalence of 1 or more iADLs in Europe was shown to be 23.8% and more prevalent in women than in men (27.1% vs. 17.6%) and in people aged 85 years or more (51.5%). Older age, female gender, lower education, physical inactivity, frailty, having two or more chronic diseases, presence of depression, polypharmacy, poor self-perception of health and lower network satisfaction were found to be factors associated with the presence of 1 or more iADLs limitation. This study highlights the burden of iADLs limitations at the European level. These are based on a multidimensional biopsychosocial model and are associated with both health conditions and environmental factors. This intersection between the physical and social world underscores its potential as a health indicator and can, to some extent, explain some of the pronou</w:t>
      </w:r>
    </w:p>
    <w:p>
      <w:pPr/>
      <w:r>
        <w:rPr>
          <w:b/>
        </w:rPr>
        <w:t>POSSIBLE 2020:</w:t>
      </w:r>
      <w:r>
        <w:t xml:space="preserve"> The burden of neurological diseases in Europe: an analysis for the Global Burden of Disease Study 2017 — https://doi.org/10.1016/s2468-2667(20)30190-0</w:t>
      </w:r>
    </w:p>
    <w:p>
      <w:pPr/>
      <w:r>
        <w:rPr>
          <w:b/>
        </w:rPr>
        <w:t>Shared claim-specific concepts:</w:t>
      </w:r>
      <w:r>
        <w:t xml:space="preserve"> shown, all, countries; EU scope visible. This is a provisional connection, not an outcome finding.</w:t>
      </w:r>
    </w:p>
    <w:p>
      <w:pPr>
        <w:pStyle w:val="SourceNote"/>
      </w:pPr>
      <w:r>
        <w:rPr>
          <w:b/>
        </w:rPr>
        <w:t>Available abstract (not full text):</w:t>
      </w:r>
      <w:r>
        <w:t xml:space="preserve"> BACKGROUND: Neurological disorders account for a large and increasing health burden worldwide, as shown in the Global Burden of Diseases (GBD) Study 2016. Unpacking how this burden varies regionally and nationally is important to inform public health policy and prevention strategies. The population in the EU is older than that of the WHO European region (western, central, and eastern Europe) and even older than the global population, suggesting that it might be particularly vulnerable to an increasing burden of age-related neurological disorders. We aimed to compare the burden of neurological disorders in the EU between 1990 and 2017 with those of the WHO European region and worldwide. METHODS: The burden of neurological disorders was calculated for the year 2017 as incidence, prevalence, mortality, disability-adjusted life-years (DALYs), years of life lost, and years lived with disability for the countries in the EU and the WHO European region, totally and, separately. Diseases analysed were Alzheimer's disease and other dementias, epilepsy, headache (migraine and tension-type headache), multiple sclerosis, Parkinson's disease, brain cancer, motor neuron diseases, neuroinfectious diseases, and stroke. Data are presented as totals and by sex, age, year, location and socio-demographic context, and shown as counts and rates. FINDINGS: In 2017, the total number of DALYs attributab</w:t>
      </w:r>
    </w:p>
    <w:p>
      <w:pPr/>
      <w:r>
        <w:rPr>
          <w:b/>
        </w:rPr>
        <w:t>POSSIBLE 2020:</w:t>
      </w:r>
      <w:r>
        <w:t xml:space="preserve"> Flood trends in Europe: are changes in small and big floods different? — https://doi.org/10.5194/hess-24-1805-2020</w:t>
      </w:r>
    </w:p>
    <w:p>
      <w:pPr/>
      <w:r>
        <w:rPr>
          <w:b/>
        </w:rPr>
        <w:t>Shared claim-specific concepts:</w:t>
      </w:r>
      <w:r>
        <w:t xml:space="preserve"> selected, especially, regional;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r>
        <w:rPr>
          <w:b/>
        </w:rPr>
        <w:t>POSSIBLE 2020:</w:t>
      </w:r>
      <w:r>
        <w:t xml:space="preserve"> Mapping interventional cardiology in Europe: the European Association of Percutaneous Cardiovascular Interventions (EAPCI) Atlas Project — https://doi.org/10.1093/eurheartj/ehaa475</w:t>
      </w:r>
    </w:p>
    <w:p>
      <w:pPr/>
      <w:r>
        <w:rPr>
          <w:b/>
        </w:rPr>
        <w:t>Shared claim-specific concepts:</w:t>
      </w:r>
      <w:r>
        <w:t xml:space="preserve"> shown, countries, international; EU scope visible. This is a provisional connection, not an outcome finding.</w:t>
      </w:r>
    </w:p>
    <w:p>
      <w:pPr>
        <w:pStyle w:val="SourceNote"/>
      </w:pPr>
      <w:r>
        <w:rPr>
          <w:b/>
        </w:rPr>
        <w:t>Available abstract (not full text):</w:t>
      </w:r>
      <w:r>
        <w:t xml:space="preserve"> AIMS: The European Association of Percutaneous Cardiovascular Interventions (EAPCI) Atlas of Interventional Cardiology has been developed to map interventional practice across European Society of Cardiology (ESC) member countries. Here we present the main findings of a 16-country survey in which we examine the national availability of interventional infrastructure, human resource, and procedure volumes. METHODS AND RESULTS: Sixteen ESC member countries participated in the EAPCI Atlas survey. Interventional data were collected by the National Cardiac Society of each participating country. An annual median of 5131 [interquartile range (IQR) 4013-5801] diagnostic heart procedures per million people were reported, ranging from &lt;2500 in Egypt and Romania to &gt;7000 in Turkey and Germany. Procedure rates showed significant correlation (r = 0.67, P = 0.013) with gross national income (GNI) per capita. An annual median of 2478 (IQR 1690-2633) percutaneous coronary interventions (PCIs) per million people were reported, ranging from &lt;1000 in Egypt and Romania to &gt;3000 in Switzerland, Poland, and Germany. Procedure rates showed significant correlation with GNI per capita (r = 0.62, P = 0.014). An annual median of 48.2 (IQR 29.1-105.2) transcatheter aortic valve implantation procedures per million people were performed, varying from &lt;25 per million people in Egypt, Romania, Turkey, and Polan</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shown, international, regional;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countries, potential, especially, regional;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712.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European identity's effect on immigration attitudes: Testing the predictions of the common Ingroup identity model versus ingroup projection model — https://doi.org/10.1111/pops.12970</w:t>
      </w:r>
    </w:p>
    <w:p>
      <w:pPr/>
      <w:r>
        <w:rPr>
          <w:b/>
        </w:rPr>
        <w:t>Shared claim-specific concepts:</w:t>
      </w:r>
      <w:r>
        <w:t xml:space="preserve"> not, always; EU scope visible. This is a provisional connection, not an outcome finding.</w:t>
      </w:r>
    </w:p>
    <w:p>
      <w:pPr>
        <w:pStyle w:val="SourceNote"/>
      </w:pPr>
      <w:r>
        <w:rPr>
          <w:b/>
        </w:rPr>
        <w:t>Available abstract (not full text):</w:t>
      </w:r>
      <w:r>
        <w:t xml:space="preserve"> Abstract A superordinate identity unites different subgroups into an overarching, common one. But does superordinate identification then improve or worsen attitudes towards the former outgroup? The common ingroup identity model (CIIM) asserts that recategorization ameliorates outgroup bias by reducing perceptions of intergroup threat. It predicts that superordinate identification will improve intergroup relations by promoting tolerance and acceptance of diversity. In contrast, the ingroup project model (IPM) asserts that identifying superordinately will actually exacerbate outgroup bias because ingroup members naturally project their own characteristics onto the superordinate category and will more strongly dislike the former outgroup for not fitting the “correct” superordinate prototype. Existing evidence—largely drawn from psychology lab experiments, not real‐world situations—suggests both models can be correct insofar as ingroup projection only occurs under certain conditions. In that case, which model is correct for European identity? Results from original survey data collected in three European countries (Germany, Poland, and the United Kingdom) show that increased identification with Europe is almost always associated with more favorable attitudes towards outgroup immigrants, even among those most likely to engage in ingroup projection. Future research should continue to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projections, suggest, increases, socioeconomic, climate;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Climate change projections of commercial fish distribution and suitable habitat around north western Europe — https://doi.org/10.1111/faf.12773</w:t>
      </w:r>
    </w:p>
    <w:p>
      <w:pPr/>
      <w:r>
        <w:rPr>
          <w:b/>
        </w:rPr>
        <w:t>Shared claim-specific concepts:</w:t>
      </w:r>
      <w:r>
        <w:t xml:space="preserve"> projections, temperature, climate; EU scope visible. This is a provisional connection, not an outcome finding.</w:t>
      </w:r>
    </w:p>
    <w:p>
      <w:pPr>
        <w:pStyle w:val="SourceNote"/>
      </w:pPr>
      <w:r>
        <w:rPr>
          <w:b/>
        </w:rPr>
        <w:t>Available abstract (not full text):</w:t>
      </w:r>
      <w:r>
        <w:t xml:space="preserve"> Abstract Under future climate change, modification of temperature and salinity are expected to result in distribution shifts of marine organisms, including commercial fish and shellfish. Changes are anticipated everywhere, including in the seas of many important fishing nations. Species turnover will in turn result in both opportunities and threats to fishing industries. To determine the impacts for northwest European shelf fisheries, we project changes for 49 commercially important fish and shellfish species using an ensemble of five ecological niche models and three different downscaled climate change projections. The habitat suitability and latitudinal shifts projected from the recent past (1997–2016) to two futures (2030–2050; 2050–2070) were calculated for waters around the United Kingdom. Of the species examined, around half were projected to have consistently more suitable habitat in the future, including European seabass ( Dicentrarchus labrax , Moronidae), sardine ( Sardina pilchardus , Alosidae) and anchovy ( Engraulis encrasicolus , Engraulidae). Conversely, it is suggested that UK waters will become less suitable for species including Atlantic cod ( Gadus morhua , Gadidae) and saithe ( Pollachius virens , Gadidae). Our comprehensive approach using a number of models and climate change scenarios shows that while there are differences in the magnitude of change betwee</w:t>
      </w:r>
    </w:p>
    <w:p>
      <w:pPr/>
      <w:r>
        <w:rPr>
          <w:b/>
        </w:rPr>
        <w:t>POSSIBLE 2022:</w:t>
      </w:r>
      <w:r>
        <w:t xml:space="preserve"> Model Projections of Increased Severity of Heat Waves in Eastern Europe — https://doi.org/10.1029/2022gl100183</w:t>
      </w:r>
    </w:p>
    <w:p>
      <w:pPr/>
      <w:r>
        <w:rPr>
          <w:b/>
        </w:rPr>
        <w:t>Shared claim-specific concepts:</w:t>
      </w:r>
      <w:r>
        <w:t xml:space="preserve"> projections, combined, climate; EU scope visible. This is a provisional connection, not an outcome finding.</w:t>
      </w:r>
    </w:p>
    <w:p>
      <w:pPr>
        <w:pStyle w:val="SourceNote"/>
      </w:pPr>
      <w:r>
        <w:rPr>
          <w:b/>
        </w:rPr>
        <w:t>Available abstract (not full text):</w:t>
      </w:r>
      <w:r>
        <w:t xml:space="preserve"> Abstract Extreme heat is investigated in a series of high‐resolution time‐slice global simulations comparing the current and late‐21st century climates. An increase in climate‐relative extreme heat is found in the region surrounding the Black Sea. Similarities between the synoptic‐scale flows in current and future heat events combined with a decrease in future summer precipitation suggests that the increased future severity stems from strengthened land‐atmosphere feedbacks driven primarily by the changes in precipitation. The resulting intensification of heat events beyond the mean warming driven by climate change could generate significant future heat hazards in vulnerable regions. Given the continental cool bias in the present‐day simulations, the resulting estimates of future extreme heat are likely to be conservative.</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projections, increases, over, climate;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r>
        <w:rPr>
          <w:b/>
        </w:rPr>
        <w:t>POSSIBLE 2021:</w:t>
      </w:r>
      <w:r>
        <w:t xml:space="preserve"> Projections of temperature-attributable mortality in Europe: a time series analysis of 147 contiguous regions in 16 countries — https://doi.org/10.1016/s2542-5196(21)00150-9</w:t>
      </w:r>
    </w:p>
    <w:p>
      <w:pPr/>
      <w:r>
        <w:rPr>
          <w:b/>
        </w:rPr>
        <w:t>Shared claim-specific concepts:</w:t>
      </w:r>
      <w:r>
        <w:t xml:space="preserve"> projections, temperature, not, rcp2, combined, background; EU scope visible. This is a provisional connection, not an outcome finding.</w:t>
      </w:r>
    </w:p>
    <w:p>
      <w:pPr>
        <w:pStyle w:val="SourceNote"/>
      </w:pPr>
      <w:r>
        <w:rPr>
          <w:b/>
        </w:rPr>
        <w:t>Available abstract (not full text):</w:t>
      </w:r>
      <w:r>
        <w:t xml:space="preserve"> BACKGROUND: Europe has emerged as a major climate change hotspot, both in terms of an increase in seasonal averages and climate extremes. Projections of temperature-attributable mortality, however, have not been comprehensively reported for an extensive part of the continent. Therefore, we aim to estimate the future effect of climate change on temperature-attributable mortality across Europe. METHODS: We did a time series analysis study. We derived temperature-mortality associations by collecting daily temperature and all-cause mortality records of both urban and rural areas for the observational period between 1998 and 2012 from 147 regions in 16 European countries. We estimated the location-specific temperature-mortality relationships by using standard time series quasi-Poisson regression in conjunction with a distributed lag non-linear model. These associations were used to transform the daily temperature simulations from the climate models in the historical period (1971-2005) and scenario period (2006-2099) into projections of temperature-attributable mortality. We combined the resulting risk functions with daily time series of future temperatures simulated by four climate models (ie, GFDL-ESM2M, HadGEM2-ES, IPSL-CM5A-LR, and MIROC5) under three greenhouse gas emission scenarios (ie, Representative Concentration Pathway [RCP]2.6, RCP6.0, and RCP8.5), providing projections o</w:t>
      </w:r>
    </w:p>
    <w:p>
      <w:pPr/>
      <w:r>
        <w:rPr>
          <w:b/>
        </w:rPr>
        <w:t>POSSIBLE 2021:</w:t>
      </w:r>
      <w:r>
        <w:t xml:space="preserve"> Can we trust CMIP5/6 future projections of European winter precipitation? — https://doi.org/10.1088/1748-9326/abf28a</w:t>
      </w:r>
    </w:p>
    <w:p>
      <w:pPr/>
      <w:r>
        <w:rPr>
          <w:b/>
        </w:rPr>
        <w:t>Shared claim-specific concepts:</w:t>
      </w:r>
      <w:r>
        <w:t xml:space="preserve"> projections, suggest, over, climate; EU scope visible. This is a provisional connection, not an outcome finding.</w:t>
      </w:r>
    </w:p>
    <w:p>
      <w:pPr>
        <w:pStyle w:val="SourceNote"/>
      </w:pPr>
      <w:r>
        <w:rPr>
          <w:b/>
        </w:rPr>
        <w:t>Available abstract (not full text):</w:t>
      </w:r>
      <w:r>
        <w:t xml:space="preserve"> Abstract IPCC models project a likely increase in winter precipitation over northern Europe under a high-emission scenario. These projections, however, typically rely on relatively coarse ∼100 km resolution models that can misrepresent important processes driving precipitation, such as extratropical cyclone activity, and ocean eddies. Here, we show that a pioneering 50 km atmosphere–1/12° ocean global coupled model projects a substantially larger increase in winter precipitation over northwestern Europe by mid-century than lower-resolution configurations. For this increase, both the highest ocean and atmosphere model resolutions are essential: only the eddy-rich (1/12°) ocean projects a progressive northward shift of the Gulf Stream. This leads to a strong regional ocean surface warming that intensifies air–sea heat fluxes and baroclinicity. For this then to translate into a strengthening of North Atlantic extratropical cyclone activity, the 50 km atmosphere is essential, as it enables enhanced diabatic heating from water vapor condensation and an acceleration of the upper-level mean flow, which weaken vertical stability. Our results suggest that all recent IPCC climate projections using traditional ∼100 km resolution models could be underestimating the precipitation increase over Europe in winter and, consequently, the related potential risks.</w:t>
      </w:r>
    </w:p>
    <w:p>
      <w:pPr/>
      <w:r>
        <w:rPr>
          <w:b/>
        </w:rPr>
        <w:t>POSSIBLE 2021:</w:t>
      </w:r>
      <w:r>
        <w:t xml:space="preserve"> Climate model projections from the Scenario Model Intercomparison Project (ScenarioMIP) of CMIP6 — https://doi.org/10.5194/esd-12-253-2021</w:t>
      </w:r>
    </w:p>
    <w:p>
      <w:pPr/>
      <w:r>
        <w:rPr>
          <w:b/>
        </w:rPr>
        <w:t>Shared claim-specific concepts:</w:t>
      </w:r>
      <w:r>
        <w:t xml:space="preserve"> projections, suggest, temperature, not, over, climate; EU scope not established. This is a provisional connection, not an outcome finding.</w:t>
      </w:r>
    </w:p>
    <w:p>
      <w:pPr>
        <w:pStyle w:val="SourceNote"/>
      </w:pPr>
      <w:r>
        <w:rPr>
          <w:b/>
        </w:rPr>
        <w:t>Available abstract (not full text):</w:t>
      </w:r>
      <w:r>
        <w:t xml:space="preserve"> Abstract. The Scenario Model Intercomparison Project (ScenarioMIP) defines and coordinates the primary future climate projections within the Coupled Model Intercomparison Project Phase 6 (CMIP6). This paper presents a range of its outcomes by synthesizing results from the participating global coupled Earth system models for concentration driven simulations. We limit our scope to the analysis of strictly geophysical outcomes: mainly global averages and spatial patterns of change for surface air temperature and precipitation. We also compare CMIP6 projections to CMIP5 results, especially for those scenarios that were designed to provide continuity across the CMIP phases, at the same time highlighting important differences in forcing composition, as well as in results. The range of future temperature and precipitation changes by the end of the century encompassing the Tier 1 experiments (SSP1-2.6, SSP2-4.5, SSP3-7.0 and SSP5-8.5) and SSP1-1.9 spans a larger range of outcomes compared to CMIP5, due to higher warming (by 1.15 °C) reached at the upper end of the 5–95 % envelope of the highest scenario, SSP5-8.5. This is due to both the wider range of radiative forcing that the new scenarios cover and to higher climate sensitivities in some of the new models compared to their CMIP5 predecessors. Spatial patterns of change for temperature and precipitation averaged over models and scen</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projections, suggest, temperature, climate;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2020:</w:t>
      </w:r>
      <w:r>
        <w:t xml:space="preserve"> Causal networks for climate model evaluation and constrained projections — https://doi.org/10.1038/s41467-020-15195-y</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Global climate models are central tools for understanding past and future climate change. The assessment of model skill, in turn, can benefit from modern data science approaches. Here we apply causal discovery algorithms to sea level pressure data from a large set of climate model simulations and, as a proxy for observations, meteorological reanalyses. We demonstrate how the resulting causal networks (fingerprints) offer an objective pathway for process-oriented model evaluation. Models with fingerprints closer to observations better reproduce important precipitation patterns over highly populated areas such as the Indian subcontinent, Africa, East Asia, Europe and North America. We further identify expected model interdependencies due to shared development backgrounds. Finally, our network metrics provide stronger relationships for constraining precipitation projections under climate change as compared to traditional evaluation metrics for storm tracks or precipitation itself. Such emergent relationships highlight the potential of causal networks to constrain longstanding uncertainties in climate change projections.</w:t>
      </w:r>
    </w:p>
    <w:p>
      <w:pPr>
        <w:pStyle w:val="Heading2"/>
      </w:pPr>
      <w:r>
        <w:t>713.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European Union Policy on Climate Change Framework — https://doi.org/10.59168/vrer2863</w:t>
      </w:r>
    </w:p>
    <w:p>
      <w:pPr/>
      <w:r>
        <w:rPr>
          <w:b/>
        </w:rPr>
        <w:t>Shared claim-specific concepts:</w:t>
      </w:r>
      <w:r>
        <w:t xml:space="preserve"> aim, water; EU scope visible. This is a provisional connection, not an outcome finding.</w:t>
      </w:r>
    </w:p>
    <w:p>
      <w:pPr>
        <w:pStyle w:val="SourceNote"/>
      </w:pPr>
      <w:r>
        <w:rPr>
          <w:b/>
        </w:rPr>
        <w:t>Available abstract (not full text):</w:t>
      </w:r>
      <w:r>
        <w:t xml:space="preserve"> The aim of the paper is to study the European policies in the matter of climate change and water resources management, especially Common Agricultural Policy, Environmental Policy, EU Emission Trading System (ETS), climate and energy policies nexus with international agreements in climate action and world global warming, and the way these European policies are settled and applied in national countries. The paper studies the manner these policies are implemented in European Union countries, funding resources for climate action, with impact on decisionmaking level and good-governance.</w:t>
      </w:r>
    </w:p>
    <w:p>
      <w:pPr/>
      <w:r>
        <w:rPr>
          <w:b/>
        </w:rPr>
        <w:t>POSSIBLE 2023:</w:t>
      </w:r>
      <w:r>
        <w:t xml:space="preserve"> A conceptual model for enabling sustainable management of soil-sediment-water ecosystems in support of European policy — https://doi.org/10.14321/aehm.026.02.063</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Abstract The health of soil-sediment-water ecosystems is under pressure from economic activities and a changing climate. This decreases health and hampers the service provision capacity of these ecosystems and thus impacts human well-being. Protecting and where feasible restoring of ecosystem health has currently become the key European environmental policy objective and for this it is needed to take an entire system approach and engage stakeholders. ‘Entire’ means that soil, sediment and water are regarded as closely interlinked environmental matrices that need to be managed by taking a ‘river (or mountain) to sea’ perspective, crossing spatial, discipline, political and cultural boundaries. This paper presents a conceptual model to support that purpose. Essentially, the conceptual model presents an approach for ecosystem-based management aimed to achieve healthy ecosystems, i.e. soil-sediment-water ecosystems that have the continued capacity to support ecosystem services to the benefit of their users. The model proposes a cyclic (iterative, learning-by-doing) approach and integrates soil-sediment-water, ecosystems, ecosystem services, users (stakeholders), pressures, information, management strategy and program of measures as building blocks. To successfully apply the model, it is above all needed to take an entrepreneurial approach, i.e. leave comfort zones, take an adventur</w:t>
      </w:r>
    </w:p>
    <w:p>
      <w:pPr/>
      <w:r>
        <w:rPr>
          <w:b/>
        </w:rPr>
        <w:t>POSSIBLE 2021:</w:t>
      </w:r>
      <w:r>
        <w:t xml:space="preserve"> IMPLEMENTING EUROPEAN ENVIRONMENTAL POLICY IN THE EUROPEAN UNION AND TURKEY: THE COST AND EXPENDITURES OF THE POLICY COMPLIANCE — https://doi.org/10.30546/2616-4418.bitd.2021.86</w:t>
      </w:r>
    </w:p>
    <w:p>
      <w:pPr/>
      <w:r>
        <w:rPr>
          <w:b/>
        </w:rPr>
        <w:t>Shared claim-specific concepts:</w:t>
      </w:r>
      <w:r>
        <w:t xml:space="preserve"> aim, water, good, all; EU scope visible. This is a provisional connection, not an outcome finding.</w:t>
      </w:r>
    </w:p>
    <w:p>
      <w:pPr>
        <w:pStyle w:val="SourceNote"/>
      </w:pPr>
      <w:r>
        <w:rPr>
          <w:b/>
        </w:rPr>
        <w:t>Available abstract (not full text):</w:t>
      </w:r>
      <w:r>
        <w:t xml:space="preserve"> This paper examines the European environmental policy and the tools that the European Union (EU) uses for the aim of protecting the environment. Environmental policy is of crucial importance indeed as it has direct impact on human’s health, on the quality of environment, on the well-being of all living creatures and species and on the preservation of our natural resources around the world. The EU is quite active in environmental protection policy making and the scope of her environmental policy expanded with time, including nowadays many aspects such as air, water and soil pollution, waste management, protection of the environment, industrial pollution, chemicals, climate change and noise pollution. The methodology of the study consists of the review and analysis of primary and secondary sources regarding EU legislation on European environmental policy. The requirements of environmental policy are exposed and evaluated at the European level and other international engagements at the global level such as the United Nations Framework Convention on Climate Change (UNFCC), Kyoto Protocol and Paris Agreement are also evaluated in our paper. European statistics and reports are evaluated to provide a good understanding and assessment of the relation between governments and corporations’ expenditures and the protection of environment in EU member states and in Turkey. Our paper also in</w:t>
      </w:r>
    </w:p>
    <w:p>
      <w:pPr/>
      <w:r>
        <w:rPr>
          <w:b/>
        </w:rPr>
        <w:t>POSSIBLE 2021:</w:t>
      </w:r>
      <w:r>
        <w:t xml:space="preserve"> WATER PRODUCTIVITY, EXPLOITATION AND FOOTPRINT: OBSOLETE CONCEPTS OR REPRESENTATIVE TOOLS IN UNDERSTANDING EUROPEAN ENVIRONMENTAL POLICY? — https://doi.org/10.15666/aeer/1903_25412564</w:t>
      </w:r>
    </w:p>
    <w:p>
      <w:pPr/>
      <w:r>
        <w:rPr>
          <w:b/>
        </w:rPr>
        <w:t>Shared claim-specific concepts:</w:t>
      </w:r>
      <w:r>
        <w:t xml:space="preserve"> aim, water; EU scope visible. This is a provisional connection, not an outcome finding.</w:t>
      </w:r>
    </w:p>
    <w:p>
      <w:pPr>
        <w:pStyle w:val="SourceNote"/>
      </w:pPr>
      <w:r>
        <w:rPr>
          <w:b/>
        </w:rPr>
        <w:t>Available abstract (not full text):</w:t>
      </w:r>
      <w:r>
        <w:t xml:space="preserve"> In contemporary economies, water represents a key resource in ensuring the sustainable economic development, being equally a factor of production in the economic branches, and also a relevant indicator in shaping the evolution of human activity.Water resources are vital for humanity, ecosystems and the economy, and its inefficient use is a serious problem.The main aim of the present research was to analyse and evaluate the impact of water use, from the perspective of a sustainable economic development, and to determine to what extent it can become a relevant indicator in this respect.For this purpose, three indicators were considered: water productivity, water exploitation index and water footprint.Based on the findings highlighted in the research, it can be concluded that the considered indicators can constitute representative instruments in understanding the European environmental policy.</w:t>
      </w:r>
    </w:p>
    <w:p>
      <w:pPr/>
      <w:r>
        <w:rPr>
          <w:b/>
        </w:rPr>
        <w:t>POSSIBLE 2020:</w:t>
      </w:r>
      <w:r>
        <w:t xml:space="preserve"> Perception of bottlenecks in the implementation of the European Water Framework Directive — https://openalex.org/W4390178243</w:t>
      </w:r>
    </w:p>
    <w:p>
      <w:pPr/>
      <w:r>
        <w:rPr>
          <w:b/>
        </w:rPr>
        <w:t>Shared claim-specific concepts:</w:t>
      </w:r>
      <w:r>
        <w:t xml:space="preserve"> water, achieve, good, ecological, status; EU scope visible. This is a provisional connection, not an outcome finding.</w:t>
      </w:r>
    </w:p>
    <w:p>
      <w:pPr>
        <w:pStyle w:val="SourceNote"/>
      </w:pPr>
      <w:r>
        <w:rPr>
          <w:b/>
        </w:rPr>
        <w:t>Available abstract (not full text):</w:t>
      </w:r>
      <w:r>
        <w:t xml:space="preserve"> The European Water Framework Directive (WFD) entered into force in December 2000; it marks a decisive turn in European water governance and related policies, management practices and restoration trends. After 20 years of implementation through two anagement cycles, EU member states have transposed the WFD requirements into national law, performed baseline assessments of water bodies, and implemented first measures such as hydromorphological river restoration which aims to achieve 'good ecological status', or at least the potential level targeted for that particular water body, by 2027. So far, however, WFD implementation has shown limited success; this weak result has given rise to studies, which are mainly discussions about possible technical limitations of WFD implementation and the appropriateness of monitoring procedures. This paper complements these studies by exploring governance-related bottlenecks that have emerged in the last two decades, as perceived by scientists and practitioners. An online survey was conducted which built on a list of 24 barriers to WFD implementation; these barriers had been identified previously by more than 40 researchers during a workshop in January 2019 and through a literature review. In this survey, the list of perceived barriers to WFD implementation was shared to 130 scientists and practitioners, who were asked to prioritise the items on l</w:t>
      </w:r>
    </w:p>
    <w:p>
      <w:pPr/>
      <w:r>
        <w:rPr>
          <w:b/>
        </w:rPr>
        <w:t>POSSIBLE 2020:</w:t>
      </w:r>
      <w:r>
        <w:t xml:space="preserve"> The Fifth Stage in Water Management: Policy Lessons for Water Governance — https://doi.org/10.1029/2019wr026714</w:t>
      </w:r>
    </w:p>
    <w:p>
      <w:pPr/>
      <w:r>
        <w:rPr>
          <w:b/>
        </w:rPr>
        <w:t>Shared claim-specific concepts:</w:t>
      </w:r>
      <w:r>
        <w:t xml:space="preserve"> water, achieve; EU scope not established. This is a provisional connection, not an outcome finding.</w:t>
      </w:r>
    </w:p>
    <w:p>
      <w:pPr>
        <w:pStyle w:val="SourceNote"/>
      </w:pPr>
      <w:r>
        <w:rPr>
          <w:b/>
        </w:rPr>
        <w:t>Available abstract (not full text):</w:t>
      </w:r>
      <w:r>
        <w:t xml:space="preserve"> Abstract Effective management of water resources is a critical policy issue globally. Using a framework developed by Turton, and a common set of characteristics describing key stages of water demand, we examine the effectiveness of isolated technical (e.g., irrigation upgrades) and allocative (e.g., buyback) efficiency for reducing water demand to sustainable levels. We base our analysis on Australia's water reform context which offers an advanced example of applying these levers to achieve allocative and technical efficiency. The study is motivated by appreciation of the benefits from increased policy flexibility and adaptability in response to the following: potential transformations toward inflexible production systems; uncertainty associated with impacts of climate change on future water reliability; and the need for increased possible future equity between uses/users (productive/consumptive, environmental, cultural). Our results highlight that a balance between technical and allocative efficiency mechanisms is necessary, as neither is sufficient in isolation, when seeking to reduce total water use. This approach also enables a clearer representation of uncertainty in future policy choices in many global settings with respect to water demand reduction.</w:t>
      </w:r>
    </w:p>
    <w:p>
      <w:pPr/>
      <w:r>
        <w:rPr>
          <w:b/>
        </w:rPr>
        <w:t>POSSIBLE 2020:</w:t>
      </w:r>
      <w:r>
        <w:t xml:space="preserve"> Policy and legislative barriers to close water-related loops in innovative small water and wastewater systems in Europe: A critical analysis — https://doi.org/10.1016/j.jclepro.2020.125604</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Water supply and reuse through non-conventional water resources can significantly decrease the stress on natural water resources. Decentralized systems can help not only to alleviate issues of water security in arid areas, but also to create a sustainable framework within a circular economy. Although these small-scale innovative technologies are able to achieve ready-to-use, high quality of recovered/treated water on-site, the loop cannot be closed in most cases due to legislative barriers. Similarly, the end-use of sewage sludge after treatment in decentralized systems still lacks specific regulations that limit its valorization. This work analyzes the current policy and legislations related to water supply, wastewater treatment, water reuse and resource valorization within the context of decentralized state-of-the-art technologies applied in rural areas. The drawbacks in the current EU legislation that set barriers to close water-related loops in European countries are highlighted. A regulatory fitness check was applied to each type of loop to identify the key factors to accomplish the legislative compliance, and financing pathways were further evaluated at the EU level. As a possible solution, further development of an innovation deal approach is recommended to address the environmental, regulatory and financial gaps in water management through an integrated framework, provi</w:t>
      </w:r>
    </w:p>
    <w:p>
      <w:pPr>
        <w:pStyle w:val="Heading2"/>
      </w:pPr>
      <w:r>
        <w:t>714.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2023:</w:t>
      </w:r>
      <w:r>
        <w:t xml:space="preserve"> Reimagining long term care in Europe — https://doi.org/10.5334/ijic.icic23695</w:t>
      </w:r>
    </w:p>
    <w:p>
      <w:pPr/>
      <w:r>
        <w:rPr>
          <w:b/>
        </w:rPr>
        <w:t>Shared claim-specific concepts:</w:t>
      </w:r>
      <w:r>
        <w:t xml:space="preserve"> setting, long-term, planning, actions, levels; EU scope visible. This is a provisional connection, not an outcome finding.</w:t>
      </w:r>
    </w:p>
    <w:p>
      <w:pPr>
        <w:pStyle w:val="SourceNote"/>
      </w:pPr>
      <w:r>
        <w:rPr>
          <w:b/>
        </w:rPr>
        <w:t>Available abstract (not full text):</w:t>
      </w:r>
      <w:r>
        <w:t xml:space="preserve"> Introduction: This 90 minute workshop will be a collaboration between IFICs Ageing and Frailty SIG, Age Platform Europe and a group of experts who supported the government of Bizkaia in developing an empowerment model for long-term care. The session will interest policy makers, researchers, advocates, patients, carers and professionals who plan, commission, fund, provide or regulate long-term care. The European Care Strategy sets out an EU vision on a rights based approach to long-term care with a co-production and preventative approach. It calls for a social protection model for financing care to make it accessible to all. It emphasises the need to integrate and coordinate health and social care, to invest in innovative solutions to improve care and working conditions and to build capacity and skills of the care workforce. The strategy publication coincided with the launch of a report by the Bizkaia council, AGE Platform Europe and a group of European academic experts. The Bay of Care report calls for a stronger commitment to a rights-based approach to long-term care. It proposes a more holistic view of older people’s well-being and quality of life with their goals and preferences central to the design of long term care within a person-centred and integrated system. The model takes a life-course approach to healthy ageing and both gender and social equity. Structure: Welcome a</w:t>
      </w:r>
    </w:p>
    <w:p>
      <w:pPr/>
      <w:r>
        <w:rPr>
          <w:b/>
        </w:rPr>
        <w:t>POSSIBLE 2023:</w:t>
      </w:r>
      <w:r>
        <w:t xml:space="preserve"> A Confluence of Cultures: Advance Care Planning in Long-Term Care Settings — https://doi.org/10.31389/jltc.203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Context: While policies may promote Advance Care Planning (ACP) discussions in long-term care (LTC) settings, practices often result in outcomes different from residents’ wishes. We attribute this to a confluence of cultures: healthcare; LTC settings; mainstream societal; and individuals’ ethno-cultures. This research explores these cultures as reflected in focus group discussions conducted with residents and family-of-residents in two LTC homes: one exclusively Chinese (EC); one multicultural (MC). Method: Fourteen residents and 13 family members participated in the four focus groups. Discussions were audio-recorded, transcribed, and themes were extracted and compared. Results: Four themes characterized residents’ discussions: 1-Variations in Range/Type of ACP Discussions/Actions; 2-Care of Family; 3-Reliance on Staff; and 4-Quality-of-Life at End-of-Life. Exclusively Chinese residents expressed reluctance to speak about ACP, were more likely to state “family would handle it,” less likely to call upon staff, and more acquiescent concerning death. Multicultural residents were more likely to pejoratively mention pull or absence of family and reliance upon staff; also, wanting personal awareness and control at end-of-life. Family themes were 1-Timing/Focus of ACP Discussions, 2-Communication with Family, 3-Care Home and Staff Influences, and 4-Cultural and Religious Issues. Exclu</w:t>
      </w:r>
    </w:p>
    <w:p>
      <w:pPr/>
      <w:r>
        <w:rPr>
          <w:b/>
        </w:rPr>
        <w:t>POSSIBLE 2023:</w:t>
      </w:r>
      <w:r>
        <w:t xml:space="preserve"> Determination of Country-Specific Criteria Weights for Long-Term Energy Planning in Europe — https://doi.org/10.3390/en16134920</w:t>
      </w:r>
    </w:p>
    <w:p>
      <w:pPr/>
      <w:r>
        <w:rPr>
          <w:b/>
        </w:rPr>
        <w:t>Shared claim-specific concepts:</w:t>
      </w:r>
      <w:r>
        <w:t xml:space="preserve"> long-term, planning, well; EU scope visible. This is a provisional connection, not an outcome finding.</w:t>
      </w:r>
    </w:p>
    <w:p>
      <w:pPr>
        <w:pStyle w:val="SourceNote"/>
      </w:pPr>
      <w:r>
        <w:rPr>
          <w:b/>
        </w:rPr>
        <w:t>Available abstract (not full text):</w:t>
      </w:r>
      <w:r>
        <w:t xml:space="preserve">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pPr/>
      <w:r>
        <w:rPr>
          <w:b/>
        </w:rPr>
        <w:t>POSSIBLE 2023:</w:t>
      </w:r>
      <w:r>
        <w:t xml:space="preserve"> Are traditional urban greening actions compliant with the European Greening Plans guidance? — https://doi.org/10.1016/j.ufug.2023.128131</w:t>
      </w:r>
    </w:p>
    <w:p>
      <w:pPr/>
      <w:r>
        <w:rPr>
          <w:b/>
        </w:rPr>
        <w:t>Shared claim-specific concepts:</w:t>
      </w:r>
      <w:r>
        <w:t xml:space="preserve"> setting, long-term, actions, levels, due; EU scope visible. This is a provisional connection, not an outcome finding.</w:t>
      </w:r>
    </w:p>
    <w:p>
      <w:pPr>
        <w:pStyle w:val="SourceNote"/>
      </w:pPr>
      <w:r>
        <w:rPr>
          <w:b/>
        </w:rPr>
        <w:t>Available abstract (not full text):</w:t>
      </w:r>
      <w:r>
        <w:t xml:space="preserve"> The Biodiversity Strategy for 2030, embedded in the European Green Deal, is a key policy agenda promoted by the European Commission to protect nature and biodiversity. This strategy sets ambitious goals to protect and restore ecosystems, halt biodiversity decline, and improve monitoring and governance efforts. Notably, municipalities with at least 20,000 inhabitants are now invited to develop comprehensive Urban Greening Plans (UGP). To support this process, the European Commission has recently released a draft guidance document that provides step-by-step assistance in creating long-term UGPs. We conducted semi-structured interviews with 15 European cities to evaluate what kind of UGPs have already been developed and assess compliance with the European guidelines. The findings reveal that many cities have already developed greening or sustainability plans, although certain crucial steps are still lacking to ensure the long-term success of UGPs. These include securing political commitment, establishing a working structure, fostering cross-departmental collaboration, and addressing limitations in human and financial resources. Typically, greening strategies are implemented within broader sustainability initiatives such as climate adaptation or biodiversity strategy. Among the interviewed cities, four cities are in the process of developing a comprehensive greening plan that integ</w:t>
      </w:r>
    </w:p>
    <w:p>
      <w:pPr/>
      <w:r>
        <w:rPr>
          <w:b/>
        </w:rPr>
        <w:t>POSSIBLE 2023:</w:t>
      </w:r>
      <w:r>
        <w:t xml:space="preserve"> A person‐centred approach to enhance the long‐term health and wellbeing of people living with HIV in Europe — https://doi.org/10.1002/jia2.26117</w:t>
      </w:r>
    </w:p>
    <w:p>
      <w:pPr/>
      <w:r>
        <w:rPr>
          <w:b/>
        </w:rPr>
        <w:t>Shared claim-specific concepts:</w:t>
      </w:r>
      <w:r>
        <w:t xml:space="preserve"> long-term, actions, prevent; EU scope visible. This is a provisional connection, not an outcome finding.</w:t>
      </w:r>
    </w:p>
    <w:p>
      <w:pPr>
        <w:pStyle w:val="SourceNote"/>
      </w:pPr>
      <w:r>
        <w:rPr>
          <w:b/>
        </w:rPr>
        <w:t>Available abstract (not full text):</w:t>
      </w:r>
      <w:r>
        <w:t xml:space="preserve"> Person-centred care is a critical attribute of high-quality healthcare, promoting quality of life, improving an individual's interaction with the health system and valuing people's social networks [1]. Lifesaving antiretroviral therapy is now increasingly widely available around the world, although not all countries have reached their coverage targets related to prevention, diagnosis and linkage to care. As a consequence of the enormous progress made, most people living with HIV are able to grow older rather than dying prematurely [2]. Therefore, it is essential that health systems respond to the changing needs of an ageing population living with HIV, who have comparatively higher multimorbidity (both physical and mental) and experience persistent stigma [3, 4]. To achieve this, person-centred care services for people living with HIV must focus on long-term wellbeing by monitoring and managing multimorbidity, health-related quality of life (HRQoL), stigma and discrimination [5]. In line with WHO's global strategy on HIV for 2022–2030 [2] and UNAIDS' targets set in 2021 [6], a people-centred approach is essential to allow for this transformation of health systems. Health services must offer an integrated response to the evolving health needs and choices of people living with HIV—and this is still not the case in most settings, including high-income countries in Europe [7]. The c</w:t>
      </w:r>
    </w:p>
    <w:p>
      <w:pPr/>
      <w:r>
        <w:rPr>
          <w:b/>
        </w:rPr>
        <w:t>POSSIBLE 2023:</w:t>
      </w:r>
      <w:r>
        <w:t xml:space="preserve"> Shaping Sustainable Cities: A Long-Term GIS-Emanated Spatial Analysis of Settlement Growth and Planning in a Coastal Mediterranean European City — https://doi.org/10.3390/su151411202</w:t>
      </w:r>
    </w:p>
    <w:p>
      <w:pPr/>
      <w:r>
        <w:rPr>
          <w:b/>
        </w:rPr>
        <w:t>Shared claim-specific concepts:</w:t>
      </w:r>
      <w:r>
        <w:t xml:space="preserve"> long-term, planning, actions, levels; EU scope visible. This is a provisional connection, not an outcome finding.</w:t>
      </w:r>
    </w:p>
    <w:p>
      <w:pPr>
        <w:pStyle w:val="SourceNote"/>
      </w:pPr>
      <w:r>
        <w:rPr>
          <w:b/>
        </w:rPr>
        <w:t>Available abstract (not full text):</w:t>
      </w:r>
      <w:r>
        <w:t xml:space="preserve"> European cities have experienced rapid (and often conflicting) transformations that include, inter alia, the environment, the economy, society, climate change, and access to affordable housing, with implications for their future development. In order to address such issues, assessing the current situation of European metropolises is crucial to understanding new urban development models. In light of these dynamics, our study focused on urban expansion in Pafos, Cyprus, between 1993 and 2021. Such dynamics were examined through photointerpretation (using kernel density estimation) via the ArcGISPro spatial analyst tool. The empirical results of this analysis are considered particularly insightful, especially those regarding urban sprawl and its implications for future land management for the study area, and could help toward shaping specific policies to guide cities towards sustainable and environmentally friendly development. The analysis reveals a gradual increase in settlements over time (55%), although the rate of growth has decreased in recent years, as a consequence of the economic crisis. Density maps revealed varying levels of urban concentration density, highlighting the presence of high-density settlement cores downtown and low-density, dispersed settlements in the surrounding districts. According to the empirical findings of this study, urban growth in Pafos features f</w:t>
      </w:r>
    </w:p>
    <w:p>
      <w:pPr/>
      <w:r>
        <w:rPr>
          <w:b/>
        </w:rPr>
        <w:t>POSSIBLE 2022:</w:t>
      </w:r>
      <w:r>
        <w:t xml:space="preserve"> A stratified decision-making model for long-term planning: Application in flood risk management in Scotland — https://doi.org/10.1016/j.omega.2022.102803</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In a standard decision-making model for a game of chance, the best strategy is chosen based on the current state of the system under various conditions. There is however a shortcoming of this standard model, in that it can be applicable only for short-term decision-making periods. This is primarily due to not evaluating the dynamic characteristics and changes in status of the system and the outcomes of nature towards an a priori target or ideal state, which can occur in longer periods. Thus, in this study, a decision-making model based on the concept of stratification (CST), game theory and shared socio-economic pathway (SSP) is developed and its applicability to disaster management is shown. The game of chance and CST have been integrated to incorporate the dynamic nature of the decision environment for long-term disaster risk planning, while accounting for various states of the system and an ideal state. Furthermore, an interactive web application with dynamic user interface is built based on the proposed model to enable decision makers to identify the best choices in their model by a predictive approach. The Monte Carlo simulation is applied to experimentally validate the proposed model. Then, it is demonstrated how this methodology can suitably be applied to obtain ad hoc models, solutions, and analysis in the strategic decision-making process of flooding risk strategy eval</w:t>
      </w:r>
    </w:p>
    <w:p>
      <w:pPr/>
      <w:r>
        <w:rPr>
          <w:b/>
        </w:rPr>
        <w:t>POSSIBLE 2021:</w:t>
      </w:r>
      <w:r>
        <w:t xml:space="preserve"> Sequential Model for Long-Term Planning of Building Renewal and Capital Improvement — https://doi.org/10.3390/su13179575</w:t>
      </w:r>
    </w:p>
    <w:p>
      <w:pPr/>
      <w:r>
        <w:rPr>
          <w:b/>
        </w:rPr>
        <w:t>Shared claim-specific concepts:</w:t>
      </w:r>
      <w:r>
        <w:t xml:space="preserve"> long-term, planning, actions, levels; EU scope not established. This is a provisional connection, not an outcome finding.</w:t>
      </w:r>
    </w:p>
    <w:p>
      <w:pPr>
        <w:pStyle w:val="SourceNote"/>
      </w:pPr>
      <w:r>
        <w:rPr>
          <w:b/>
        </w:rPr>
        <w:t>Available abstract (not full text):</w:t>
      </w:r>
      <w:r>
        <w:t xml:space="preserve"> The paper puts forward a mixed integer linear programming model to support the long-term planning and budgeting for renewal and capital improvements of residential buildings, i.e., to select the optimal sequence of repair and improvement actions over a predefined planning horizon. The input is provided by the evaluation of the building performance according to a set of criteria. Then a set of possible repairs, replacements and improvements needs to be proposed together with the estimates of their cost and benefits; the latter are expressed by increments of building performance ratings according to predefined criteria. The renewal and modernization measures are not mutually independent: at least some of them are complementary and should be carried out in a specific order. The optimization problem was to define the order of renewal/improvement measures resulting with the highest benefits available within the budget, or to achieve the required levels of building performance at the lowest cost. A unique feature of the model is the approach to the constraints on sequential relationships between the measures and to their selection. The model can be used to construct long-term renewal and capital improvement plans.</w:t>
      </w:r>
    </w:p>
    <w:p>
      <w:pPr/>
      <w:r>
        <w:rPr>
          <w:b/>
        </w:rPr>
        <w:t>POSSIBLE 2020:</w:t>
      </w:r>
      <w:r>
        <w:t xml:space="preserve"> Long-Term Impact of Disasters on the Public Health System: A Multi-Case Analysis — https://doi.org/10.3390/ijerph17176251</w:t>
      </w:r>
    </w:p>
    <w:p>
      <w:pPr/>
      <w:r>
        <w:rPr>
          <w:b/>
        </w:rPr>
        <w:t>Shared claim-specific concepts:</w:t>
      </w:r>
      <w:r>
        <w:t xml:space="preserve"> setting, long-term, planning, well; EU scope visible. This is a provisional connection, not an outcome finding.</w:t>
      </w:r>
    </w:p>
    <w:p>
      <w:pPr>
        <w:pStyle w:val="SourceNote"/>
      </w:pPr>
      <w:r>
        <w:rPr>
          <w:b/>
        </w:rPr>
        <w:t>Available abstract (not full text):</w:t>
      </w:r>
      <w:r>
        <w:t xml:space="preserve"> As past events have shown, disasters can have a tremendous impact on the affected population's health. However, research regarding the long-term impact on a systems level perspective is still scarce. In this multi-case study, we analyzed and compared the long-term impacts on the public health system of five disasters which took place in Europe: avalanche (Austria), terror attack (Spain), airplane crash (Luxembourg), cable-car tunnel fire (Austria), and a flood in Central Europe. We used a mixed-methods approach consisting of a document analysis and interviews with key stakeholders, to examine the various long-term impacts each of the disasters had on health-system performance, as well as on security and health protection. The results show manifold changes undertaken in the fields of psychosocial support, infrastructure, and contingency and preparedness planning. The holistic approach of this study shows the importance of analyzing long-term impacts from the perspective of the type (e.g., disasters associated with natural hazards) and characteristic (e.g., duration and extent) of a disaster, as well as the regional context where a disaster took place. However, the identified recurring themes demonstrate the opportunity of learning from case studies in order to customize the lessons and apply them to the own-disaster-management setting.</w:t>
      </w:r>
    </w:p>
    <w:p>
      <w:pPr>
        <w:pStyle w:val="Heading2"/>
      </w:pPr>
      <w:r>
        <w:t>715.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2023:</w:t>
      </w:r>
      <w:r>
        <w:t xml:space="preserve"> Long-term optimization of the Norwegian energy system under the influence of the European power market — https://doi.org/10.1109/eem58374.2023.10161972</w:t>
      </w:r>
    </w:p>
    <w:p>
      <w:pPr/>
      <w:r>
        <w:rPr>
          <w:b/>
        </w:rPr>
        <w:t>Shared claim-specific concepts:</w:t>
      </w:r>
      <w:r>
        <w:t xml:space="preserve"> energy, system, indicate, investments, modelling; EU scope visible. This is a provisional connection, not an outcome finding.</w:t>
      </w:r>
    </w:p>
    <w:p>
      <w:pPr>
        <w:pStyle w:val="SourceNote"/>
      </w:pPr>
      <w:r>
        <w:rPr>
          <w:b/>
        </w:rPr>
        <w:t>Available abstract (not full text):</w:t>
      </w:r>
      <w:r>
        <w:t xml:space="preserve"> This paper proposes a novel bidirectional linkage between a national energy system model and a European power market model. The combined modelling framework enables long-term energy system investment strategies at the national level that captures the impact and interaction with the European power system. The linking methodology is demonstrated with two models, 1) IFE-TIMES-Norway, a technology-rich model used to analyze the cost-optimal development of the Norwegian energy system, and 2) EMPIRE, a stochastic capacity expansion model optimizing operation and investments of the European power system. Two convergence criteria are used: electricity generation capacities and prices. The linkage is performed for two future transition pathways, in which convergence is reached after 3 and 4 iterations. Results indicate that the pace of convergence greatly depends on the degree of interaction with neighbouring countries, as the European prices are sensitive to the Norwegian energy mix and vice versa. The linkage also led to changes in production and export volumes in Norway, emphasizing the importance of capturing the price elasticity of Europe when designing national energy systems.</w:t>
      </w:r>
    </w:p>
    <w:p>
      <w:pPr/>
      <w:r>
        <w:rPr>
          <w:b/>
        </w:rPr>
        <w:t>POSSIBLE 2022:</w:t>
      </w:r>
      <w:r>
        <w:t xml:space="preserve"> Indicators for the optimization of sustainable urban energy systems based on energy system modeling — https://doi.org/10.1186/s13705-021-00323-3</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Abstract Background Urban energy systems are responsible for 75% of the world’s energy consumption and for 70% of the worldwide greenhouse gas emissions. Energy system models are used to optimize, benchmark and compare such energy systems with the help of energy sustainability indicators. We discuss several indicators for their basic suitability and their response to changing boundary conditions, system structures and reference values. The most suitable parameters are applied to four different supply scenarios of a real-world urban energy system. Results There is a number of energy sustainability indicators, but not all of them are suitable for the use in urban energy system optimization models. Shortcomings originate from the omission of upstream energy supply chains (secondary energy efficiency), from limited capabilities to compare small energy systems (energy productivity), from excessive accounting expense (regeneration rate), from unsuitable accounting methods (primary energy efficiency), from a questionable impact of some indicators on the overall system sustainability (self-sufficiency), from the lack of detailed information content (share of renewables), and more. On the other hand, indicators of absolute greenhouse gas emissions, energy costs, and final energy demand are well suitable for the use in optimization models. However, each of these indicators only represent</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r>
        <w:rPr>
          <w:b/>
        </w:rPr>
        <w:t>POSSIBLE 2022:</w:t>
      </w:r>
      <w:r>
        <w:t xml:space="preserve"> Balancing GHG mitigation and land-use conflicts: Alternative Northern European energy system scenarios — https://doi.org/10.1016/j.apenergy.2022.118557</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pPr/>
      <w:r>
        <w:rPr>
          <w:b/>
        </w:rPr>
        <w:t>POSSIBLE 2021:</w:t>
      </w:r>
      <w:r>
        <w:t xml:space="preserve"> Sustainable renewable energy supply networks optimization – The gradual transition to a renewable energy system within the European Union by 2050 — https://doi.org/10.1016/j.rser.2021.111186</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In order to achieve the goal of a carbon neutral EU by 2050 and meet the climate targets of the Paris Agreement, a sustainable, efficient, competitive and secure energy system needs to be developed. This paper presents the synthesis of sustainable renewable energy supply networks within the EU-27, proposing a stepwise energy transition in the transport and power sectors, achieving a carbon net neutral target by 2050. A multi-period mixed-integer programming model is developed, with the objective of maximizing sustainability net present value, considering different biomass and waste resources for the production of biofuels, renewable electricity, hydrogen, food and bioproducts, employing different types of technologies. The results show that, with further development of existing technologies, the goal of a carbon-neutral EU can be achieved without compromising food production. Wind farms have proven to be the most promising solution at present for the rapid expansion of electricity generation from renewable energy sources, while the importance of solar photovoltaics is increasing over the years, reaching the 43% share of electricity generation from RES in 2050. Moreover, the energy transition within the EU could have a significant positive impact on the economic, environmental and also social aspects of sustainability, with more than 1.5 million new job opportunities created acr</w:t>
      </w:r>
    </w:p>
    <w:p>
      <w:pPr/>
      <w:r>
        <w:rPr>
          <w:b/>
        </w:rPr>
        <w:t>POSSIBLE 2021:</w:t>
      </w:r>
      <w:r>
        <w:t xml:space="preserve"> A modeler's guide to handle complexity in energy systems optimization — https://doi.org/10.1016/j.adapen.2021.100063</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Determining environmentally- and economically-optimal energy systems designs and operations is complex. In particular, the integration of weather-dependent renewable energy technologies into energy system optimization models presents new challenges to computational tractability that cannot only be solved by advancements in computational resources. In consequence, energy system modelers must tackle the complexity of their models by applying various methods to manipulate the underlying data and model structure, with the ultimate goal of finding optimal solutions. As which complexity reduction method is suitable for which research question is often unclear, herein we review different approaches for handling complexity. We first analyze the determinants of complexity and note that many drivers of complexity could be avoided a priori with a tailored model design. Second, we conduct a review of systematic complexity reduction methods for energy system optimization models, which can range from simple linearization performed by modelers to sophisticated multi-level approaches combining aggregation and decomposition methods. Based on this overview, we develop a guide for energy system modelers who encounter computational limitations.</w:t>
      </w:r>
    </w:p>
    <w:p>
      <w:pPr/>
      <w:r>
        <w:rPr>
          <w:b/>
        </w:rPr>
        <w:t>POSSIBLE 2021:</w:t>
      </w:r>
      <w:r>
        <w:t xml:space="preserve"> Application of Markal Model Generator in Optimizing Energy Systems — https://doi.org/10.46873/2300-3960.1307</w:t>
      </w:r>
    </w:p>
    <w:p>
      <w:pPr/>
      <w:r>
        <w:rPr>
          <w:b/>
        </w:rPr>
        <w:t>Shared claim-specific concepts:</w:t>
      </w:r>
      <w:r>
        <w:t xml:space="preserve"> energy, system, modelling; EU scope visible. This is a provisional connection, not an outcome finding.</w:t>
      </w:r>
    </w:p>
    <w:p>
      <w:pPr>
        <w:pStyle w:val="SourceNote"/>
      </w:pPr>
      <w:r>
        <w:rPr>
          <w:b/>
        </w:rPr>
        <w:t>Available abstract (not full text):</w:t>
      </w:r>
      <w:r>
        <w:t xml:space="preserve"> The main objectives of European energy policy include: security of energy supply, reduction of greenhouse gas emissions and the development of efficient and clean energy technologies. The obligation to fulfil these objectives is connected, among others, with the optimization of the development of all energy system i.e. a group of facilities and equipment for the collection, transmission, processing, distribution and use of energy in all its forms. Computer programs such as MARKAL, TIMES, ENPEP, MIDAS are the basic tools for modelling different energy systems. Various simulation, optimization and macro models are created with them. Multi-criteria methods are also used. In this paper the use of MARKAL as a tool for the optimization of an energy system was the matter of research. The article presents the characteristics of MARKAL. Additionally, it includes an example of the use of the program to create a model of the supply of heat for the province of Silesia together with its results.</w:t>
      </w:r>
    </w:p>
    <w:p>
      <w:pPr/>
      <w:r>
        <w:rPr>
          <w:b/>
        </w:rPr>
        <w:t>POSSIBLE 2020:</w:t>
      </w:r>
      <w:r>
        <w:t xml:space="preserve"> A Novel Modular Optimization Framework for Modelling Investment and Operation of Energy Systems at European Level — https://openalex.org/W3026649545</w:t>
      </w:r>
    </w:p>
    <w:p>
      <w:pPr/>
      <w:r>
        <w:rPr>
          <w:b/>
        </w:rPr>
        <w:t>Shared claim-specific concepts:</w:t>
      </w:r>
      <w:r>
        <w:t xml:space="preserve"> energy, system, modelling; EU scope visible. This is a provisional connection, not an outcome finding.</w:t>
      </w:r>
    </w:p>
    <w:p>
      <w:pPr>
        <w:pStyle w:val="SourceNote"/>
      </w:pPr>
      <w:r>
        <w:rPr>
          <w:b/>
        </w:rPr>
        <w:t>Available abstract (not full text):</w:t>
      </w:r>
      <w:r>
        <w:t xml:space="preserve"> Project plan4res (www.plan4res.eu) involves the development of a modular framework for the modeling and analysis of energy system strategies at the European level. It will include models describing the investment and operation decisions for a wide variety of technologies related to electricity and non-electricity energy sectors across generation, consumption, transmission and distribution. The modularity of the framework allows for detailed modelling of major areas of energy systems that can help stakeholders from different backgrounds to focus on specific topics related to the energy landscape in Europe and to receive relevant outputs and insights tailored to their needs. The current paper presents a qualitative description of key concepts and methods of the novel modular optimization framework and provides insights into the corresponding energy landscape.</w:t>
      </w:r>
    </w:p>
    <w:p>
      <w:pPr>
        <w:pStyle w:val="Heading2"/>
      </w:pPr>
      <w:r>
        <w:t>716.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2024:</w:t>
      </w:r>
      <w:r>
        <w:t xml:space="preserve"> Exploring the Narrative and Aesthetic Aspects of Huanglong Opera in Nong'an County Jilin Province China — https://doi.org/10.60027/ijsasr.2024.3930</w:t>
      </w:r>
    </w:p>
    <w:p>
      <w:pPr/>
      <w:r>
        <w:rPr>
          <w:b/>
        </w:rPr>
        <w:t>Shared claim-specific concepts:</w:t>
      </w:r>
      <w:r>
        <w:t xml:space="preserve"> three, narratives, key; EU scope not established. This is a provisional connection, not an outcome finding.</w:t>
      </w:r>
    </w:p>
    <w:p>
      <w:pPr>
        <w:pStyle w:val="SourceNote"/>
      </w:pPr>
      <w:r>
        <w:rPr>
          <w:b/>
        </w:rPr>
        <w:t>Available abstract (not full text):</w:t>
      </w:r>
      <w:r>
        <w:t xml:space="preserve"> Background and Aims: Huanglong Opera is a traditional Chinese opera form deeply rooted in the cultural tapestry of Nong'an County, Jilin Province, China. The objective of this study is to investigate the narrative and aesthetic aspects of Huanglong Opera in Nong'an County, Jilin Province, China. Materials and Methods: With a multidisciplinary approach drawing from sociology and anthropology. The research site, Nong'an County, was chosen for its historical significance in preserving and promoting this traditional art form. Three key informants played a pivotal role in providing insights into the narrative and aesthetic dimensions of Huanglong Opera. The research tools employed observation forms and interview forms to collect comprehensive data on these aspects, with meticulous data analysis to categorize and identify patterns in the observations. Result: The study unveiled historical storytelling, the delicate balance between authenticity and fiction, universal themes, character development, and cultural preservation embedded in Huanglong Opera's narratives. It also highlighted the musical composition, elaborate costumes and makeup, choreographic precision, stage design, and props that constitute the opera's captivating aesthetics. Conclusion: The study's findings underscore the cultural significance and enduring appeal of Huanglong Opera while suggesting avenues for its preserv</w:t>
      </w:r>
    </w:p>
    <w:p>
      <w:pPr/>
      <w:r>
        <w:rPr>
          <w:b/>
        </w:rPr>
        <w:t>POSSIBLE 2023:</w:t>
      </w:r>
      <w:r>
        <w:t xml:space="preserve"> Elaborating, sharing, narrating: a narrative analysis of three approaches to health communication — https://doi.org/10.1590/interface.230172</w:t>
      </w:r>
    </w:p>
    <w:p>
      <w:pPr/>
      <w:r>
        <w:rPr>
          <w:b/>
        </w:rPr>
        <w:t>Shared claim-specific concepts:</w:t>
      </w:r>
      <w:r>
        <w:t xml:space="preserve"> three, key, literature; EU scope not established. This is a provisional connection, not an outcome finding.</w:t>
      </w:r>
    </w:p>
    <w:p>
      <w:pPr>
        <w:pStyle w:val="SourceNote"/>
      </w:pPr>
      <w:r>
        <w:rPr>
          <w:b/>
        </w:rPr>
        <w:t>Available abstract (not full text):</w:t>
      </w:r>
      <w:r>
        <w:t xml:space="preserve">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pPr/>
      <w:r>
        <w:rPr>
          <w:b/>
        </w:rPr>
        <w:t>POSSIBLE 2023:</w:t>
      </w:r>
      <w:r>
        <w:t xml:space="preserve"> Elaborating, sharing, narrating: a narrative analysis of three approaches to health communication — https://doi.org/10.6084/m9.figshare.23584934</w:t>
      </w:r>
    </w:p>
    <w:p>
      <w:pPr/>
      <w:r>
        <w:rPr>
          <w:b/>
        </w:rPr>
        <w:t>Shared claim-specific concepts:</w:t>
      </w:r>
      <w:r>
        <w:t xml:space="preserve"> three, key, literature; EU scope not established. This is a provisional connection, not an outcome finding.</w:t>
      </w:r>
    </w:p>
    <w:p>
      <w:pPr>
        <w:pStyle w:val="SourceNote"/>
      </w:pPr>
      <w:r>
        <w:rPr>
          <w:b/>
        </w:rPr>
        <w:t>Available abstract (not full text):</w:t>
      </w:r>
      <w:r>
        <w:t xml:space="preserve">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pPr/>
      <w:r>
        <w:rPr>
          <w:b/>
        </w:rPr>
        <w:t>POSSIBLE 2022:</w:t>
      </w:r>
      <w:r>
        <w:t xml:space="preserve"> FRAMING AND NARRATIVES AS ASSISTANTS IN ADVANCING A SCIENCE-ORIENTED MINDSET. THE EXAMPLE OF THE POLICE IN THE BALTICS — https://doi.org/10.17770/acj.v1i93.6492</w:t>
      </w:r>
    </w:p>
    <w:p>
      <w:pPr/>
      <w:r>
        <w:rPr>
          <w:b/>
        </w:rPr>
        <w:t>Shared claim-specific concepts:</w:t>
      </w:r>
      <w:r>
        <w:t xml:space="preserve"> three, narratives, key, factors; EU scope not established. This is a provisional connection, not an outcome finding.</w:t>
      </w:r>
    </w:p>
    <w:p>
      <w:pPr>
        <w:pStyle w:val="SourceNote"/>
      </w:pPr>
      <w:r>
        <w:rPr>
          <w:b/>
        </w:rPr>
        <w:t>Available abstract (not full text):</w:t>
      </w:r>
      <w:r>
        <w:t xml:space="preserve"> Country-specific knowledge offered by police science is a necessary precondition for successful policing. However, cursory data on police science in the Baltic countries raises many questions about the real use of scientific knowledge opportunities in these countries.The paper elaborates on a framework to advance a science-oriented mindset in the police. Principles of narratives and framing were used to overcome a possible conflict between scientists and practitioners, and bridge all the parties related to policing. In this framework, scientists should take the lead. External, internal, and strategic factors, as Alisson’s three key management functions, were used to specify factors of the framework in the research. The framing process that holds a focusing function allows the use of discovered narratives and presents a variety of possible future directions. Creating a metanarrative with beginning, middle, and end grasps all the agents and ties into future developments.</w:t>
      </w:r>
    </w:p>
    <w:p>
      <w:pPr/>
      <w:r>
        <w:rPr>
          <w:b/>
        </w:rPr>
        <w:t>POSSIBLE 2022:</w:t>
      </w:r>
      <w:r>
        <w:t xml:space="preserve"> For a narrative hospital : a training model to narrative medicine at the hospital — https://openalex.org/W4399152333</w:t>
      </w:r>
    </w:p>
    <w:p>
      <w:pPr/>
      <w:r>
        <w:rPr>
          <w:b/>
        </w:rPr>
        <w:t>Shared claim-specific concepts:</w:t>
      </w:r>
      <w:r>
        <w:t xml:space="preserve"> three, narratives, elaborated, based; EU scope not established. This is a provisional connection, not an outcome finding.</w:t>
      </w:r>
    </w:p>
    <w:p>
      <w:pPr>
        <w:pStyle w:val="SourceNote"/>
      </w:pPr>
      <w:r>
        <w:rPr>
          <w:b/>
        </w:rPr>
        <w:t>Available abstract (not full text):</w:t>
      </w:r>
      <w:r>
        <w:t xml:space="preserve"> Today, the Narrative Medicine training of health providers has three main challenges. How to overcome the limitations of individual training? How to promote the spread of Narrative Medicine? How to build narrative environments? This dissertation provides theoretical and pragmatic answers by considering the Narrative Medicine training that we have been carrying out at the Centre Hospitalier Intercommunal de Créteil (CHIC) since 2019.At first, we explain the methodology of this project based on the principles and practice of Narrative Medicine, as Rita Charon has elaborated them at Columbia University. At the CHIC, five interprofessional groups attend a two-hour Narrative Medicine workshop once a month: they read, write, and share texts and narratives of different nature (literary, clinical, artistic, and musical). At least, a «literary consultant» and a health professional provide the facilitation.In the light of experience, we developed an innovative three-phase model (Basic Workshops, Creative Workshops, Cofacilitated Workshops), and we describe it broadly. Our goal is to offer a training device that can be transferable and adaptable to other hospitals.Using an approach based on the dialogical research, as established by Arthur Frank, we provide feedback from participants to evaluate the effects of this training on professional wellbeing, narrative competence, and institutiona</w:t>
      </w:r>
    </w:p>
    <w:p>
      <w:pPr/>
      <w:r>
        <w:rPr>
          <w:b/>
        </w:rPr>
        <w:t>POSSIBLE 2021:</w:t>
      </w:r>
      <w:r>
        <w:t xml:space="preserve"> Elaborating Visual Narrative into Modern Adaptation Concept for Picture Book with Indonesian Folklore Theme — https://doi.org/10.2991/assehr.k.211228.061</w:t>
      </w:r>
    </w:p>
    <w:p>
      <w:pPr/>
      <w:r>
        <w:rPr>
          <w:b/>
        </w:rPr>
        <w:t>Shared claim-specific concepts:</w:t>
      </w:r>
      <w:r>
        <w:t xml:space="preserve"> three, based, literature, content; EU scope not established. This is a provisional connection, not an outcome finding.</w:t>
      </w:r>
    </w:p>
    <w:p>
      <w:pPr>
        <w:pStyle w:val="SourceNote"/>
      </w:pPr>
      <w:r>
        <w:rPr>
          <w:b/>
        </w:rPr>
        <w:t>Available abstract (not full text):</w:t>
      </w:r>
      <w:r>
        <w:t xml:space="preserve"> Folklore shows how a culture brings its point of view and values.It is also an agent of social values such as honesty, kindness, forgiveness, and many more.Through picture book, message from folklore can lead children understanding their society.These aspects are reasons why folklore becomes a favourite genre in picture book.Hence, some argue that folklore also store up cruelty and intimidating content which are not suitable for children.This leads creator and publisher to keep up with new way of adaptation.For example, by combining the method of modern storytelling technique and the art visual narration into the plot.The objective of this study is to design a new adaptation method for Indonesian folklore story by elaborating visual narrative into its story and illustration.By creating the formula, this study will not only help conserving Indonesian folklore stories, but also help delivering social values to children without the need of frighten the readers.This study follows a qualitative method by observing and existing Indonesian folklore books, which then categorized into three genres: Mythology, folktales, and fables.Samples from each category were then picked based on its popularity.A data collection of modern storytelling method and visual narrative literature were also done, which then mapped out into an adaptation concept suitable for children.The results show that vis</w:t>
      </w:r>
    </w:p>
    <w:p>
      <w:pPr/>
      <w:r>
        <w:rPr>
          <w:b/>
        </w:rPr>
        <w:t>POSSIBLE 2021:</w:t>
      </w:r>
      <w:r>
        <w:t xml:space="preserve"> About narrative: a study of the use of narratives in fashion design — https://doi.org/10.32920/ryerson.14646882</w:t>
      </w:r>
    </w:p>
    <w:p>
      <w:pPr/>
      <w:r>
        <w:rPr>
          <w:b/>
        </w:rPr>
        <w:t>Shared claim-specific concepts:</w:t>
      </w:r>
      <w:r>
        <w:t xml:space="preserve"> three, narratives, interviews; EU scope not established. This is a provisional connection, not an outcome finding.</w:t>
      </w:r>
    </w:p>
    <w:p>
      <w:pPr>
        <w:pStyle w:val="SourceNote"/>
      </w:pPr>
      <w:r>
        <w:rPr>
          <w:b/>
        </w:rPr>
        <w:t>Available abstract (not full text):</w:t>
      </w:r>
      <w:r>
        <w:t xml:space="preserve"> This research examines the construction of narratives in fashion design. The intent is to explore how narratives emerge through this practice and how they impact the process of creation and making of fashion artefacts. It is constructed around a series of interviews with three fashion designers whose work reflects the importance of narratives as essential tools in their practice. All participants currently occupy a position in the fashion industry and have significant experiences that allowed them to share and express this area of their work. The analysis of these interviews forms the basis of a short documentary as well as the making of an art piece that are intended to encourage dialogue and deeper reflection about the ways in which narratives manifest themselves in the process of fashion design and how these they are later translated through the fashion industry. It examines how narratives can be used to generate meanings throughout the conception and production of garments and how these meanings can sensitize the consumers to the stories behind the clothes that they wear.</w:t>
      </w:r>
    </w:p>
    <w:p>
      <w:pPr/>
      <w:r>
        <w:rPr>
          <w:b/>
        </w:rPr>
        <w:t>POSSIBLE 2021:</w:t>
      </w:r>
      <w:r>
        <w:t xml:space="preserve"> About narrative: a study of the use of narratives in fashion design — https://doi.org/10.32920/ryerson.14646882.v1</w:t>
      </w:r>
    </w:p>
    <w:p>
      <w:pPr/>
      <w:r>
        <w:rPr>
          <w:b/>
        </w:rPr>
        <w:t>Shared claim-specific concepts:</w:t>
      </w:r>
      <w:r>
        <w:t xml:space="preserve"> three, narratives, interviews; EU scope not established. This is a provisional connection, not an outcome finding.</w:t>
      </w:r>
    </w:p>
    <w:p>
      <w:pPr>
        <w:pStyle w:val="SourceNote"/>
      </w:pPr>
      <w:r>
        <w:rPr>
          <w:b/>
        </w:rPr>
        <w:t>Available abstract (not full text):</w:t>
      </w:r>
      <w:r>
        <w:t xml:space="preserve"> This research examines the construction of narratives in fashion design. The intent is to explore how narratives emerge through this practice and how they impact the process of creation and making of fashion artefacts. It is constructed around a series of interviews with three fashion designers whose work reflects the importance of narratives as essential tools in their practice. All participants currently occupy a position in the fashion industry and have significant experiences that allowed them to share and express this area of their work. The analysis of these interviews forms the basis of a short documentary as well as the making of an art piece that are intended to encourage dialogue and deeper reflection about the ways in which narratives manifest themselves in the process of fashion design and how these they are later translated through the fashion industry. It examines how narratives can be used to generate meanings throughout the conception and production of garments and how these meanings can sensitize the consumers to the stories behind the clothes that they wear.</w:t>
      </w:r>
    </w:p>
    <w:p>
      <w:pPr/>
      <w:r>
        <w:rPr>
          <w:b/>
        </w:rPr>
        <w:t>POSSIBLE 2020:</w:t>
      </w:r>
      <w:r>
        <w:t xml:space="preserve"> The Basic Concept of Narratology and Narrative — https://doi.org/10.15294/lc.v14i2.23247</w:t>
      </w:r>
    </w:p>
    <w:p>
      <w:pPr/>
      <w:r>
        <w:rPr>
          <w:b/>
        </w:rPr>
        <w:t>Shared claim-specific concepts:</w:t>
      </w:r>
      <w:r>
        <w:t xml:space="preserve"> three, narratives, elaborated, review; EU scope not established. This is a provisional connection, not an outcome finding.</w:t>
      </w:r>
    </w:p>
    <w:p>
      <w:pPr>
        <w:pStyle w:val="SourceNote"/>
      </w:pPr>
      <w:r>
        <w:rPr>
          <w:b/>
        </w:rPr>
        <w:t>Available abstract (not full text):</w:t>
      </w:r>
      <w:r>
        <w:t xml:space="preserve"> The field of narratology is concerned with the study and analysis of narrative texts. It puts under investigation literary pieces of language and yields an understanding of the components has in its very texture. The aim of this article is to provide insights about the field of ‘narratology’ and its associated subject of study ‘narrative’. It also tries to sketch the main issues concerning these two concepts. For this, the present review is presented in two major sections, each with related discussions about narratology and narrative. The first major part, narratology, will be presented in three sections: the first section, deals with the definitions and origins of narratology. The definitions are inspected and the researchers show how they go from general (encompassing all which is narrated) to more specific (encompassing literary narratives told by a narrator) ones. The second section, focuses on the two phases of narratology which are classical and post-classical ones in which narratology changed its orientations and scope. The last section is devoted to some of the elements and components of which narratology is made up, such as narration, focalization, narrative situation, action, story analysis, tellability, tense, time, and narrative modes which will be elaborated on in more details. The second major part, narrative, will be presented in four sections: first the concept </w:t>
      </w:r>
    </w:p>
    <w:p>
      <w:pPr/>
      <w:r>
        <w:rPr>
          <w:b/>
        </w:rPr>
        <w:t>POSSIBLE 2020:</w:t>
      </w:r>
      <w:r>
        <w:t xml:space="preserve"> Pastoral care and narrative: Towards a narrative pastoral care approach in intercultural communities — https://doi.org/10.4102/ids.v54i1.2619</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Narrative therapy, or narrative pastoral care, is one of the approaches of the last three decades that has attempted to address care for our current fluid communities. Stories and narratives play an important role in the meaning making of personhood and identity. Narratives and stories are becoming more used and recognised as an indispensable part of the healing of vulnerable persons within Psychology, Literature, Sociology and Theology. This contribution is an attempt to add to the growing scholarship of story and narrative approaches in Pastoral Care and Counselling by providing markers for a developing model of pastoral care within intercultural contexts. I will give a brief overview of pastoral care within four different contexts. The narrative approaches of Muller and Ganzevoort will be analysed and critically engaged because of their extensive and elaborative research of narrative for pastoral care and counselling. After a brief overview and critique of Muller and Ganzevoort, I will identify additional markers for narrative pastoral care in intercultural contexts.</w:t>
      </w:r>
    </w:p>
    <w:p>
      <w:pPr/>
      <w:r>
        <w:rPr>
          <w:b/>
        </w:rPr>
        <w:t>POSSIBLE 2020:</w:t>
      </w:r>
      <w:r>
        <w:t xml:space="preserve"> Narratives of the three extant chronicles — https://doi.org/10.1017/9781912961191.003</w:t>
      </w:r>
    </w:p>
    <w:p>
      <w:pPr/>
      <w:r>
        <w:rPr>
          <w:b/>
        </w:rPr>
        <w:t>Shared claim-specific concepts:</w:t>
      </w:r>
      <w:r>
        <w:t xml:space="preserve"> three, narratives, elaborated; EU scope not established. This is a provisional connection, not an outcome finding.</w:t>
      </w:r>
    </w:p>
    <w:p>
      <w:pPr>
        <w:pStyle w:val="SourceNote"/>
      </w:pPr>
      <w:r>
        <w:rPr>
          <w:b/>
        </w:rPr>
        <w:t>Available abstract (not full text):</w:t>
      </w:r>
      <w:r>
        <w:t xml:space="preserve"> The Chronicle of Kamatari THE FIRST SECTION of Tōshi Kaden describes the life of the patriarch of the Fujiwara line, Nakatomi no Kamatari, the eldest son of Nakatomi no Mikeko (?–?), information which is also confirmed in Kugyō bunin . In the context of Sovereign Jomei's (593–641) reign, the Nihon Shoki refers to Kamatari's father as Nakatomi no Muraji Mike , and mentions that he was one of four officials. Virtually nothing is known about his father but it is suggested that he was instrumental in the instalment of Jomei. On the death of Jomei in 641, Kamatari witnessed the dispute regarding his succession, a conflict that resulted in the dismissal and eventual forced suicide of Crown Prince Yamashiro no Ōe (?–643), the son of the illustrious Shōtoku Taishi, and the enthronement of Jomei's consort Kōgyoku. Tōshi Kaden starts exactly at this moment. Having elaborated on Kamatari's intellectual talents and his sense of morality, the chronicle narrates that the courtier Soga no Kuratsukuri (?–645), more commonly referred to as Iruka ‘increased his own fortune’ and controlled the court. Iruka was the son of Soga no Emishi (?–645), the head of the Soga, who was responsible for the removal of Prince Yamashiro and Jomei's enthronement. After having gained ground at court, he was quick to move against Prince Yamashiro, and during the ensuing standoff led by his son Iruka, the prince and</w:t>
      </w:r>
    </w:p>
    <w:p>
      <w:pPr>
        <w:pStyle w:val="Heading2"/>
      </w:pPr>
      <w:r>
        <w:t>717.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2022:</w:t>
      </w:r>
      <w:r>
        <w:t xml:space="preserve"> Prevalence of most common skin diseases in Europe: a population‐based study — https://doi.org/10.1111/jdv.18050</w:t>
      </w:r>
    </w:p>
    <w:p>
      <w:pPr/>
      <w:r>
        <w:rPr>
          <w:b/>
        </w:rPr>
        <w:t>Shared claim-specific concepts:</w:t>
      </w:r>
      <w:r>
        <w:t xml:space="preserve"> population, countries, policies, across; EU scope visible. This is a provisional connection, not an outcome finding.</w:t>
      </w:r>
    </w:p>
    <w:p>
      <w:pPr>
        <w:pStyle w:val="SourceNote"/>
      </w:pPr>
      <w:r>
        <w:rPr>
          <w:b/>
        </w:rPr>
        <w:t>Available abstract (not full text):</w:t>
      </w:r>
      <w:r>
        <w:t xml:space="preserve">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pPr/>
      <w:r>
        <w:rPr>
          <w:b/>
        </w:rPr>
        <w:t>POSSIBLE 2022:</w:t>
      </w:r>
      <w:r>
        <w:t xml:space="preserve"> Dataset on European diadromous species distributions from 1750 to present time in Europe, North Africa and the Middle East — https://doi.org/10.1016/j.dib.2022.107821</w:t>
      </w:r>
    </w:p>
    <w:p>
      <w:pPr/>
      <w:r>
        <w:rPr>
          <w:b/>
        </w:rPr>
        <w:t>Shared claim-specific concepts:</w:t>
      </w:r>
      <w:r>
        <w:t xml:space="preserve"> present, population, populations; EU scope visible. This is a provisional connection, not an outcome finding.</w:t>
      </w:r>
    </w:p>
    <w:p>
      <w:pPr>
        <w:pStyle w:val="SourceNote"/>
      </w:pPr>
      <w:r>
        <w:rPr>
          <w:b/>
        </w:rPr>
        <w:t>Available abstract (not full text):</w:t>
      </w:r>
      <w:r>
        <w:t xml:space="preserve"> EuroDiad version 4.0 is a set of data tables that store information about the presences/absences and population functionality of diadromous species (lampreys and fish) populations in selected catchments in Europe, the Middle East, and North Africa from 1750 to present time. This database contains distribution and life-history trait information for twenty-eight European diadromous species and geomorphological data for each of the selected catchments, though not every species has data for every catchment and time period. EuroDiad was originally created in 2005–2006 (EuroDiad 1.0 and 2.0), and contained data for 196 catchments and two time periods (1851–1950 and 1951–2010). It underwent a major update in 2009–2010 (EuroDiad 3.2) through a validation process by European fisheries experts. Version 3.2 included the addition of 63 small-sized catchments (&lt; 10,000 km2) and an additional time period (1751–1850) for select species and catchments. This database underwent a second validation process in 2019–2020 and was updated to v 4.0, with the primary goal of providing information for a new generation of species distribution models, referred to as hybrid models, which incorporate both habitat suitability and population dynamics within their framework. Secondary objectives of this update were to: (a) incorporate new catchments for which information was provided by additional experts, (b)</w:t>
      </w:r>
    </w:p>
    <w:p>
      <w:pPr/>
      <w:r>
        <w:rPr>
          <w:b/>
        </w:rPr>
        <w:t>POSSIBLE 2022:</w:t>
      </w:r>
      <w:r>
        <w:t xml:space="preserve"> Assessing the risk of establishment and transient populations of Spodoptera frugiperda in Europe — https://doi.org/10.1007/s10340-022-01517-0</w:t>
      </w:r>
    </w:p>
    <w:p>
      <w:pPr/>
      <w:r>
        <w:rPr>
          <w:b/>
        </w:rPr>
        <w:t>Shared claim-specific concepts:</w:t>
      </w:r>
      <w:r>
        <w:t xml:space="preserve"> present, population, demographic, potential, populations; EU scope visible. This is a provisional connection, not an outcome finding.</w:t>
      </w:r>
    </w:p>
    <w:p>
      <w:pPr>
        <w:pStyle w:val="SourceNote"/>
      </w:pPr>
      <w:r>
        <w:rPr>
          <w:b/>
        </w:rPr>
        <w:t>Available abstract (not full text):</w:t>
      </w:r>
      <w:r>
        <w:t xml:space="preserve"> Abstract The fall armyworm, Spodoptera frugiperda (J.E. Smith), is an invasive pest threatening crop production and food security worldwide. High concerns are linked to the potential establishment of the species in Europe. The high migratory capacity of S. frugiperda cause concerns about the potential impacts of transient populations invading new areas from suitable hotspots. In the present work, we developed and used a physiologically-based demographic model to quantitatively assess the risks of S. frugiperda in Europe. The risks were assessed considering a best-, a median-, and a worst-case scenario. The Mediterranean coastal areas of Southern Europe resulted suitable for the establishment of the species, with suitable areas reaching even higher latitudes, in the worst-case scenario. In Europe, up to 4 generations per year were predicted. The predicted average yearly adult population was 5 (± 4), 17 (± 5), and 139 (± 22) in the best, median-, and worst-case assessment scenario, respectively. Model results showed that Southern and Central Europe might be exposed to the risk of transient populations, at least up to the 48th parallel north, in the worst-case scenario. Depending on the latitude and on the period of arrival of the propagule, transient populations might be able to originate 1 or more generations per year. The model can be used to define strategies reducing the risk</w:t>
      </w:r>
    </w:p>
    <w:p>
      <w:pPr/>
      <w:r>
        <w:rPr>
          <w:b/>
        </w:rPr>
        <w:t>POSSIBLE 2022:</w:t>
      </w:r>
      <w:r>
        <w:t xml:space="preserve"> Population Genetics and Signatures of Selection in Early Neolithic European Farmers — https://doi.org/10.1093/molbev/msac108</w:t>
      </w:r>
    </w:p>
    <w:p>
      <w:pPr/>
      <w:r>
        <w:rPr>
          <w:b/>
        </w:rPr>
        <w:t>Shared claim-specific concepts:</w:t>
      </w:r>
      <w:r>
        <w:t xml:space="preserve"> present, population, migration, show, across; EU scope visible. This is a provisional connection, not an outcome finding.</w:t>
      </w:r>
    </w:p>
    <w:p>
      <w:pPr>
        <w:pStyle w:val="SourceNote"/>
      </w:pPr>
      <w:r>
        <w:rPr>
          <w:b/>
        </w:rPr>
        <w:t>Available abstract (not full text):</w:t>
      </w:r>
      <w:r>
        <w:t xml:space="preserve"> Human expansion in the course of the Neolithic transition in western Eurasia has been one of the major topics in ancient DNA research in the last 10 years. Multiple studies have shown that the spread of agriculture and animal husbandry from the Near East across Europe was accompanied by large-scale human expansions. Moreover, changes in subsistence and migration associated with the Neolithic transition have been hypothesized to involve genetic adaptation. Here, we present high quality genome-wide data from the Linear Pottery Culture site Derenburg-Meerenstieg II (DER) (N = 32 individuals) in Central Germany. Population genetic analyses show that the DER individuals carried predominantly Anatolian Neolithic-like ancestry and a very limited degree of local hunter-gatherer admixture, similar to other early European farmers. Increasing the Linear Pottery culture cohort size to ∼100 individuals allowed us to perform various frequency- and haplotype-based analyses to investigate signatures of selection associated with changes following the adoption of the Neolithic lifestyle. In addition, we developed a new method called Admixture-informed Maximum-likelihood Estimation for Selection Scans that allowed us test for selection signatures in an admixture-aware fashion. Focusing on the intersection of results from these selection scans, we identified various loci associated with immune fun</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countries, union, range, policies, across;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2021:</w:t>
      </w:r>
      <w:r>
        <w:t xml:space="preserve"> The New European Political Arithmetic of Inequalities in Education: A History of the Present — https://doi.org/10.17645/si.v9i3.4339</w:t>
      </w:r>
    </w:p>
    <w:p>
      <w:pPr/>
      <w:r>
        <w:rPr>
          <w:b/>
        </w:rPr>
        <w:t>Shared claim-specific concepts:</w:t>
      </w:r>
      <w:r>
        <w:t xml:space="preserve"> present, population, demographic, policies, across; EU scope visible. This is a provisional connection, not an outcome finding.</w:t>
      </w:r>
    </w:p>
    <w:p>
      <w:pPr>
        <w:pStyle w:val="SourceNote"/>
      </w:pPr>
      <w:r>
        <w:rPr>
          <w:b/>
        </w:rPr>
        <w:t>Available abstract (not full text):</w:t>
      </w:r>
      <w:r>
        <w:t xml:space="preserve"> The article describes the emergence and development of positive epistemology and quantification tools in the dynamics of inequalities in education. It contributes to a history of the present at a time when datafication and experimentalism are reappearing in educational policies to justify the reduction of inequalities across international surveys and randomised controlled trials. This socio‐history of metrics also sheds light on transformations about relationships historically established between the welfare state and education that have shaped the representation of inequalities and social programs in education. The use of large‐scale surveys and controlled experiments in social and educational policies developed in the 1920s and 30s, even if their methods and techniques have become more sophisticated due to statistical progress. However, statistical reasoning is today no less persuasive in justifying the measurement of student skills and various forms of state intervention for “at‐risk” children and youth. With the rise of international organisations, notably the European Commission, demographic issues related to school population and the reduction of inequalities have shifted. It is less a question of selecting the most talented or gifted among working‐class students than of investing in human capital from early childhood to improve the education systems’ performance and comp</w:t>
      </w:r>
    </w:p>
    <w:p>
      <w:pPr/>
      <w:r>
        <w:rPr>
          <w:b/>
        </w:rPr>
        <w:t>POSSIBLE 2021:</w:t>
      </w:r>
      <w:r>
        <w:t xml:space="preserve"> Tinnitus prevalence in Europe: a multi-country cross-sectional population study — https://doi.org/10.1016/j.lanepe.2021.100250</w:t>
      </w:r>
    </w:p>
    <w:p>
      <w:pPr/>
      <w:r>
        <w:rPr>
          <w:b/>
        </w:rPr>
        <w:t>Shared claim-specific concepts:</w:t>
      </w:r>
      <w:r>
        <w:t xml:space="preserve"> population, countries, union, across; EU scope visible. This is a provisional connection, not an outcome finding.</w:t>
      </w:r>
    </w:p>
    <w:p>
      <w:pPr>
        <w:pStyle w:val="SourceNote"/>
      </w:pPr>
      <w:r>
        <w:rPr>
          <w:b/>
        </w:rPr>
        <w:t>Available abstract (not full text):</w:t>
      </w:r>
      <w:r>
        <w:t xml:space="preserve"> BACKGROUND: Tinnitus prevalence studies report large variability across countries that might be due to inconsistent research methods. Our study aimed to report a single Pan-European estimate for tinnitus prevalence and investigate the effect of individual and country-level characteristics on prevalence. We explored the relationships of healthcare resource use and hearing difficulty with tinnitus symptoms. METHODS: Between 2017-2018, a cross-sectional European Tinnitus Survey (ETS) was conducted in 12 European Union nations (Bulgaria, England, France, Germany, Greece, Ireland, Italy, Latvia, Poland, Portugal, Romania, and Spain), using a standardised set of tinnitus-related questions and response options in country-specific languages. We recruited 11,427 adults aged ≥18 years. FINDINGS: Prevalence of any tinnitus was 14·7% (14·0% in men and 15·2% in women), ranging from 8·7% in Ireland to 28·3% in Bulgaria. Severe tinnitus was found in 1·2% participants (1·0% in men and 1·4% in women), ranging from 0·6% in Ireland to 4·2% in Romania. Tinnitus prevalence significantly increased with increasing age and worsening of hearing status. Healthcare resource use for tinnitus increased with increasing tinnitus symptom severity. INTERPRETATION: This is the first multinational report of Pan-European tinnitus prevalence using standardised questions. The overall prevalence estimates refine pre</w:t>
      </w:r>
    </w:p>
    <w:p>
      <w:pPr/>
      <w:r>
        <w:rPr>
          <w:b/>
        </w:rPr>
        <w:t>POSSIBLE 2021:</w:t>
      </w:r>
      <w:r>
        <w:t xml:space="preserve"> Towards New Horizons: Climate Trends in Europe Increase the Environmental Suitability for Permanent Populations of Hyalomma marginatum (Ixodidae) — https://doi.org/10.3390/pathogens10020095</w:t>
      </w:r>
    </w:p>
    <w:p>
      <w:pPr/>
      <w:r>
        <w:rPr>
          <w:b/>
        </w:rPr>
        <w:t>Shared claim-specific concepts:</w:t>
      </w:r>
      <w:r>
        <w:t xml:space="preserve"> countries, show, increase, populations; EU scope visible. This is a provisional connection, not an outcome finding.</w:t>
      </w:r>
    </w:p>
    <w:p>
      <w:pPr>
        <w:pStyle w:val="SourceNote"/>
      </w:pPr>
      <w:r>
        <w:rPr>
          <w:b/>
        </w:rPr>
        <w:t>Available abstract (not full text):</w:t>
      </w:r>
      <w:r>
        <w:t xml:space="preserve"> Ticks and tick-borne pathogens are changing their current distribution, presumably due to the impact of the climate trends. On a large scale, these trends are changing the environmental suitability of Hyalomma marginatum, the main vector of several pathogens affecting human health. We generated annual models of environmental suitability for the tick in the period 1970–2018, using harmonic regression-derived data of the daily maximum and minimum temperature, soil moisture and water vapor deficit. The results demonstrate an expansion of the suitable area in Mediterranean countries, southeast central Europe and south of the Balkans. Also, the models allowed us to interpret the impact of the ecological variables on these changes. We deduced that (i) maximum temperature was significant for all of the biogeographical categories, (ii) soil humidity has an influence in the Mediterranean climate areas, and (iii) the minimum temperature and deficit water vapor did not influence the environmental suitability of the species. The conclusions clearly show that climate change could create new areas in Europe with suitable climates for H. marginatum, while keeping its “historical” distribution in the Mediterranean. Therefore, it is necessary to further explore possible risk areas for H. marginatum and its associated pathogens.</w:t>
      </w:r>
    </w:p>
    <w:p>
      <w:pPr/>
      <w:r>
        <w:rPr>
          <w:b/>
        </w:rPr>
        <w:t>POSSIBLE 2020:</w:t>
      </w:r>
      <w:r>
        <w:t xml:space="preserve"> A new typology of small farms in Europe — https://doi.org/10.1016/j.gfs.2020.100389</w:t>
      </w:r>
    </w:p>
    <w:p>
      <w:pPr/>
      <w:r>
        <w:rPr>
          <w:b/>
        </w:rPr>
        <w:t>Shared claim-specific concepts:</w:t>
      </w:r>
      <w:r>
        <w:t xml:space="preserve"> countries, range, across; EU scope visible. This is a provisional connection, not an outcome finding.</w:t>
      </w:r>
    </w:p>
    <w:p>
      <w:pPr>
        <w:pStyle w:val="SourceNote"/>
      </w:pPr>
      <w:r>
        <w:rPr>
          <w:b/>
        </w:rPr>
        <w:t>Available abstract (not full text):</w:t>
      </w:r>
      <w:r>
        <w:t xml:space="preserve"> We propose a new typology of small farms in Europe using a multivariate analysis drawing from household surveys from 14 European countries. The variables to develop the types covered a range of characteristics from farmers' histories and motivations, to farm production, assets and labour, market linkages and access to support. The clustering analysis found five types of small farms, two with relatively weak commercial orientation (peasant and part-time farms) and three with relatively strong commercial orientation (diversified businesses, specialized businesses, and new enterprises). This typology provides a richer picture of the diversity and nature of small farming across Europe beyond assumptions about their role in subsistence and fragile household economies. We find evidence of entrepreneurship and strong market linkages as well as a range of motivations, including lifestyle options. Typologies such as the one presented here can help to better document and understand the role of small-scale farming in Europe, and provide an input for evidence-based policy making that can enhance their livelihoods and contribution.</w:t>
      </w:r>
    </w:p>
    <w:p>
      <w:pPr/>
      <w:r>
        <w:rPr>
          <w:b/>
        </w:rPr>
        <w:t>POSSIBLE 2020:</w:t>
      </w:r>
      <w:r>
        <w:t xml:space="preserve"> Population of Eurasian beaver (Castor fiber) in Europe — https://doi.org/10.1016/j.gecco.2020.e01046</w:t>
      </w:r>
    </w:p>
    <w:p>
      <w:pPr/>
      <w:r>
        <w:rPr>
          <w:b/>
        </w:rPr>
        <w:t>Shared claim-specific concepts:</w:t>
      </w:r>
      <w:r>
        <w:t xml:space="preserve"> population, countries, increase, populations; EU scope visible. This is a provisional connection, not an outcome finding.</w:t>
      </w:r>
    </w:p>
    <w:p>
      <w:pPr>
        <w:pStyle w:val="SourceNote"/>
      </w:pPr>
      <w:r>
        <w:rPr>
          <w:b/>
        </w:rPr>
        <w:t>Available abstract (not full text):</w:t>
      </w:r>
      <w:r>
        <w:t xml:space="preserve"> The Eurasian beaver (Castor fiber) is an intensely expansionary species. Species reintroductions, which were conducted in various parts of Europe, as well as the rate of natural increase have resulted in the growth of the number of individuals. The dynamic development of the beaver population in Europe means that the available data concerning the quantity of beavers becomes outdated very quickly. The purpose of this manuscript is to update the available information about the beaver populations in all countries of Europe. The information was collected in the second half of 2019. Some of the data collected include generally available studies and articles. For some countries, the author had difficulty obtaining any data; therefore, personal communication was employed with various governmental or scientific units in the given country. The outcomes of the conducted analyses were figures about the Eurasian beaver population throughout Europe. It was found that the Eurasian beaver population in Europe numbered nearly 1,222,000 individuals.</w:t>
      </w:r>
    </w:p>
    <w:p>
      <w:pPr>
        <w:pStyle w:val="Heading2"/>
      </w:pPr>
      <w:r>
        <w:t>718.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2023:</w:t>
      </w:r>
      <w:r>
        <w:t xml:space="preserve"> The Macro Impact of Short‐Termism — https://doi.org/10.3982/ecta15420</w:t>
      </w:r>
    </w:p>
    <w:p>
      <w:pPr/>
      <w:r>
        <w:rPr>
          <w:b/>
        </w:rPr>
        <w:t>Shared claim-specific concepts:</w:t>
      </w:r>
      <w:r>
        <w:t xml:space="preserve"> forecasts, standard, estimate; EU scope not established. This is a provisional connection, not an outcome finding.</w:t>
      </w:r>
    </w:p>
    <w:p>
      <w:pPr>
        <w:pStyle w:val="SourceNote"/>
      </w:pPr>
      <w:r>
        <w:rPr>
          <w:b/>
        </w:rPr>
        <w:t>Available abstract (not full text):</w:t>
      </w:r>
      <w:r>
        <w:t xml:space="preserve"> R&amp;D investment reduces current profits, so short‐term pressure to hit profit targets may distort R&amp;D. In the data, firms just meeting Wall Street forecasts have lower R&amp;D growth and subsequent innovation, while managers just missing receive lower pay. But short‐termist distortions might not quantitatively matter if aggregation or equilibrium dampen their impact. So I build and estimate a quantitative endogenous growth model in which short‐termism arises naturally as discipline on conflicted managers and boosts firm value by about 1%. But short‐termism reduces R&amp;D, and the social return to R&amp;D is higher than the private return due to standard channels including knowledge spillovers and imperfect competition. So at the macro level, short‐termist distortions slow growth by 5 basis points yearly and lower social welfare by about 1%.</w:t>
      </w:r>
    </w:p>
    <w:p>
      <w:pPr/>
      <w:r>
        <w:rPr>
          <w:b/>
        </w:rPr>
        <w:t>POSSIBLE 2022:</w:t>
      </w:r>
      <w:r>
        <w:t xml:space="preserve"> From Short-Term Risk to Long-Term Strategic Challenges: Reviewing the Consequences of Geopolitics and COVID-19 on Economic Performance — https://doi.org/10.3390/su142114455</w:t>
      </w:r>
    </w:p>
    <w:p>
      <w:pPr/>
      <w:r>
        <w:rPr>
          <w:b/>
        </w:rPr>
        <w:t>Shared claim-specific concepts:</w:t>
      </w:r>
      <w:r>
        <w:t xml:space="preserve"> short-term, approach; EU scope visible. This is a provisional connection, not an outcome finding.</w:t>
      </w:r>
    </w:p>
    <w:p>
      <w:pPr>
        <w:pStyle w:val="SourceNote"/>
      </w:pPr>
      <w:r>
        <w:rPr>
          <w:b/>
        </w:rPr>
        <w:t>Available abstract (not full text):</w:t>
      </w:r>
      <w:r>
        <w:t xml:space="preserve"> The COVID-19 crisis and the war between Russia and Ukraine affects the world economy badly. The western countries’ economic sanctions on Russia and the Russian government’s reverse sanctions on western countries create pressure on the world economy. This study was conducted to investigate how the economic performance is responding to COVID-19 and the geopolitical crisis of the era. In doing so, both theoretical and numerical data reviews have been performed. The objective of the study is to investigate the short-term risks and long-term strategic challenges of the crisis. The study used a bibliometric approach with the help of RStudio software. The Web of Science database was used for extracting the resources in line with the grey literature from the Google Search engine. A total of 895 documents were utilized in this bibliometric analysis. At the same time, secondary panel data extracted from the international monetary fund (IMF) for a period of 4 years (2019–2022) were utilized for reviewing numerical implications. The purposive sampling technique is used for data selection and main economic variables. The findings of the study imply that countries over the world registered less economic growth, high inflation rate, and high government debt in 2022 compared to the fiscal period of 2019–2021. The emerging economies and developing countries of Europe were badly affected by the </w:t>
      </w:r>
    </w:p>
    <w:p>
      <w:pPr/>
      <w:r>
        <w:rPr>
          <w:b/>
        </w:rPr>
        <w:t>POSSIBLE 2021:</w:t>
      </w:r>
      <w:r>
        <w:t xml:space="preserve"> Current and projected regional economic impacts of heatwaves in Europe — https://doi.org/10.1038/s41467-021-26050-z</w:t>
      </w:r>
    </w:p>
    <w:p>
      <w:pPr/>
      <w:r>
        <w:rPr>
          <w:b/>
        </w:rPr>
        <w:t>Shared claim-specific concepts:</w:t>
      </w:r>
      <w:r>
        <w:t xml:space="preserve"> projections, labour, output;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2021:</w:t>
      </w:r>
      <w:r>
        <w:t xml:space="preserve"> Remote Sensing for Short-Term Economic Forecasts — https://doi.org/10.3390/su13179593</w:t>
      </w:r>
    </w:p>
    <w:p>
      <w:pPr/>
      <w:r>
        <w:rPr>
          <w:b/>
        </w:rPr>
        <w:t>Shared claim-specific concepts:</w:t>
      </w:r>
      <w:r>
        <w:t xml:space="preserve"> short-term, forecasts, potential, very; EU scope not established. This is a provisional connection, not an outcome finding.</w:t>
      </w:r>
    </w:p>
    <w:p>
      <w:pPr>
        <w:pStyle w:val="SourceNote"/>
      </w:pPr>
      <w:r>
        <w:rPr>
          <w:b/>
        </w:rPr>
        <w:t>Available abstract (not full text):</w:t>
      </w:r>
      <w:r>
        <w:t xml:space="preserve"> Economic forecasts are an important instrument to judge the nation-wide economic situation. Such forecasts are mainly based on data from statistical offices. However, there is a time lag between the end of the reporting period and the release of the statistical data that arises for instance from the time needed to collect and process the data. To improve the forecasts by reducing the delay, it is of interest to find alternative data sources that provide information on economic activity without significant delays. Among others, satellite images are thought to assist here. This paper addresses the potential of earth observation imagery for short-term economic forecasts. The study is focused on the estimation of investments in the construction sector based on high resolution (HR) (10–20 m) and very high resolution (VHR) (0.3–0.5 m) images as well as on the estimation of investments in agricultural machinery based on orthophotos (0.1 m) simulating VHR satellite imagery. By applying machine learning it is possible to extract the objects of interest to a certain extent. For the detection of construction areas, VHR satellite images are much better suited than HR satellite images. VHR satellite images with a ground resolution of 30–50 cm are able to identify agricultural machinery. These results are promising and provide new and unconventional input for economic forecasting models.</w:t>
      </w:r>
    </w:p>
    <w:p>
      <w:pPr/>
      <w:r>
        <w:rPr>
          <w:b/>
        </w:rPr>
        <w:t>POSSIBLE 2020:</w:t>
      </w:r>
      <w:r>
        <w:t xml:space="preserve"> Short-term and long-term health impacts of air pollution reductions from COVID-19 lockdowns in China and Europe: a modelling study — https://doi.org/10.1016/s2542-5196(20)30224-2</w:t>
      </w:r>
    </w:p>
    <w:p>
      <w:pPr/>
      <w:r>
        <w:rPr>
          <w:b/>
        </w:rPr>
        <w:t>Shared claim-specific concepts:</w:t>
      </w:r>
      <w:r>
        <w:t xml:space="preserve"> short-term; EU scope visible. This is a provisional connection, not an outcome finding.</w:t>
      </w:r>
    </w:p>
    <w:p>
      <w:pPr>
        <w:pStyle w:val="SourceNote"/>
      </w:pPr>
      <w:r>
        <w:rPr>
          <w:b/>
        </w:rPr>
        <w:t>Available abstract (not full text):</w:t>
      </w:r>
      <w:r>
        <w:t xml:space="preserve"> Background Exposure to poor air quality leads to increased premature mortality from cardiovascular and respiratory diseases. Among the far-reaching implications of the ongoing COVID-19 pandemic, a substantial improvement in air quality was observed worldwide after the lockdowns imposed by many countries. We aimed to assess the implications of different lockdown measures on air pollution levels in Europe and China, as well as the short-term and long-term health impact. Methods For this modelling study, observations of fine particulate matter (PM 2·5 ) concentrations from more than 2500 stations in Europe and China during 2016–20 were integrated with chemical transport model simulations to reconstruct PM 2·5 fields at high spatiotemporal resolution. The health benefits, expressed as short-term and long-term avoided mortality from PM 2·5 exposure associated with the interventions imposed to control the COVID-19 pandemic, were quantified on the basis of the latest epidemiological studies. To explore the long-term variability in air quality and associated premature mortality, we built different scenarios of economic recovery (immediate or gradual resumption of activities, a second outbreak in autumn, and permanent lockdown for the whole of 2020). Findings The lockdown interventions led to a reduction in population-weighted PM 2·5 of 14·5 μg m −3 across China (−29·7%) and 2·2 μg m −3</w:t>
      </w:r>
    </w:p>
    <w:p>
      <w:pPr/>
      <w:r>
        <w:rPr>
          <w:b/>
        </w:rPr>
        <w:t>POSSIBLE 2020:</w:t>
      </w:r>
      <w:r>
        <w:t xml:space="preserve"> Effect of B Corp Certification on Short-Term Growth: European Evidence — https://doi.org/10.3390/su12208459</w:t>
      </w:r>
    </w:p>
    <w:p>
      <w:pPr/>
      <w:r>
        <w:rPr>
          <w:b/>
        </w:rPr>
        <w:t>Shared claim-specific concepts:</w:t>
      </w:r>
      <w:r>
        <w:t xml:space="preserve"> short-term, potential; EU scope visible. This is a provisional connection, not an outcome finding.</w:t>
      </w:r>
    </w:p>
    <w:p>
      <w:pPr>
        <w:pStyle w:val="SourceNote"/>
      </w:pPr>
      <w:r>
        <w:rPr>
          <w:b/>
        </w:rPr>
        <w:t>Available abstract (not full text):</w:t>
      </w:r>
      <w:r>
        <w:t xml:space="preserve"> This paper investigates the effect of sustainability certification on the short-term growth rates of socially responsible companies. A changing business environment in which stakeholders became more sensitive to the sustainability practices of companies induced a growing popularity of hybrid firms, which use market-based approaches to pursue environmental and social goals. However, stakeholders do not take unsubstantiated claims about companies’ sustainability efforts for granted, creating a potential economic role for independent certification organizations. In addition, the internal processes brought about by the external verification procedure could turn the social mission, which is often creating tension with financial goals, into a strategic advantage. B Lab is one such well-known and rapidly growing organization, granting so-called B Corp certificates across many countries around the world. This paper contributes to the hybrid firm literature by ascertaining the benefit of certification as measured by firm growth. Using a panel dataset of financial data of European firms that obtained B Corp certification between 2012 and 2018 and a quasi-experimental difference-in-difference research design, this paper empirically shows that B Corp certification positively impacts the turnover growth rates one year pre versus one year post certification. No significant effects on employe</w:t>
      </w:r>
    </w:p>
    <w:p>
      <w:pPr>
        <w:pStyle w:val="Heading2"/>
      </w:pPr>
      <w:r>
        <w:t>719.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across, regions, methods;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Branch-and-bound and objective branching with three or more objectives — https://doi.org/10.1016/j.cor.2022.106012</w:t>
      </w:r>
    </w:p>
    <w:p>
      <w:pPr/>
      <w:r>
        <w:rPr>
          <w:b/>
        </w:rPr>
        <w:t>Shared claim-specific concepts:</w:t>
      </w:r>
      <w:r>
        <w:t xml:space="preserve"> objective, three, inequalities, applied; EU scope not established. This is a provisional connection, not an outcome finding.</w:t>
      </w:r>
    </w:p>
    <w:p>
      <w:pPr>
        <w:pStyle w:val="SourceNote"/>
      </w:pPr>
      <w:r>
        <w:rPr>
          <w:b/>
        </w:rPr>
        <w:t>Available abstract (not full text):</w:t>
      </w:r>
      <w:r>
        <w:t xml:space="preserve"> The recent success of bi-objective Branch-and-Bound (B&amp;B) algorithms heavily relies on the efficient computation of upper and lower bound sets. These bound sets are used as a supplement to the classical dominance test to improve the computational time by imposing inequalities derived from (partial) dominance in the objective space. This process is called objective branching since it is mostly applied when generating child nodes. In this paper, we extend the concept of objective branching to multi-objective integer optimization problems with three or more objective functions. Several difficulties arise in this case, as there is no longer a lexicographic order among non-dominated outcome vectors when there are three or more objectives. We discuss the general concept of objective branching in any number of dimensions and suggest a merging operation of local upper bounds to avoid the generation of redundant sub-problems. Finally, results from extensive experimental studies on several classes of multi-objective optimization problems is reported.</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three, project, key, methods;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Meeting the European green deal objective of expanding organic farming — https://doi.org/10.24136/eq.2022.021</w:t>
      </w:r>
    </w:p>
    <w:p>
      <w:pPr/>
      <w:r>
        <w:rPr>
          <w:b/>
        </w:rPr>
        <w:t>Shared claim-specific concepts:</w:t>
      </w:r>
      <w:r>
        <w:t xml:space="preserve"> objective, three, developed, methods, approach; EU scope visible. This is a provisional connection, not an outcome finding.</w:t>
      </w:r>
    </w:p>
    <w:p>
      <w:pPr>
        <w:pStyle w:val="SourceNote"/>
      </w:pPr>
      <w:r>
        <w:rPr>
          <w:b/>
        </w:rPr>
        <w:t>Available abstract (not full text):</w:t>
      </w:r>
      <w:r>
        <w:t xml:space="preserve"> Research background: Economic growth is unsustainable. However, a circular economy has the potential to lead to sustainable development, while decoupling economic growth from the negative consequences of resource depletion and environmental degradation. The EU's strategy of climate neutralization in 2050 developed, inter alia, into a European Green Deal action plan aiming at the efficient use of resources by moving to a cleaner, circular economy. More sustainable EU food system is a cornerstone of the European Green Deal. The European Commission's goal is 25% of agricultural land to be used for organic production in 2030. The question is if it is possible to reach the objective with the use of current incentives. What else may be done to encourage European farmers to convert to organic farming? Purpose of the article: The aim of this research is to review the development of organic agriculture in Europe and the EU and to identify incentives for farmers to convert to organic farming. Methods: First of all, the methodological approach is to iteratively review the existing literature to frame the problem. Secondly, the data on organic agriculture in Europe is to be analyzed to answer the research questions. The analysis is based on international statistics, mainly collected by FiBL, IFOAM, EC Agri-food data portal and Eurostat..Fitting the trend functions to the actual data has be</w:t>
      </w:r>
    </w:p>
    <w:p>
      <w:pPr/>
      <w:r>
        <w:rPr>
          <w:b/>
        </w:rPr>
        <w:t>POSSIBLE 2022:</w:t>
      </w:r>
      <w:r>
        <w:t xml:space="preserve"> COVID-19 in Europe: from outbreak to vaccination — https://doi.org/10.1186/s12889-022-14454-5</w:t>
      </w:r>
    </w:p>
    <w:p>
      <w:pPr/>
      <w:r>
        <w:rPr>
          <w:b/>
        </w:rPr>
        <w:t>Shared claim-specific concepts:</w:t>
      </w:r>
      <w:r>
        <w:t xml:space="preserve"> objective, three, affect, across, methods, approach;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2021:</w:t>
      </w:r>
      <w:r>
        <w:t xml:space="preserve"> The evolution of life cycle assessment in European policies over three decades — https://doi.org/10.1007/s11367-021-01893-2</w:t>
      </w:r>
    </w:p>
    <w:p>
      <w:pPr/>
      <w:r>
        <w:rPr>
          <w:b/>
        </w:rPr>
        <w:t>Shared claim-specific concepts:</w:t>
      </w:r>
      <w:r>
        <w:t xml:space="preserve"> three, evolution, methods, identification, stage; EU scope visible. This is a provisional connection, not an outcome finding.</w:t>
      </w:r>
    </w:p>
    <w:p>
      <w:pPr>
        <w:pStyle w:val="SourceNote"/>
      </w:pPr>
      <w:r>
        <w:rPr>
          <w:b/>
        </w:rPr>
        <w:t>Available abstract (not full text):</w:t>
      </w:r>
      <w:r>
        <w:t xml:space="preserve"> Abstract Purpose Life cycle thinking (LCT) and life cycle assessment (LCA) are increasingly considered pivotal concept and method for supporting sustainable transitions. LCA plays a relevant role in decision support, for the ambition of a holistic coverage of environmental dimensions and for the identification of hotspots, possible trade-offs, and burden shifting among life cycle stages or impact categories. These features are also relevant when the decision support is needed in policy domain. With a focus on EU policies, the present study explores the evolution and implementation of life cycle concepts and approaches over three decades. Methods Adopting an historical perspective, a review of current European Union (EU) legal acts and communications explicitly mentioning LCT, LCA, life cycle costing (LCC), and environmental footprint (the European Product and Organisation Environmental Footprint PEF/OEF) is performed, considering the timeframe from 1990 to 2020. The documents are categorised by year and according to their types (e.g. regulations, directives, communications) and based on the covered sectors (e.g. waste, energy, buildings). Documents for which life cycle concepts and approaches had a crucial role are identified, and a shortlist of these legal acts and communications is derived. Results and discussion Over the years, LCT and life cycle approaches have been increas</w:t>
      </w:r>
    </w:p>
    <w:p>
      <w:pPr/>
      <w:r>
        <w:rPr>
          <w:b/>
        </w:rPr>
        <w:t>POSSIBLE 2020:</w:t>
      </w:r>
      <w:r>
        <w:t xml:space="preserve"> Subjective or Objective? How Objective Measures Relate to Subjective Life Satisfaction in Europe — https://doi.org/10.3390/ijgi9050320</w:t>
      </w:r>
    </w:p>
    <w:p>
      <w:pPr/>
      <w:r>
        <w:rPr>
          <w:b/>
        </w:rPr>
        <w:t>Shared claim-specific concepts:</w:t>
      </w:r>
      <w:r>
        <w:t xml:space="preserve"> objective, factors, across, methods, approach, applied; EU scope visible. This is a provisional connection, not an outcome finding.</w:t>
      </w:r>
    </w:p>
    <w:p>
      <w:pPr>
        <w:pStyle w:val="SourceNote"/>
      </w:pPr>
      <w:r>
        <w:rPr>
          <w:b/>
        </w:rPr>
        <w:t>Available abstract (not full text):</w:t>
      </w:r>
      <w:r>
        <w:t xml:space="preserve"> Quality of life and life satisfaction are topics that currently receive a great deal of attention across the globe. Many approaches exist, which use both qualitative and quantitative methods, to capture these phenomena. Historically, quality of life was measured exclusively by economic indicators. However, it is indisputable that other factors influence people’s life satisfaction, which is captured by subjective survey-based data. By contrast, objective data can easily be obtained and cover a wider range, in terms of population and area. In this research, the multiple fuzzy linear regression model is applied in order to explain the relationship between subjective life satisfaction and selected objective indicators used to evaluate quality of life. The great advantage of the fuzzy model lies in its ability to capture uncertainty, which is undoubtedly associated with the vague concept of subjective life satisfaction. The main outcome of the paper is the detection of indicators that have a statistically significant relationship with life satisfaction. Subsequently, a pan-European sub-national prediction of life satisfaction after the consideration of the most relevant input indicators was proposed, including the uncertainty associated with the prediction of such a phenomenon. The study revealed significant regional differences and similarities between the originally reported satis</w:t>
      </w:r>
    </w:p>
    <w:p>
      <w:pPr/>
      <w:r>
        <w:rPr>
          <w:b/>
        </w:rPr>
        <w:t>POSSIBLE 2020:</w:t>
      </w:r>
      <w:r>
        <w:t xml:space="preserve"> Energy Performance of the European Union Countries in Terms of Reaching the European Energy Union Objectives — https://doi.org/10.3390/en13205317</w:t>
      </w:r>
    </w:p>
    <w:p>
      <w:pPr/>
      <w:r>
        <w:rPr>
          <w:b/>
        </w:rPr>
        <w:t>Shared claim-specific concepts:</w:t>
      </w:r>
      <w:r>
        <w:t xml:space="preserve"> objective, project, methods; EU scope visible. This is a provisional connection, not an outcome finding.</w:t>
      </w:r>
    </w:p>
    <w:p>
      <w:pPr>
        <w:pStyle w:val="SourceNote"/>
      </w:pPr>
      <w:r>
        <w:rPr>
          <w:b/>
        </w:rPr>
        <w:t>Available abstract (not full text):</w:t>
      </w:r>
      <w:r>
        <w:t xml:space="preserve"> European energy policy, especially the project of the Energy Union, is one of the most rapidly developing areas of the EU, and one through which European institutions are obtaining gradually more extensive power over the performance of the national energy sectors. The paper focuses on an analysis of the energy performance of EU member states (MS) with regard to the priorities of the European Energy Union. For an assessment of the energy performance of EU countries, the Technique for Order of Preference by Similarity to Ideal Solution (TOPSIS) was chosen, using the Coefficient of Variation method (CV) as an objective method for determining the weights of eight input indicators, including CO2 intensity, electricity and gas price, energy productivity, energy dependence, consumption of renewables and research and development. The analysis for the period from 2008 to 2016 showed significant changes in the input indicators, which directly influenced the results of both methods mentioned above. Long-term differences between the best- and worst-rated countries are seen mainly in CO2 emissions, energy imports and total consumption of renewable energy sources. It is these aspects of comprehensive energy performance and their convergence at the level of EU countries that we believe should be addressed in the near future.</w:t>
      </w:r>
    </w:p>
    <w:p>
      <w:pPr/>
      <w:r>
        <w:rPr>
          <w:b/>
        </w:rPr>
        <w:t>POSSIBLE 2020:</w:t>
      </w:r>
      <w:r>
        <w:t xml:space="preserve"> Branch-and-bound and objective branching with three objectives — https://openalex.org/W4412331006</w:t>
      </w:r>
    </w:p>
    <w:p>
      <w:pPr/>
      <w:r>
        <w:rPr>
          <w:b/>
        </w:rPr>
        <w:t>Shared claim-specific concepts:</w:t>
      </w:r>
      <w:r>
        <w:t xml:space="preserve"> objective, three, inequalities, applied; EU scope not established. This is a provisional connection, not an outcome finding.</w:t>
      </w:r>
    </w:p>
    <w:p>
      <w:pPr>
        <w:pStyle w:val="SourceNote"/>
      </w:pPr>
      <w:r>
        <w:rPr>
          <w:b/>
        </w:rPr>
        <w:t>Available abstract (not full text):</w:t>
      </w:r>
      <w:r>
        <w:t xml:space="preserve"> The recent success of bi-objective Branch-and-Bound (B&amp;B) algorithms heavily relies on the efficient computation of upper and lower bound sets. Besides the classical dominance test, bound sets are used to improve the computational time by imposing inequalities derived from (partial) dominance in the objective space. This process is called objective branching since it is mostly applied when generating child nodes. In this paper, we extend the concept of objective branching to tri-objective combinatorial optimization problems. Several difficulties arise in this case, as there is no longer a lexicographic order among nondominated outcome vectors in the multi-objective case, with more than two objectives. We discuss the general concept of objective branching in any number of dimensions and suggest a merging operation of local upper bounds to avoid the generation of redundant subproblems. Numerical experiments on tri-objective knapsack, assignment and facility location problems show a significant speed-up in the B&amp;B framework.</w:t>
      </w:r>
    </w:p>
    <w:p>
      <w:pPr>
        <w:pStyle w:val="Heading2"/>
      </w:pPr>
      <w:r>
        <w:t>720.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those, developed, tend;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2021:</w:t>
      </w:r>
      <w:r>
        <w:t xml:space="preserve"> Electric vehicle charging network in Europe: An accessibility and deployment trends analysis — https://doi.org/10.1016/j.trd.2021.102813</w:t>
      </w:r>
    </w:p>
    <w:p>
      <w:pPr/>
      <w:r>
        <w:rPr>
          <w:b/>
        </w:rPr>
        <w:t>Shared claim-specific concepts:</w:t>
      </w:r>
      <w:r>
        <w:t xml:space="preserve"> developed, large-scale, technology, environmental, bottom-up; EU scope visible. This is a provisional connection, not an outcome finding.</w:t>
      </w:r>
    </w:p>
    <w:p>
      <w:pPr>
        <w:pStyle w:val="SourceNote"/>
      </w:pPr>
      <w:r>
        <w:rPr>
          <w:b/>
        </w:rPr>
        <w:t>Available abstract (not full text):</w:t>
      </w:r>
      <w:r>
        <w:t xml:space="preserve"> If coupled with a low-carbon electricity mix, electric vehicles (EVs) can represent an important technology for transport decarbonization and local pollutants abatement. Yet, to ensure large-scale EVs adoption, an adequate charging stations network must be developed. This paper provides the first comprehensive bottom-up analysis of the EV charging network in Europe. Combining a crowd-sourced database of charging stations with accessibility data and algorithms, we produce maps of the travel time to the most accessible EV charging station across Europe, we evaluate the charging points density and the number of active operators in different areas. We find that although recent years have witnessed a notable expansion of the EV charging network, stark inequalities persist across and within countries, both in terms of accessibility and of the charging points available to users. Our results allow for a better understanding of some of the key challenges ahead for ensuring mass EVs adoption throughout Europe and thus potentially reducing the environmental impact of the transport sector.</w:t>
      </w:r>
    </w:p>
    <w:p>
      <w:pPr/>
      <w:r>
        <w:rPr>
          <w:b/>
        </w:rPr>
        <w:t>POSSIBLE 2020:</w:t>
      </w:r>
      <w:r>
        <w:t xml:space="preserve"> Emergence and spread of a SARS-CoV-2 variant through Europe in the summer of 2020 — https://doi.org/10.1101/2020.10.25.20219063</w:t>
      </w:r>
    </w:p>
    <w:p>
      <w:pPr/>
      <w:r>
        <w:rPr>
          <w:b/>
        </w:rPr>
        <w:t>Shared claim-specific concepts:</w:t>
      </w:r>
      <w:r>
        <w:t xml:space="preserve"> even, though; EU scope visible. This is a provisional connection, not an outcome finding.</w:t>
      </w:r>
    </w:p>
    <w:p>
      <w:pPr>
        <w:pStyle w:val="SourceNote"/>
      </w:pPr>
      <w:r>
        <w:rPr>
          <w:b/>
        </w:rPr>
        <w:t>Available abstract (not full text):</w:t>
      </w:r>
      <w:r>
        <w:t xml:space="preserve">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pPr/>
      <w:r>
        <w:rPr>
          <w:b/>
        </w:rPr>
        <w:t>POSSIBLE 2020:</w:t>
      </w:r>
      <w:r>
        <w:t xml:space="preserve"> People in transitions: Energy citizenship, prosumerism and social movements in Europe — https://doi.org/10.1016/j.erss.2020.101718</w:t>
      </w:r>
    </w:p>
    <w:p>
      <w:pPr/>
      <w:r>
        <w:rPr>
          <w:b/>
        </w:rPr>
        <w:t>Shared claim-specific concepts:</w:t>
      </w:r>
      <w:r>
        <w:t xml:space="preserve"> environmental, initiatives; EU scope visible. This is a provisional connection, not an outcome finding.</w:t>
      </w:r>
    </w:p>
    <w:p>
      <w:pPr>
        <w:pStyle w:val="SourceNote"/>
      </w:pPr>
      <w:r>
        <w:rPr>
          <w:b/>
        </w:rPr>
        <w:t>Available abstract (not full text):</w:t>
      </w:r>
      <w:r>
        <w:t xml:space="preserve">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pPr>
        <w:pStyle w:val="Heading2"/>
      </w:pPr>
      <w:r>
        <w:t>721.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2024:</w:t>
      </w:r>
      <w:r>
        <w:t xml:space="preserve"> EU Energy Securitisation: Ukraine's Place in the European Energy System — https://doi.org/10.53317/2786-4774-2024-1-8</w:t>
      </w:r>
    </w:p>
    <w:p>
      <w:pPr/>
      <w:r>
        <w:rPr>
          <w:b/>
        </w:rPr>
        <w:t>Shared claim-specific concepts:</w:t>
      </w:r>
      <w:r>
        <w:t xml:space="preserve"> energy, system, increased; EU scope visible. This is a provisional connection, not an outcome finding.</w:t>
      </w:r>
    </w:p>
    <w:p>
      <w:pPr>
        <w:pStyle w:val="SourceNote"/>
      </w:pPr>
      <w:r>
        <w:rPr>
          <w:b/>
        </w:rPr>
        <w:t>Available abstract (not full text):</w:t>
      </w:r>
      <w:r>
        <w:t xml:space="preserve"> This article focuses on the investigation of the European Union's securitisation policy in the energy sector, in particular, the provision of energy carriers to the Union, which was developed in response to Russia's energy wars of 2006–2007 and 2008–2009 against Ukraine and indirectly against the European Union. The theory of securitisation, formulated by S. Ozkan, B. Buzan and other researchers, focuses not so much on eliminating the consequences of crises as on creating a system of securitisation for the relevant industries with increased stress resistance, diversification of economic and technological ties with partners and strengthening the social orientation of their functioning. The algorithmization of this policy and the changes that led to the institutional response to Russian aggression in the energy sector are investigated. The research is based on the approach of sociological (neo)institutionalism, which allows explaining political processes in terms of not only economic benefits, but also their importance for the development of other spheres of public life and international cooperation. This approach is based on the notion that, first, the institutional environment in which a particular institution operates provides it with the necessary resources, as well as legitimates and regulates its activities. As a result, sociological institutionalism emphasises the role of </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focus, energy;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Energy Systems — https://doi.org/10.1017/9781009157926.008</w:t>
      </w:r>
    </w:p>
    <w:p>
      <w:pPr/>
      <w:r>
        <w:rPr>
          <w:b/>
        </w:rPr>
        <w:t>Shared claim-specific concepts:</w:t>
      </w:r>
      <w:r>
        <w:t xml:space="preserve"> energy, system, without, total, increased; EU scope not established. This is a provisional connection, not an outcome finding.</w:t>
      </w:r>
    </w:p>
    <w:p>
      <w:pPr>
        <w:pStyle w:val="SourceNote"/>
      </w:pPr>
      <w:r>
        <w:rPr>
          <w:b/>
        </w:rPr>
        <w:t>Available abstract (not full text):</w:t>
      </w:r>
      <w:r>
        <w:t xml:space="preserve"> Warming cannot be limited to well below 2°C without rapid and deep reductions in energy system carbon dioxide (CO 2 ) and greenhouse gas (GHG) emissions.In scenarios limiting warming to 1.5°C (&gt;50%) with no or limited overshoot (2°C (&gt;67%) with action starting in 2020), net energy system CO 2 emissions (interquartile range) fall by 87-97% (60-79%) in 2050.In 2030, in scenarios limiting warming to 1.5°C (&gt;50%) with no or limited overshoot, net CO 2 and GHG emissions fall by 35-51% and 38-52% respectively.In scenarios limiting warming to 1.5°C (&gt;50%) with no or limited overshoot (2°C (&gt;67%)), net electricity sector CO 2 emissions reach zero globally between 2045 and 2055 (2050 and 2080).(high confidence) {6.7} Limiting warming to well below 2°C will require substantial energy system changes over the next 30 years.This includes reduced fossil fuel consumption, increased production from low-and zero-carbon energy sources, and increased use of electricity and alternative energy carriers.Coal consumption without carbon capture and storage (CCS) falls by 67-82% (interquartile range) in 2030 in scenarios limiting warming to 1.5°C (&gt;50%) with no or limited overshoot.Oil and gas consumption fall more slowly.Low-carbon sources produce 93-97% of global electricity by 2050 in scenarios that limit warming to 2°C (&gt;67%) with action starting in 2020.In scenarios limiting warming to 1.5°C (&gt;50%</w:t>
      </w:r>
    </w:p>
    <w:p>
      <w:pPr/>
      <w:r>
        <w:rPr>
          <w:b/>
        </w:rPr>
        <w:t>POSSIBLE 2022:</w:t>
      </w:r>
      <w:r>
        <w:t xml:space="preserve"> Investigation of European modular façade system utilizing renewable energy — https://doi.org/10.1093/ijlct/ctab101</w:t>
      </w:r>
    </w:p>
    <w:p>
      <w:pPr/>
      <w:r>
        <w:rPr>
          <w:b/>
        </w:rPr>
        <w:t>Shared claim-specific concepts:</w:t>
      </w:r>
      <w:r>
        <w:t xml:space="preserve"> energy, system, without; EU scope visible. This is a provisional connection, not an outcome finding.</w:t>
      </w:r>
    </w:p>
    <w:p>
      <w:pPr>
        <w:pStyle w:val="SourceNote"/>
      </w:pPr>
      <w:r>
        <w:rPr>
          <w:b/>
        </w:rPr>
        <w:t>Available abstract (not full text):</w:t>
      </w:r>
      <w:r>
        <w:t xml:space="preserve"> Abstract The purpose of this investigation is to summarize modular façade construction using renewable energy features in different aspects. Researches done so far primarily focusing on building envelop have shown various constructions of building enclosure without energy usage. This paper mainly focuses on modular façade renovation system programmes of European Horizon 2020 [34] and IEA ECBCS Annex 50 Prefabricated Systems for Low Energy Renovation of Residential Buildings in terms of construction, material, installation and thermal performance. Four aspects of construction, material, installation and thermal performance are adopted to evaluate these practices. Related website, paper and report from European commission constitute the database providing for review. Final results illustrate that all modular façade systems mentioned above could be classified into three layers: interior; module and exterior layer, taking charge of disparate functions. Both insulation and energy usage achieve the innovative envelop constructions manufacture. Integrating the renewable energy resources utilization technique into insulated building façade system is the core of this innovative projects achievement.</w:t>
      </w:r>
    </w:p>
    <w:p>
      <w:pPr/>
      <w:r>
        <w:rPr>
          <w:b/>
        </w:rPr>
        <w:t>POSSIBLE 2021:</w:t>
      </w:r>
      <w:r>
        <w:t xml:space="preserve"> Incorporating uncertainties towards a sustainable European energy system: A stochastic approach for decarbonization paths focusing on the transport sector — https://doi.org/10.1016/j.esr.2021.100707</w:t>
      </w:r>
    </w:p>
    <w:p>
      <w:pPr/>
      <w:r>
        <w:rPr>
          <w:b/>
        </w:rPr>
        <w:t>Shared claim-specific concepts:</w:t>
      </w:r>
      <w:r>
        <w:t xml:space="preserve"> energy, system, co2, reduction, period; EU scope visible. This is a provisional connection, not an outcome finding.</w:t>
      </w:r>
    </w:p>
    <w:p>
      <w:pPr>
        <w:pStyle w:val="SourceNote"/>
      </w:pPr>
      <w:r>
        <w:rPr>
          <w:b/>
        </w:rPr>
        <w:t>Available abstract (not full text):</w:t>
      </w:r>
      <w:r>
        <w:t xml:space="preserve"> According to the Paris Agreement, the European energy system transition is essential to achieve GHG emission reduction targets set by the EU and limit the growth of global temperatures. Investigating the role of emerging mitigation technologies and their uncertainties together with the different GHG reduction targets is crucial to realize this transition. This study analyzes the uncertainties of electric vehicles' learning paths and biomass availability for biofuels, considering policy uncertainties. Since these technologies are considered possible alternatives to conventional fuels to reduce CO2 emissions in transport, it is critical to understand their future role and the possible impact of their uncertainties during the European energy system design in case of different climate ambitions. Stochastic modeling is applied to analyze associated uncertainties as an additional approach to a traditional sensitivity analysis. Our results show that decarbonization of car transport is prioritized, and electric cars appear as no-regret options in the sector's design during the energy transition. Therefore, early deployments of EVs are essential to hedge the given uncertainties independent of the hedging period's length. Longer resolution time reduces the deployment of electric vehicles in the recourse strategies compared to having a shorter one due to a delay in the cost reductions. Th</w:t>
      </w:r>
    </w:p>
    <w:p>
      <w:pPr/>
      <w:r>
        <w:rPr>
          <w:b/>
        </w:rPr>
        <w:t>POSSIBLE 2021:</w:t>
      </w:r>
      <w:r>
        <w:t xml:space="preserve"> Thinking, doing, organising: Prefiguring just and sustainable energy systems via collective prosumer ecosystems in Europe — https://doi.org/10.1016/j.erss.2021.102425</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article positions collective renewable energy prosumerism as a social movement that engages in energy system transformation. Collective renewable energy prosumer initiatives engage in ‘prefigurative’ work through their discursive framings (ways of thinking), their activities (ways of doing) and their understanding and enactment of social relations (ways of organising). The core of this article is a comparative analysis of the prefigurative work of 13 collective prosumers from 7 European countries (Belgium, Croatia, Germany, Italy, Netherlands, Portugal, United Kingdom). The article discusses their contributions to energy system transformation, including renewable energy production, different mechanisms for involving citizens, local value creation, and the degree of desired and actual collaboration and networking within broader prosumer ecosystems. We then discuss these contributions against societal discourses and expectations towards prosumerism, such as energy democracy, energy justice, and environmental sustainability and decarbonisation. This reveals three tensions: 1) a focus on decarbonisation but not on broader environmental problems, 2) the involvement of certain people and not of others, and 3) the building of prosumer eco-systems while ignoring incumbency. Future research avenues are formulated to conclude the article.</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system, cumulative;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2021:</w:t>
      </w:r>
      <w:r>
        <w:t xml:space="preserve"> Actuating the European Energy System Transition: Indicators for Translating Energy Systems Modelling Results into Policy-Making — https://doi.org/10.3389/fenrg.2021.677208</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In this paper, we define indicators, with a focus on the electricity sector, that translate the results of energy systems modelling to quantitative entities that can facilitate assessments of the transitions required to meet stringent climate targets. Such indicators, which are often overlooked in model scenario presentations, can be applied to make the modelling results more accessible and are useful for managing the transition on the policy level, as well as for internal evaluations of modelling results. We propose a set of 13 indicators related to: 1) the resource and material usages in modelled energy system designs; 2) the rates of transition from current to future energy systems; and 3) the energy security in energy system modelling results. To illustrate its value, the proposed set of indicators is applied to energy system scenarios derived from an electricity system investment model for Northern Europe. We show that the proposed indicators are useful for facilitating discussions, raising new questions, and relating the modelling results to Sustainable Development Goals and thus facilitate better policy processes. The indicators presented here should not be seen as a complete set, but rather as examples. Therefore, this paper represents a starting point and a call to other modellers to expand and refine the list of indicators.</w:t>
      </w:r>
    </w:p>
    <w:p>
      <w:pPr/>
      <w:r>
        <w:rPr>
          <w:b/>
        </w:rPr>
        <w:t>POSSIBLE 2020:</w:t>
      </w:r>
      <w:r>
        <w:t xml:space="preserve"> Utility scale energy storage systems: possible business cases in Europe, with focus on Germany and Italy — https://openalex.org/W3151406791</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Energy transition &amp; storage: overview and analysis. The electric power system. The role of storage in VRE integration. The European power sector. Renevable outlook in the EU. Research questions and methodology. Financial drivers of ESSs. Project financing for VRE and ESSs. Construction of a financial model of ESS–comparative analysis. First business case–Germany. Second business case–Italy.</w:t>
      </w:r>
    </w:p>
    <w:p>
      <w:pPr/>
      <w:r>
        <w:rPr>
          <w:b/>
        </w:rPr>
        <w:t>POSSIBLE 2020:</w:t>
      </w:r>
      <w:r>
        <w:t xml:space="preserve"> Europeanization of the Swiss Energy System — https://openalex.org/W3016255705</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Switzerland and the EU have been negotiating an electricity agreement since 2007. Irrespective of the outcome of these negotiations, whose success is also dependent on other factors, European energy policy will influence the framework conditions and players in Switzerland’s energy policy. The effects of a «Europeanization» of Swiss energy policy are the primary interest of this book. It focuses on the influence of current and future EU policies on the (regulatory) framework and policy instruments in Switzerland, including the effects on public and private actors active in the Swiss energy sector. It will also present the consequences of the possible integration of Swiss energy policy into the complex European multi-level governance system, taking into account two scenarios: the «direct Europeanization» in case of the conclusion of a bilateral electricity agreement between Switzerland and the EU as well as the possible «indirect Europeanization» in the sense of autonomous adjustments to European policies.</w:t>
      </w:r>
    </w:p>
    <w:p>
      <w:pPr/>
      <w:r>
        <w:rPr>
          <w:b/>
        </w:rPr>
        <w:t>POSSIBLE 2020:</w:t>
      </w:r>
      <w:r>
        <w:t xml:space="preserve"> Early decarbonisation of the European energy system pays off — https://doi.org/10.1038/s41467-020-20015-4</w:t>
      </w:r>
    </w:p>
    <w:p>
      <w:pPr/>
      <w:r>
        <w:rPr>
          <w:b/>
        </w:rPr>
        <w:t>Shared claim-specific concepts:</w:t>
      </w:r>
      <w:r>
        <w:t xml:space="preserve"> energy, system, reduction, cumulative; EU scope visible. This is a provisional connection, not an outcome finding.</w:t>
      </w:r>
    </w:p>
    <w:p>
      <w:pPr>
        <w:pStyle w:val="SourceNote"/>
      </w:pPr>
      <w:r>
        <w:rPr>
          <w:b/>
        </w:rPr>
        <w:t>Available abstract (not full text):</w:t>
      </w:r>
      <w:r>
        <w:t xml:space="preserve"> Abstract For a given carbon budget over several decades, different transformation rates for the energy system yield starkly different results. Here we consider a budget of 33 GtCO2 for the cumulative carbon dioxide emissions from the European electricity, heating, and transport sectors between 2020 and 2050, which represents Europe’s contribution to the Paris Agreement. We have found that following an early and steady path in which emissions are strongly reduced in the first decade is more cost-effective than following a late and rapid path in which low initial reduction targets quickly deplete the carbon budget and require a sharp reduction later. We show that solar photovoltaic, onshore and offshore wind can become the cornerstone of a fully decarbonised energy system and that installation rates similar to historical maxima are required to achieve timely decarbonisation. Key to those results is a proper representation of existing balancing strategies through an open, hourly-resolved, networked model of the sector-coupled European energy system.</w:t>
      </w:r>
    </w:p>
    <w:p>
      <w:pPr>
        <w:pStyle w:val="Heading2"/>
      </w:pPr>
      <w:r>
        <w:t>722.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2023:</w:t>
      </w:r>
      <w:r>
        <w:t xml:space="preserve"> UKRAINE IN THE INTERNATIONAL ENERGY COORDINATE SYSTEM — https://doi.org/10.20998/2313-8890.2023.01.04</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conditions of operation of the electric power system of Ukraine are analyzed. According to the results of the analysis, it was found that the presence of electric power equipment, which has already served the period of operation established by the standards, and Russian aggression on the territory of Ukraine led to force majeure situations in the state's electric power sector. It is shown that the existing realities provoke a critical situation both in the electric power system of Ukraine and in its interaction with the united power system of continental Europe ENTSO-E. It is substantiated that even in the event of extraordinary circumstances or force majeure situations, the electricity system of Ukraine ensures balance stability, which meets European requirements for ensuring the efficient operation of Ukrainian electricity networks as part of the unified energy system of continental Europe ENTSO-E. The expediency of intensifying cooperation with the international community through Ukraine's participation in international programs and projects to implement issues of energy security, energy saving and energy efficiency under the conditions of integration of the Ukrainian economy into the world economy on an equal and mutually beneficial basis is proposed.</w:t>
      </w:r>
    </w:p>
    <w:p>
      <w:pPr/>
      <w:r>
        <w:rPr>
          <w:b/>
        </w:rPr>
        <w:t>POSSIBLE 2023:</w:t>
      </w:r>
      <w:r>
        <w:t xml:space="preserve"> Energy Economic Development in Europe — https://doi.org/10.3390/books978-3-0365-7112-6</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Empowering whose future? A European policy analysis of children in energy poverty — https://doi.org/10.1016/j.erss.2023.103328</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Children experience distinct impacts on their mental and physical health as well as their educational attainment as a result of living in energy poverty, according to multiple sources. International guidelines, such as the UN Convention on the Rights of the Child, underline the right of every child to an adequate standard of living and the need for all policies to consider the specific needs of children. This paper aims to understand the extent to which energy policies take explicit account of children in energy poverty and endeavour to address their distinct needs and the impacts they experience. The investigation is based on an analysis of EU-SILC data and policy documents across the 28 countries that (at the end of 2019) formed the European Union. The analysis reveals that children are mostly only considered within the wider family context, with larger families tending to receive greater support, despite evidence that single-parent families are at higher risk of energy poverty. Children are characterised as passive subjects in energy policy; their perspectives and needs are not considered in policy development.</w:t>
      </w:r>
    </w:p>
    <w:p>
      <w:pPr/>
      <w:r>
        <w:rPr>
          <w:b/>
        </w:rPr>
        <w:t>POSSIBLE 2022:</w:t>
      </w:r>
      <w:r>
        <w:t xml:space="preserve"> Does the transition to renewable energy increase inflation in European countries? — https://doi.org/10.21203/rs.3.rs-1408222/v1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Review of PV Solar Energy Development 2011–2021 in Central European Countries — https://doi.org/10.3390/en15218307</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data collected in 2022 during 5th International Off-Grid Renewable Energy Conference organized in Abu Dhabi by the International Renewable Energy Agency, the global energy requirements show a negative impact on approximately 785 million people facing energy poverty. The long-term energy sustainability solutions should consider off-grid solutions in the planning of an energy mix and be considered as interim both in remote and already urbanized areas. These measures require integrated planning and partnering with local distribution networks. The review presents the development of photovoltaic installations in Central European countries. For more than 40 years, this area belonged to different regimes and joined the European Union at various dates. Hence, the development of energy policies and cultural and social expectations differ even when based on the Green Deal presented by the European Union in 2020. The outcomes prove that even with a variety of policy measures, the strongest boost can be given only by a set of national rules and financial incentives supporting the stakeholders. It should be noted that the advancement of PV often does not rely on climatic conditions, but more on the level of incentives undertaken by each country, as well as the general policy measures undertaken on the EU level.</w:t>
      </w:r>
    </w:p>
    <w:p>
      <w:pPr/>
      <w:r>
        <w:rPr>
          <w:b/>
        </w:rPr>
        <w:t>POSSIBLE 2022:</w:t>
      </w:r>
      <w:r>
        <w:t xml:space="preserve"> CAN GREECE STRENGTHEN EUROPEAN ENERGY SECURITY? — https://openalex.org/W7112735520</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Union’s energy security is at risk mainly due to its high dependence on Russian energy resources. Although some scholars have argued that the Kremlin would not weaponize its natural resources, the Russian invasion of Ukraine in 2022 has made them reconsider. This thesis seeks to answer whether Greece can strengthen the energy security of the European Union through two energy projects: the EastMed pipeline and the electrical interconnectors. These two case studies analyzed the potential barriers that emerged from the literature review of respective energy projects. The research shows that the economic factor does not seem to be an obstacle to implementing EastMed and electricity interconnection projects. Moreover, this thesis points out that both energy projects at the domestic political level find a fertile environment for their construction. On the other hand, the thesis indicates that the geopolitical factor, specifically Turkey’s role, is the main inhibiting factor that endangers the implementation of energy projects. However, according to the research findings, Turkey’s positions do not find international acceptance, its actions are condemned, and the investors of the energy projects do not seem to be affected. Thus, the implementation of EastMed and electrical interconnections does not seem to be affected, and Greece can, through them, strengthen the energy se</w:t>
      </w:r>
    </w:p>
    <w:p>
      <w:pPr/>
      <w:r>
        <w:rPr>
          <w:b/>
        </w:rPr>
        <w:t>POSSIBLE 2022:</w:t>
      </w:r>
      <w:r>
        <w:t xml:space="preserve"> Assessment of the Economic Efficiency of Energy Development in the Industrial Sector of the European Union Area Countries — https://doi.org/10.3390/en15093322</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Union’s Green Deal emphasises the importance of improving the efficiency of the energy sector in its countries, which is why the issues involved are relevant in both scientific and practical terms. The article sets out the hypothesis that conveying the state of the economic efficiency of energy development by grades does not reflect the real situation. Instead of ranks, it is proposed to form homogeneous groups of some countries based on non-linear data normalisation instead of today’s universally used linearisation. Grouping the euro area countries in the European Union on the basis of the value of the cost-effectiveness indicator for the energy development of their industrial sector confirmed the appropriateness of the proposed method-ology. In this way, three groups of countries were formed according to the level of cost-effectiveness achieved. The proposed methodology for grouping countries is universal and can be used for international comparisons of any kind.</w:t>
      </w:r>
    </w:p>
    <w:p>
      <w:pPr/>
      <w:r>
        <w:rPr>
          <w:b/>
        </w:rPr>
        <w:t>POSSIBLE 2021:</w:t>
      </w:r>
      <w:r>
        <w:t xml:space="preserve"> Review of methods for the combined assessment of seismic resilience and energy efficiency towards sustainable retrofitting of existing European buildings — https://doi.org/10.1016/j.scs.2021.103556</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Sustainable retrofitting of existing buildings is a prerequisite for achieving climatic and energy objectives in the EU. Thus, practical tools supporting the evaluation and decision-making process when planning retrofit interventions are required. In specific areas, in addition to energy efficiency, the improvement in building resilience to natural hazards is requested; in several European regions, seismicity poses a significant hazard. This study aims to analyse the state-of-the-art of the integrated methods for the implementation of structural and energy retrofitting. The work consists of reviewing available tools, international sustainability protocols, and methods specifically developed for combined energy and seismic assessment. In the first group of methods, assessment is independently referred to specific criteria for energy performance and seismic safety, quantified according to available codes. Besides, in a second group, integrated evaluation is achieved considering ‘equivalent’ initial or life-cycle costs associated with energy consumption and seismic vulnerability. The collected methods were evaluated for qualitative requirements for optimal integration, such as multidisciplinary, life-cycle approaches, and other indicators. Finally, a critical evaluation is provided, highlighting what can be used for future developments toward a sustainable and resilient retrofitti</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2021:</w:t>
      </w:r>
      <w:r>
        <w:t xml:space="preserve"> Positioning Positive Energy Districts in European Cities — https://doi.org/10.3390/buildings11010019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There are many concepts for buildings with integrated renewable energy systems that have received increased attention during the last few years. However, these concepts only strive to streamline building-level renewable energy solutions. In order to improve the flexibility of decentralized energy generation, individual buildings and energy systems should be able to interact with each other. The positive energy district (PED) concept highlights the importance of active interaction between energy generation systems, energy consumers and energy storage within a district. This paper strives to inform the public, decision makers and fellow researchers about the aspects that should be accounted for when planning and implementing different types of PEDs in different regions throughout the European Union. The renewable energy environment varies between different EU regions, in terms of the available renewable energy sources, energy storage potential, population, energy consumption behaviour, costs and regulations, which affect the design and operation of PEDs, and hence, no PED is like the other. This paper provides clear definitions for different types of PEDs, a survey of the renewable energy market circumstances in the EU and a detailed analysis of factors that play an essential role in the PED planning process.</w:t>
      </w:r>
    </w:p>
    <w:p>
      <w:pPr/>
      <w:r>
        <w:rPr>
          <w:b/>
        </w:rPr>
        <w:t>POSSIBLE 2020:</w:t>
      </w:r>
      <w:r>
        <w:t xml:space="preserve"> People in transitions: Energy citizenship, prosumerism and social movements in Europe — https://doi.org/10.1016/j.erss.2020.101718</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pPr/>
      <w:r>
        <w:rPr>
          <w:b/>
        </w:rPr>
        <w:t>POSSIBLE 2020:</w:t>
      </w:r>
      <w:r>
        <w:t xml:space="preserve"> Trends in Social Acceptance of Renewable Energy Across Europe—A Literature Review — https://doi.org/10.3390/ijerph17249161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Social acceptance has proven to be a significant barrier in the implementation of renewable energy systems (hereinafter "RES"). While a general acceptance of RES is high, low local acceptance has hindered the development of renewable energy projects (hereinafter "REP"). This study assesses the determinants of local and general social acceptance of REP across Europe through a qualitative analysis from 25 case studies of the most significant social drivers and barriers that include all European countries. These case studies contain qualitative and quantitative analyses of the main factors for social acceptance of many representative groups including residents, stakeholders, and experts. Understanding the influences of social acceptance enables us to create strategies that will promote the development of REP by mitigating any public opposition.</w:t>
      </w:r>
    </w:p>
    <w:p>
      <w:pPr>
        <w:pStyle w:val="Heading2"/>
      </w:pPr>
      <w:r>
        <w:t>723.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2024:</w:t>
      </w:r>
      <w:r>
        <w:t xml:space="preserve"> Is Long-Term Thinking a Trap? — https://doi.org/10.1215/22011919-11150043</w:t>
      </w:r>
    </w:p>
    <w:p>
      <w:pPr/>
      <w:r>
        <w:rPr>
          <w:b/>
        </w:rPr>
        <w:t>Shared claim-specific concepts:</w:t>
      </w:r>
      <w:r>
        <w:t xml:space="preserve"> long-term, thinking, stronger; EU scope not established. This is a provisional connection, not an outcome finding.</w:t>
      </w:r>
    </w:p>
    <w:p>
      <w:pPr>
        <w:pStyle w:val="SourceNote"/>
      </w:pPr>
      <w:r>
        <w:rPr>
          <w:b/>
        </w:rPr>
        <w:t>Available abstract (not full text):</w:t>
      </w:r>
      <w:r>
        <w:t xml:space="preserve"> Abstract This provocation critiques the notion of long-term thinking and the claims of its proponents that it will help address failures in dominant conceptions of time, particularly in regard to environmental crises. Drawing on analyses of the Clock of the Long Now and Kim Stanley Robinson’s The Ministry for the Future, the article suggests that we be more wary of the concept’s use in what we might call chronowashing. Like the more familiar greenwashing, where environmental issues are hidden by claims to be addressing the problem, the article explores how these examples of long-term thinking distract from extractivism, racism, and environmental injustice, making it harder to address the complexities involved. In particular, the article discusses examples where long-term thinking provides a veneer of environmental concern that actually disconnects from the work of building more equitable forms of relation. As a contrast, the article’s author asks: What is lost when we diagnose a problem as arising due to short-term thinking and propose long-term thinking as the solution? Against chronowashed environmental time, the author argues for more complex approaches that explicitly take into account the temporalities of inequality, political organization, ethical responsibilities and much else. The article engages with approaches to time that foreground the work needed to create time and</w:t>
      </w:r>
    </w:p>
    <w:p>
      <w:pPr/>
      <w:r>
        <w:rPr>
          <w:b/>
        </w:rPr>
        <w:t>POSSIBLE 2024:</w:t>
      </w:r>
      <w:r>
        <w:t xml:space="preserve"> Retrieval method as a learning intervention for long term retention and creative thinking skills — https://doi.org/10.16920/jeet/2024/v37is2/24102</w:t>
      </w:r>
    </w:p>
    <w:p>
      <w:pPr/>
      <w:r>
        <w:rPr>
          <w:b/>
        </w:rPr>
        <w:t>Shared claim-specific concepts:</w:t>
      </w:r>
      <w:r>
        <w:t xml:space="preserve"> thinking, techniques, level, applied; EU scope not established. This is a provisional connection, not an outcome finding.</w:t>
      </w:r>
    </w:p>
    <w:p>
      <w:pPr>
        <w:pStyle w:val="SourceNote"/>
      </w:pPr>
      <w:r>
        <w:rPr>
          <w:b/>
        </w:rPr>
        <w:t>Available abstract (not full text):</w:t>
      </w:r>
      <w:r>
        <w:t xml:space="preserve"> Abstract— Few key skills among many that are needed in the 21st century are critical thinking, creativity, collaboration, meta cognitive skills, technology literacy and decision making under uncertainty. With the emergence of ChatGPT and other Generative AI tools, there is a dire need for a distinctive way of learning and application of learning to ensure learning effectiveness. Mere content is no longer the most important factor to learn these skills but. what is needed is the ability to retrieve material learnt, in the context of application. For the learner to be able to apply the critical thinking levels and higher learning levels of Blooms taxonomy, the basic first level of remembering forms the basic foundation, particularly when the students are from first generation educated families or with disadvantaged socioeconomic backgrounds. However, when students cram for the exams, they generally get an ‘illusion of learning’, where they think they know, but in reality often they may not be able to recall what they crammed when they need it later. This is a case of inefficient investment of time and effort in learning for the student. For the teacher, it slows down the teaching process and opportunity to engage in higher order thinking level applications. Addressing the frustrations of both teacher and students, the authors applied the concept of Retrieval method for MBA I year</w:t>
      </w:r>
    </w:p>
    <w:p>
      <w:pPr/>
      <w:r>
        <w:rPr>
          <w:b/>
        </w:rPr>
        <w:t>POSSIBLE 2023:</w:t>
      </w:r>
      <w:r>
        <w:t xml:space="preserve"> Pillars of long-term antiretroviral therapy success — https://doi.org/10.1016/j.phrs.2023.106898</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BACKGROUND: Meeting the challenge of antiretroviral therapy (ART) whose efficacy can last a lifetime requires continuous updating of the virological, pharmacological, and quality of life outcomes to be pursued and a continuous review of literature data on the efficacy and tolerability of new drugs and therapeutic strategies. METHODS: With the aim of identifying open questions and answers about the current controversies in modern ART, we adapted the Design Thinking methodology to the needs of the design phase of a scientific article, involving a team of experts in HIV care. RESULTS: Five main pillars of treatment success were discussed: sustained virologic suppression over time; immunological recovery; pharmacological attributes; long-term tolerability and safety of ART; and people's satisfaction and quality of life. The definition of the outcomes to be achieved in each thematic area and the tools to achieve them were reviewed and discussed. CONCLUSIONS: Long-term treatment success should be intended as a combination of HIV-RNA suppression, immune recovery, and high quality of life. To achieve this, the regimen should be well-tolerated, with high potency, genetic barrier, and forgiveness, and should be tailored by a person-centered perspective, based on individual needs, preferences, and therapeutic history.</w:t>
      </w:r>
    </w:p>
    <w:p>
      <w:pPr/>
      <w:r>
        <w:rPr>
          <w:b/>
        </w:rPr>
        <w:t>POSSIBLE 2022:</w:t>
      </w:r>
      <w:r>
        <w:t xml:space="preserve"> Decarbonizing Prudence: How Realigning Present Pleasure and Long-Term Thinking is Climate Action — https://doi.org/10.21428/dd52e8dc.baa71636</w:t>
      </w:r>
    </w:p>
    <w:p>
      <w:pPr/>
      <w:r>
        <w:rPr>
          <w:b/>
        </w:rPr>
        <w:t>Shared claim-specific concepts:</w:t>
      </w:r>
      <w:r>
        <w:t xml:space="preserve"> long-term, thinking, action; EU scope not established. This is a provisional connection, not an outcome finding.</w:t>
      </w:r>
    </w:p>
    <w:p>
      <w:pPr>
        <w:pStyle w:val="SourceNote"/>
      </w:pPr>
      <w:r>
        <w:rPr>
          <w:b/>
        </w:rPr>
        <w:t>Available abstract (not full text):</w:t>
      </w:r>
      <w:r>
        <w:t xml:space="preserve"> Present Pleasure and Long-Term Thinking is Climate Action 2 "The people I love the best jump into work head first without dallying in the shallows and swim off with sure strikes almost out of sight.They seem to become the natives of that element, the black sleek heads of seals bouncing like half-submerged balls.I love people who harness themselves, an ox to a heavy cart, who pull like water buffalo, with massive patience, who strain in the mud and the muck to move things forward who do what has to be done, again and again."-To Be of Use by Marge Pierce</w:t>
      </w:r>
    </w:p>
    <w:p>
      <w:pPr/>
      <w:r>
        <w:rPr>
          <w:b/>
        </w:rPr>
        <w:t>POSSIBLE 2022:</w:t>
      </w:r>
      <w:r>
        <w:t xml:space="preserve"> Wishful thinking? Addressing the long-term implications of COVID-19 for transport in Nigeria — https://doi.org/10.1016/j.trd.2022.103206</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With their inherent economic and infrastructure challenges, developing countries must assess commuters' travel behaviour and establish whether consumers' desire for sustainable transportation is feasible or merely wishful thinking. Using a qualitative research design, these issues were explored based on semi-structured interviews conducted with 72 participants across the six geopolitical zones of Nigeria. Findings suggest that the desires and dreams of the commuters are great, and they want to reduce their journeys, work from home, and do online shopping. However, when they consider the inherent challenges, they can only hope for a better future. COVID-19 has impacted the ownership or use of motorised and non-motorised transport, but this is also influenced by affordability, convenience, and awareness. Likewise, there are long-term effects on home and work location choices, but this is further influenced by the large informal economy of the country, job accessibility and the infrastructural developments across the country.</w:t>
      </w:r>
    </w:p>
    <w:p>
      <w:pPr/>
      <w:r>
        <w:rPr>
          <w:b/>
        </w:rPr>
        <w:t>POSSIBLE 2022:</w:t>
      </w:r>
      <w:r>
        <w:t xml:space="preserve"> complexity and criticality of long-term collaborative processes — https://doi.org/10.22456/1982-8918.127557</w:t>
      </w:r>
    </w:p>
    <w:p>
      <w:pPr/>
      <w:r>
        <w:rPr>
          <w:b/>
        </w:rPr>
        <w:t>Shared claim-specific concepts:</w:t>
      </w:r>
      <w:r>
        <w:t xml:space="preserve"> long-term, thinking, action; EU scope not established. This is a provisional connection, not an outcome finding.</w:t>
      </w:r>
    </w:p>
    <w:p>
      <w:pPr>
        <w:pStyle w:val="SourceNote"/>
      </w:pPr>
      <w:r>
        <w:rPr>
          <w:b/>
        </w:rPr>
        <w:t>Available abstract (not full text):</w:t>
      </w:r>
      <w:r>
        <w:t xml:space="preserve"> There has been increasing recognition that social collectives, such as knowledge communities and professional learning networks, support teachers and enhance their practice. At the same time, there is little research on how such communities form, are sustained over time, create professional knowledge and practices, and transform the professional lives of their participants. We address these gaps in this paper by drawing on self-study methodology to structure a critical reflection of Luiz’s experiences of participating in an autonomous group of teacher-researchers that constituted their own knowledge community since 2005. Through critical friendship, a complexity thinking lens guided the shared reflection on Luiz’s experience in the knowledge community by considering the relational connections, affective forces, opportunities for action and agential capacities that are continually made and reconfigured within the collective nature of learning communities. In conclusion, we discuss both the facilitation and cultivation of long-term collaborative processes towards a complex, critical, and socially just perspective of PETE.</w:t>
      </w:r>
    </w:p>
    <w:p>
      <w:pPr/>
      <w:r>
        <w:rPr>
          <w:b/>
        </w:rPr>
        <w:t>POSSIBLE 2021:</w:t>
      </w:r>
      <w:r>
        <w:t xml:space="preserve"> Thinking Beyond the Pandemic: Monetary Policy Challenges in the Medium- to Long-Term — https://doi.org/10.2139/ssrn.3873976</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Thinking Beyond the Pandemic: Monetary Policy Challenges in the Medium- to Long-Term (preprint) — https://openalex.org/W3180662084</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The economic characteristics of the COVID-19 crisis differ from those of previous crises. It is a combination of demand- and supply-side constraints which led to the formation of a monetary overhang that will be unfrozen once the pandemic ends. Monetary policy must take this effect into consideration, along with other pro-inflationary factors, in the post-pandemic era. It must also think in advance about how to avoid a policy trap coming from fiscal dominance. This paper is organized as follows: Chapter 2 deals with the economic characteristics of the COVID-19 pandemic and its impact on the effectiveness of the monetary policy response measures undertaken. In Chapter 3, we analyse the monetary policy decisions of the ECB (and other major CBs for comparison) and their effectiveness in achieving the declared policy goals in the short term. Chapter 4 is devoted to an analysis of the policy challenges which may be faced by the ECB and other major CBs once the pandemic emergency comes to its end. Chapter 5 contains a summary and the conclusions of our analysis.</w:t>
      </w:r>
    </w:p>
    <w:p>
      <w:pPr/>
      <w:r>
        <w:rPr>
          <w:b/>
        </w:rPr>
        <w:t>POSSIBLE 2020:</w:t>
      </w:r>
      <w:r>
        <w:t xml:space="preserve"> Casting Long-Term and Regenerative Perspectives on Global Sustainability through Systems and Resilience Thinking — https://doi.org/10.3390/su12031230</w:t>
      </w:r>
    </w:p>
    <w:p>
      <w:pPr/>
      <w:r>
        <w:rPr>
          <w:b/>
        </w:rPr>
        <w:t>Shared claim-specific concepts:</w:t>
      </w:r>
      <w:r>
        <w:t xml:space="preserve"> long-term, thinking, casting, action, local; EU scope not established. This is a provisional connection, not an outcome finding.</w:t>
      </w:r>
    </w:p>
    <w:p>
      <w:pPr>
        <w:pStyle w:val="SourceNote"/>
      </w:pPr>
      <w:r>
        <w:rPr>
          <w:b/>
        </w:rPr>
        <w:t>Available abstract (not full text):</w:t>
      </w:r>
      <w:r>
        <w:t xml:space="preserve"> The main objective of this work is to foster long-term and regenerative perspectives on global sustainability. In pursuing this goal, this study encompasses a critical analysis and synthesis of insights from the fields of systems and resilience thinking, a conceptual framework for modeling and envisioning socio-ecological systems, and the proposition of the “flourishing within boundaries” archetype, which is conceived to provide meaningful insights regarding the essential conditions that would enable global society to flourish not just safely but also fairly. Through systems dynamics modeling, portrayed scenarios emphasize that the higher the regenerative societal change achieved, the greater the exponential behavior of the system’s speed towards promising socio-ecological outcomes. Especially for longer time horizons, the overall results reveal that the pace of the transitions associated with the societal action is inherently higher than those associated with the limiting social and ecological factors. Actions taken by individuals in the local realm and short-term time horizon may not only have immediate local effects but also a variety of innumerous ones that radiate out for years, decades, and even centuries to come. Finally, the pursuit of flourishing within boundaries relies on thinking rationally, globally, and above all, through a long-term and regenerative perspective.</w:t>
      </w:r>
    </w:p>
    <w:p>
      <w:pPr>
        <w:pStyle w:val="Heading2"/>
      </w:pPr>
      <w:r>
        <w:t>724.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r>
        <w:rPr>
          <w:b/>
        </w:rPr>
        <w:t>POSSIBLE 2021:</w:t>
      </w:r>
      <w:r>
        <w:t xml:space="preserve"> Summary of evidence and recommendations — https://doi.org/10.4324/9781003048558-14</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In this final chapter, we bring together recommendations from the experience and research of our expert authors. We have not tried to prioritise our list of key actions for developing countries to implement to enhance mathematical and statistical knowledge, skills and understanding for sustainable economic growth as there are so many variations between countries. What we can conclude though is that future generations of young people will need enhanced mathematical and statistical competency and transferable skills in an increasingly technological and competitive world and that significant investment in education is crucial for long-term economic growth and success.</w:t>
      </w:r>
    </w:p>
    <w:p>
      <w:pPr/>
      <w:r>
        <w:rPr>
          <w:b/>
        </w:rPr>
        <w:t>POSSIBLE 2020:</w:t>
      </w:r>
      <w:r>
        <w:t xml:space="preserve"> Summary, recommendations, and conclusions — https://doi.org/10.4324/9781351047289-6</w:t>
      </w:r>
    </w:p>
    <w:p>
      <w:pPr/>
      <w:r>
        <w:rPr>
          <w:b/>
        </w:rPr>
        <w:t>Shared claim-specific concepts:</w:t>
      </w:r>
      <w:r>
        <w:t xml:space="preserve"> summary, recommendations, develop; EU scope not established. This is a provisional connection, not an outcome finding.</w:t>
      </w:r>
    </w:p>
    <w:p>
      <w:pPr>
        <w:pStyle w:val="SourceNote"/>
      </w:pPr>
      <w:r>
        <w:rPr>
          <w:b/>
        </w:rPr>
        <w:t>Available abstract (not full text):</w:t>
      </w:r>
      <w:r>
        <w:t xml:space="preserve"> Chapter 6 summarizes the study and concludes that the choice of policies made the difference between where Malaysia and Ghana are today. In Ghana’s haste to develop, it misdirected resources; in its initial adoption of a socialist model of economic development, it disrupted the market based economic system which it had inherited from the British and set the economy back many years; in its frequent changes in government, it created an environment that was not conducive for business. Malaysia, by adopting a go-slow approach to development, did not disrupt the economic system it had inherited from the British, and also created an environment that was hospitable for the private sector; by creating institutions that mobilized local resources, it was able to increase growth and reduce poverty. More importantly, Malaysia, by embracing inclusive economic growth, kept the country stable, prevented civil strife, and thereby benefited from continuity in development plans.</w:t>
      </w:r>
    </w:p>
    <w:p>
      <w:pPr/>
      <w:r>
        <w:rPr>
          <w:b/>
        </w:rPr>
        <w:t>POSSIBLE 2020:</w:t>
      </w:r>
      <w:r>
        <w:t xml:space="preserve"> ESCAP practice guidance for autism: a summary of evidence-based recommendations for diagnosis and treatment — https://doi.org/10.1007/s00787-020-01587-4</w:t>
      </w:r>
    </w:p>
    <w:p>
      <w:pPr/>
      <w:r>
        <w:rPr>
          <w:b/>
        </w:rPr>
        <w:t>Shared claim-specific concepts:</w:t>
      </w:r>
      <w:r>
        <w:t xml:space="preserve"> summary, recommendations, information; EU scope visible. This is a provisional connection, not an outcome finding.</w:t>
      </w:r>
    </w:p>
    <w:p>
      <w:pPr>
        <w:pStyle w:val="SourceNote"/>
      </w:pPr>
      <w:r>
        <w:rPr>
          <w:b/>
        </w:rPr>
        <w:t>Available abstract (not full text):</w:t>
      </w:r>
      <w:r>
        <w:t xml:space="preserve"> Across Europe, there is increased awareness of the frequency and importance of autism spectrum disorder (ASD), which is now recognised not only as a childhood disorder but as a heterogeneous, neurodevelopmental condition that persists throughout life. Services for individuals with autism and their families vary widely, but in most European countries, provision is limited. In 2018, European Society of Child and Adolescent Psychiatry (ESCAP) identified the need for a Practice Guidance document that would help to improve knowledge and practice, especially for individuals in underserviced areas. The present document, prepared by the ASD Working Party and endorsed by the ESCAP Board on October 3, 2019, summarises current information on autism and focuses on ways of detecting, diagnosing, and treating this condition.</w:t>
      </w:r>
    </w:p>
    <w:p>
      <w:pPr>
        <w:pStyle w:val="Heading2"/>
      </w:pPr>
      <w:r>
        <w:t>725.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r>
        <w:rPr>
          <w:b/>
        </w:rPr>
        <w:t>POSSIBLE 2020:</w:t>
      </w:r>
      <w:r>
        <w:t xml:space="preserve"> The Cyprus Talks 2015–2017: Their Course, the Outcome, and Consequences for the European Union — https://doi.org/10.14746/rie.2020.14.9</w:t>
      </w:r>
    </w:p>
    <w:p>
      <w:pPr/>
      <w:r>
        <w:rPr>
          <w:b/>
        </w:rPr>
        <w:t>Shared claim-specific concepts:</w:t>
      </w:r>
      <w:r>
        <w:t xml:space="preserve"> outcome, article, there, union; EU scope visible. This is a provisional connection, not an outcome finding.</w:t>
      </w:r>
    </w:p>
    <w:p>
      <w:pPr>
        <w:pStyle w:val="SourceNote"/>
      </w:pPr>
      <w:r>
        <w:rPr>
          <w:b/>
        </w:rPr>
        <w:t>Available abstract (not full text):</w:t>
      </w:r>
      <w:r>
        <w:t xml:space="preserve"> The main aim of the article is to present political consequences of the failure of the Cyprus talks 2015–2017 for the European Union. Although its institutions and representatives were engaged in the negotiation process there, the issue seems to be more complex when it comes to defining what their role was. One can find the answer to such a question analysing the course and the final outcome of the negotiation process in Cyprus. The main research question are as follows: What was the course of bicommunal negotiations? What brought the negotiations to a halt in 2017? How did the European Union engage in the process? What are political consequences of the talks failure for the European Union? The selected method is sources analysis and the technique is qualitative content analysis. On this basis one can study, for example, selected speeches, declarations as well as official documents. As regards the main sources, these are selected EU and UN documents, monographs, and academic articles.</w:t>
      </w:r>
    </w:p>
    <w:p>
      <w:pPr/>
      <w:r>
        <w:rPr>
          <w:b/>
        </w:rPr>
        <w:t>POSSIBLE 2020:</w:t>
      </w:r>
      <w:r>
        <w:t xml:space="preserve"> Incidence and outcome of atrial fibrillation: diversity throughout Europe — https://doi.org/10.1093/eurheartj/ehaa1078</w:t>
      </w:r>
    </w:p>
    <w:p>
      <w:pPr/>
      <w:r>
        <w:rPr>
          <w:b/>
        </w:rPr>
        <w:t>Shared claim-specific concepts:</w:t>
      </w:r>
      <w:r>
        <w:t xml:space="preserve"> outcome, presented, there; EU scope visible. This is a provisional connection, not an outcome finding.</w:t>
      </w:r>
    </w:p>
    <w:p>
      <w:pPr>
        <w:pStyle w:val="SourceNote"/>
      </w:pPr>
      <w:r>
        <w:rPr>
          <w:b/>
        </w:rPr>
        <w:t>Available abstract (not full text):</w:t>
      </w:r>
      <w:r>
        <w:t xml:space="preserve"> This editorial refers to ‘Paradoxical impact of socioeconomic factors on outcome of atrial fibrillation in Europe: trends in incidence and mortality from atrial fibrillation’†, by B.M. Al-Khayatt et al., on page 847. The incidence and prevalence of atrial fibrillation (AF) have been increasing over time and are expected to rise further due to extended life expectancy, accumulation of lifestyle-related risk factors such as obesity and diabetes mellitus, and a better survival after myocardial infarction and heart failure (HF). In addition, a better awareness of AF and improved and intensified technology for undiagnosed AF contribute to an increase in AF burden.1–3 In addition to the incidence and prevalence of AF, the AF-associated mortality rate is increasing.1,3 Mortality is the highest early after diagnosis of AF, being 5–6% in the first year after the initial presentation due to as yet undiagnosed underlying cardiovascular diseases and therefore far less well treated AF.4,5 Many associated conditions contribute to incident AF as well as to AF-related mortality including increasing age, hypertension, diabetes mellitus, HF, coronary artery disease, obesity, and chronic kidney disease.4 The incidence of AF is higher in men than in women.3 The moment of onset of AF as well as the associated comorbidities differ between men and women. Women are older, have a higher prevalence of h</w:t>
      </w:r>
    </w:p>
    <w:p>
      <w:pPr>
        <w:pStyle w:val="Heading2"/>
      </w:pPr>
      <w:r>
        <w:t>726.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r>
        <w:rPr>
          <w:b/>
        </w:rPr>
        <w:t>POSSIBLE 2024:</w:t>
      </w:r>
      <w:r>
        <w:t xml:space="preserve"> Climate change impacts on two European crop rotations via an ensemble of models — https://doi.org/10.1016/j.eja.2024.127456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Continuous long-term simulations of an ensemble of nine crop models covering the 1961–2080 period was employed to assess the expected impacts of climate change on the crop yield and water use for distinct crop rotations (CRs) in Europe. In this study, the likelihood of changes in two differently managed CRs (conventional and alternative) involving four important field crops (winter wheat, spring barley, silage maize, and winter oilseed rape) was assessed. The conventional agricultural practice (CR1) included only mineral fertilization with the removal of crop residues after harvest. The alternative agricultural practice (CR2) included cover crops and the application of mineral and organic fertilizers, with crop residues retained in the field. The simulations covered six sites in five European countries (Mühldorf and Müncheberg in Germany, Ukkel in Belgium, Ødum in Denmark, Milhostov in Slovakia and Lednice in Czechia) based on two distinct soil profiles (universal soil and site-specific soils). The universal soil was the same across all the sites, while the site-specific soils were typical of each region. Eight transient climate change scenarios (4 general circulation models (GCMs) under representative concentration pathways (RCPs) 2.6 and 8.5) were used to capture the possible evolution of future climatic conditions. Compared with those during the 1962–1990 period, the ensembl</w:t>
      </w:r>
    </w:p>
    <w:p>
      <w:pPr/>
      <w:r>
        <w:rPr>
          <w:b/>
        </w:rPr>
        <w:t>POSSIBLE 2022:</w:t>
      </w:r>
      <w:r>
        <w:t xml:space="preserve"> Trust in official statistics across Europe: Evidence from two waves of Eurobarometer using multilevel models — https://doi.org/10.3233/sji-220070</w:t>
      </w:r>
    </w:p>
    <w:p>
      <w:pPr/>
      <w:r>
        <w:rPr>
          <w:b/>
        </w:rPr>
        <w:t>Shared claim-specific concepts:</w:t>
      </w:r>
      <w:r>
        <w:t xml:space="preserve"> uses, two; EU scope visible. This is a provisional connection, not an outcome finding.</w:t>
      </w:r>
    </w:p>
    <w:p>
      <w:pPr>
        <w:pStyle w:val="SourceNote"/>
      </w:pPr>
      <w:r>
        <w:rPr>
          <w:b/>
        </w:rPr>
        <w:t>Available abstract (not full text):</w:t>
      </w:r>
      <w:r>
        <w:t xml:space="preserve"> This paper uses data from Eurobarometer for the years 2007 and 2015 to investigate the determinants of trust in official statistics across 28 countries and 2 regions in Europe. Our estimation follows a multilevel modelling approach, which allows us to distinguish within-country and between-country variation in individual trust in official statistics. Our estimation results show that the within-country variation is mainly explained by individual-level statistical literacy and education, as well as occupational status. With respect to the variation between countries, we show that neither the level of GPD nor the index of inequality are important in explaining cross-country variation. Instead, EU membership history, i.e. the ‘acquis communautaire’, is the main macro variable that explains the increase in trust for the official statistics across Europe.</w:t>
      </w:r>
    </w:p>
    <w:p>
      <w:pPr/>
      <w:r>
        <w:rPr>
          <w:b/>
        </w:rPr>
        <w:t>POSSIBLE 2022:</w:t>
      </w:r>
      <w:r>
        <w:t xml:space="preserve"> Evapotranspiration Retrieval Using S-SEBI Model with Landsat-8 Split-Window Land Surface Temperature Products over Two European Agricultural Crops — https://doi.org/10.3390/rs14112723</w:t>
      </w:r>
    </w:p>
    <w:p>
      <w:pPr/>
      <w:r>
        <w:rPr>
          <w:b/>
        </w:rPr>
        <w:t>Shared claim-specific concepts:</w:t>
      </w:r>
      <w:r>
        <w:t xml:space="preserve"> two, energy; EU scope visible. This is a provisional connection, not an outcome finding.</w:t>
      </w:r>
    </w:p>
    <w:p>
      <w:pPr>
        <w:pStyle w:val="SourceNote"/>
      </w:pPr>
      <w:r>
        <w:rPr>
          <w:b/>
        </w:rPr>
        <w:t>Available abstract (not full text):</w:t>
      </w:r>
      <w:r>
        <w:t xml:space="preserve"> Crop evapotranspiration (ET) is a key variable within the global hydrological cycle to account for the irrigation scheduling, water budgeting, and planning of the water resources associated with irrigation in croplands. Remote sensing techniques provide geophysical information at a large spatial scale and over a relatively long time series, and even make possible the retrieval of ET at high spatiotemporal resolutions. The present short study analyzed the daily ET maps generated with the S-SEBI model, adapted to Landsat-8 retrieved land surface temperatures and broadband albedos, at two different crop sites for two consecutive years (2017–2018). Maps of land surface temperatures were determined using Landsat-8 Collection 2 data, after applying the split-window (SW) algorithm proposed for the operational SW product, which will be implemented in the future Collection 3. Preliminary results showed a good agreement with ground reference data for the main surface energy balance fluxes Rn and LE, and for daily ET values, with RMSEs around 50 W/m2 and 0.9 mm/d, respectively, and high correlation coefficient (R2 = 0.72–0.91). The acceptable uncertainties observed when comparing with local ground data were reaffirmed after the regional (spatial resolution of 9 km) comparison with reanalysis data obtained from ERA5-Land model, showing a StDev of 0.9 mm/d, RMSE = 1.1 mm/d, MAE = 0.9 mm/d, </w:t>
      </w:r>
    </w:p>
    <w:p>
      <w:pPr/>
      <w:r>
        <w:rPr>
          <w:b/>
        </w:rPr>
        <w:t>POSSIBLE 2021:</w:t>
      </w:r>
      <w:r>
        <w:t xml:space="preserve"> Modeling and forecasting the spread of COVID-19 with stochastic and deterministic approaches: Africa and Europe — https://doi.org/10.1186/s13662-021-03213-2</w:t>
      </w:r>
    </w:p>
    <w:p>
      <w:pPr/>
      <w:r>
        <w:rPr>
          <w:b/>
        </w:rPr>
        <w:t>Shared claim-specific concepts:</w:t>
      </w:r>
      <w:r>
        <w:t xml:space="preserve"> two, system, first; EU scope visible. This is a provisional connection, not an outcome finding.</w:t>
      </w:r>
    </w:p>
    <w:p>
      <w:pPr>
        <w:pStyle w:val="SourceNote"/>
      </w:pPr>
      <w:r>
        <w:rPr>
          <w:b/>
        </w:rPr>
        <w:t>Available abstract (not full text):</w:t>
      </w:r>
      <w:r>
        <w:t xml:space="preserve"> Using the existing collected data from European and African countries, we present a statistical analysis of forecast of the future number of daily deaths and infections up to 10 September 2020. We presented numerous statistical analyses of collected data from both continents using numerous existing statistical theories. Our predictions show the possibility of the second wave of spread in Europe in the worse scenario and an exponential growth in the number of infections in Africa. The projection of statistical analysis leads us to introducing an extended version of the well-blancmange function to further capture the spread with fractal properties. A mathematical model depicting the spread with nine sub-classes is considered, first converted to a stochastic system, where the existence and uniqueness are presented. Then the model is extended to the concept of nonlocal operators; due to nonlinearity, a modified numerical scheme is suggested and used to present numerical simulations. The suggested mathematical model is able to predict two to three waves of the spread in the near future.</w:t>
      </w:r>
    </w:p>
    <w:p>
      <w:pPr/>
      <w:r>
        <w:rPr>
          <w:b/>
        </w:rPr>
        <w:t>POSSIBLE 2021:</w:t>
      </w:r>
      <w:r>
        <w:t xml:space="preserve"> The 2020 update of the European Seismic Hazard Model - ESHM20: Model Overview — https://doi.org/10.12686/a15</w:t>
      </w:r>
    </w:p>
    <w:p>
      <w:pPr/>
      <w:r>
        <w:rPr>
          <w:b/>
        </w:rPr>
        <w:t>Shared claim-specific concepts:</w:t>
      </w:r>
      <w:r>
        <w:t xml:space="preserve"> two, system, several, design; EU scope visible. This is a provisional connection, not an outcome finding.</w:t>
      </w:r>
    </w:p>
    <w:p>
      <w:pPr>
        <w:pStyle w:val="SourceNote"/>
      </w:pPr>
      <w:r>
        <w:rPr>
          <w:b/>
        </w:rPr>
        <w:t>Available abstract (not full text):</w:t>
      </w:r>
      <w:r>
        <w:t xml:space="preserve"> The 2020 European Seismic Hazard Model (ESHM20) provides an update of the earthquake hazard assessment of the Euro-Mediterranean region. ESHM20 has received funding from the European Union's Horizon 2020 research and innovation programme under grant agreement No.s 730900 of the SERA-Project (www.sera-eu.org). The ESHM20 follows the same principles as the ESHM13, with state-of-the art procedures homogeneously applied for the entire pan-European region, without the country-borders issues. The model was built upon recently compiled datasets (i.e. earthquake catalogues, active faults, ground shaking recordings), information (tectonic and geological) and models (seismogenic sources, ground shaking). A fully probabilistic framework was adopted in the hazard model implementation and all datasets and inputs are fully cross-border harmonized. The newly developed seismogenic source model encompass fully harmonized and cross borders seismogenic sources following the recent national earthquake hazard models. The inherent uncertainties in characterizing the earthquake rupture forecast are handled by a complex logic tree, consisting of two main models (branches): an area source-based model and a hybrid fault-smoothed seismicity model. The ground motion characteristic model is built upon the most complete ground shaking recordings in Europe and aims at capturing the effects of source and atte</w:t>
      </w:r>
    </w:p>
    <w:p>
      <w:pPr/>
      <w:r>
        <w:rPr>
          <w:b/>
        </w:rPr>
        <w:t>POSSIBLE 2020:</w:t>
      </w:r>
      <w:r>
        <w:t xml:space="preserve"> Analysis of crash injury severity on two trans-European transport network corridors in Spain using discrete-choice models and random forests — https://doi.org/10.1080/15389588.2020.1733539</w:t>
      </w:r>
    </w:p>
    <w:p>
      <w:pPr/>
      <w:r>
        <w:rPr>
          <w:b/>
        </w:rPr>
        <w:t>Shared claim-specific concepts:</w:t>
      </w:r>
      <w:r>
        <w:t xml:space="preserve"> two, implications, first, design; EU scope visible. This is a provisional connection, not an outcome finding.</w:t>
      </w:r>
    </w:p>
    <w:p>
      <w:pPr>
        <w:pStyle w:val="SourceNote"/>
      </w:pPr>
      <w:r>
        <w:rPr>
          <w:b/>
        </w:rPr>
        <w:t>Available abstract (not full text):</w:t>
      </w:r>
      <w:r>
        <w:t xml:space="preserve"> Objective: The objective of this paper is to identify the list of crash severity contributing factors and evaluate their impact on multiple-vehicle crashes on two high use Trans-European interurban, freight corridors in Spain (southern Europe): Madrid - Irùn and Barcelona – Almerìa.Methods: We have used both logistic regression and random forests to identify crash severity predictors and estimate their impacts on crash outcomes. Although both statistical methods can provide useful information to help explain the safety implications of highway crashes, using both methods may further enable a more comprehensive understanding of this phenomenon. For this effort, we disaggregated the crash data into different crash types (i.e., head-on, angle, sideswipe and rear-end) and analyzed this data using roadway design elements, driver characteristics, and environmental factors. To identify the most important predictors of crash severity, we used the random forests data mining approach. We then used ordered logit models to estimate the effect of external factors on the severity of each crash type. Finally, we assessed the accuracy of the model estimates using bootstrap sampling.Results: The results of data mining analyses indicated that roadway design factors such as horizontal and vertical curvature, super elevation, and lane and shoulder width are among the most important factors associat</w:t>
      </w:r>
    </w:p>
    <w:p>
      <w:pPr/>
      <w:r>
        <w:rPr>
          <w:b/>
        </w:rPr>
        <w:t>POSSIBLE 2020:</w:t>
      </w:r>
      <w:r>
        <w:t xml:space="preserve"> Biogeophysical impacts of forestation in Europe: first results from the LUCAS (Land Use and Climate Across Scales) regional climate model intercomparison — https://doi.org/10.5194/esd-11-183-2020</w:t>
      </w:r>
    </w:p>
    <w:p>
      <w:pPr/>
      <w:r>
        <w:rPr>
          <w:b/>
        </w:rPr>
        <w:t>Shared claim-specific concepts:</w:t>
      </w:r>
      <w:r>
        <w:t xml:space="preserve"> two, based, first; EU scope visible. This is a provisional connection, not an outcome finding.</w:t>
      </w:r>
    </w:p>
    <w:p>
      <w:pPr>
        <w:pStyle w:val="SourceNote"/>
      </w:pPr>
      <w:r>
        <w:rPr>
          <w:b/>
        </w:rPr>
        <w:t>Available abstract (not full text):</w:t>
      </w:r>
      <w:r>
        <w:t xml:space="preserve">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pPr/>
      <w:r>
        <w:rPr>
          <w:b/>
        </w:rPr>
        <w:t>POSSIBLE 2020:</w:t>
      </w:r>
      <w:r>
        <w:t xml:space="preserve"> Multispectral Models from Bare Soil Composites for Mapping Topsoil Properties over Europe — https://doi.org/10.3390/rs12091369</w:t>
      </w:r>
    </w:p>
    <w:p>
      <w:pPr/>
      <w:r>
        <w:rPr>
          <w:b/>
        </w:rPr>
        <w:t>Shared claim-specific concepts:</w:t>
      </w:r>
      <w:r>
        <w:t xml:space="preserve"> two, system, first, capacity; EU scope visible. This is a provisional connection, not an outcome finding.</w:t>
      </w:r>
    </w:p>
    <w:p>
      <w:pPr>
        <w:pStyle w:val="SourceNote"/>
      </w:pPr>
      <w:r>
        <w:rPr>
          <w:b/>
        </w:rPr>
        <w:t>Available abstract (not full text):</w:t>
      </w:r>
      <w:r>
        <w:t xml:space="preserve"> Reflectance of light across the visible, near-infrared and shortwave infrared (VIS-NIR-SWIR, 0.4–2.5 µm) spectral region is very useful for investigating mineralogical, physical and chemical properties of soils, which can reduce the need for traditional wet chemistry analyses. As many collections of multispectral satellite data are available for environmental studies, a large extent with medium resolution mapping could be benefited from the spectral measurements made from remote sensors. In this paper, we explored the use of bare soil composites generated from the large historical collections of Landsat images for mapping cropland topsoil attributes across the European extent. For this task, we used the Geospatial Soil Sensing System (GEOS3) for generating two bare soil composites of 30 m resolution (named synthetic soil images, SYSI), which were employed to represent the median topsoil reflectance of bare fields. The first (framed SYSI) was made with multitemporal images (2006–2012) framed to the survey time of the Land-Use/Land-Cover Area Frame Survey (LUCAS) soil dataset (2009), seeking to be more compatible to the soil condition upon the sampling campaign. The second (full SYSI) was generated from the full collection of Landsat images (1982–2018), which although displaced to the field survey, yields a higher proportion of bare areas for soil mapping. For evaluating the two </w:t>
      </w:r>
    </w:p>
    <w:p>
      <w:pPr/>
      <w:r>
        <w:rPr>
          <w:b/>
        </w:rPr>
        <w:t>POSSIBLE 2020:</w:t>
      </w:r>
      <w:r>
        <w:t xml:space="preserve"> The making of the New European Wind Atlas – Part 1: Model sensitivity — https://doi.org/10.5194/gmd-13-5053-2020</w:t>
      </w:r>
    </w:p>
    <w:p>
      <w:pPr/>
      <w:r>
        <w:rPr>
          <w:b/>
        </w:rPr>
        <w:t>Shared claim-specific concepts:</w:t>
      </w:r>
      <w:r>
        <w:t xml:space="preserve"> two, several, first, optimal; EU scope visible. This is a provisional connection, not an outcome finding.</w:t>
      </w:r>
    </w:p>
    <w:p>
      <w:pPr>
        <w:pStyle w:val="SourceNote"/>
      </w:pPr>
      <w:r>
        <w:rPr>
          <w:b/>
        </w:rPr>
        <w:t>Available abstract (not full text):</w:t>
      </w:r>
      <w:r>
        <w:t xml:space="preserve"> Abstract. This is the first of two papers that documents the creation of the New European Wind Atlas (NEWA). It describes the sensitivity analysis and evaluation procedures that formed the basis for choosing the final setup of the mesoscale model simulations of the wind atlas. An optimal combination of model setup and parameterisations was found for simulating the climatology of the wind field at turbine-relevant heights with the Weather Research and Forecasting (WRF) model. Initial WRF model sensitivity experiments compared the wind climate generated by using two commonly used planetary boundary layer schemes and were carried out over several regions in Europe. They confirmed that the largest differences in annual mean wind speed at 100 m above ground level mostly coincide with areas of high surface roughness length and not with the location of the domains or maximum wind speed. Then an ensemble of more than 50 simulations with different setups for a single year was carried out for one domain covering Northern Europe, for which tall mast observations were available. Many different parameters were varied across the simulations, for example, model version, forcing data, various physical parameterisations and the size of the model domain. These simulations showed that although virtually every parameter change affects the results in some way, significant changes on the wind climat</w:t>
      </w:r>
    </w:p>
    <w:p>
      <w:pPr>
        <w:pStyle w:val="Heading2"/>
      </w:pPr>
      <w:r>
        <w:t>727.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Pathways to Inclusion? Labor Market Entry Trajectories of Persons With Disabilities in Europe — https://doi.org/10.17645/si.9603</w:t>
      </w:r>
    </w:p>
    <w:p>
      <w:pPr/>
      <w:r>
        <w:rPr>
          <w:b/>
        </w:rPr>
        <w:t>Shared claim-specific concepts:</w:t>
      </w:r>
      <w:r>
        <w:t xml:space="preserve"> pathways, support, reduce, those; EU scope visible. This is a provisional connection, not an outcome finding.</w:t>
      </w:r>
    </w:p>
    <w:p>
      <w:pPr>
        <w:pStyle w:val="SourceNote"/>
      </w:pPr>
      <w:r>
        <w:rPr>
          <w:b/>
        </w:rPr>
        <w:t>Available abstract (not full text):</w:t>
      </w:r>
      <w:r>
        <w:t xml:space="preserve"> Almost a fifth of the population in OECD countries report having a disability and the proportion of students classified as having special educational needs (SEN) has steadily increased over recent decades. While this group faces marginalization in schooling and employment everywhere, there are profound differences in disability‐based disadvantages across countries. However, comparative research on the labor market opportunities of persons with disabilities (PwDs) remains limited, especially regarding school‐to‐work transitions (STWT) that are crucial for subsequent labor market opportunities. Thus, lacking comparative knowledge on how institutional contexts shape these transitions also limits opportunities for policy learning and improvement of supports provided. This study addresses these gaps by analysing longitudinal data from the European Statistics on Income and Living Conditions (EU‐SILC). First, using sequence and cluster analysis, we classify these trajectories and provide an in‐depth analysis of labor market entry patterns for PwDs compared to those without disabilities across 31 European countries. Second, we explore whether the timing of first employment, instability during the STWT, as well as inclusionary or exclusionary transitions vary between these groups and how the disparities between persons with and without disabilities regarding these indicators are related</w:t>
      </w:r>
    </w:p>
    <w:p>
      <w:pPr/>
      <w:r>
        <w:rPr>
          <w:b/>
        </w:rPr>
        <w:t>POSSIBLE 2023:</w:t>
      </w:r>
      <w:r>
        <w:t xml:space="preserve"> Homopositivity Across Europe: Predictors, Pathways, and Moderators — https://doi.org/10.1007/s10508-023-02531-8</w:t>
      </w:r>
    </w:p>
    <w:p>
      <w:pPr/>
      <w:r>
        <w:rPr>
          <w:b/>
        </w:rPr>
        <w:t>Shared claim-specific concepts:</w:t>
      </w:r>
      <w:r>
        <w:t xml:space="preserve"> pathways, socioeconomic, those; EU scope visible. This is a provisional connection, not an outcome finding.</w:t>
      </w:r>
    </w:p>
    <w:p>
      <w:pPr>
        <w:pStyle w:val="SourceNote"/>
      </w:pPr>
      <w:r>
        <w:rPr>
          <w:b/>
        </w:rPr>
        <w:t>Available abstract (not full text):</w:t>
      </w:r>
      <w:r>
        <w:t xml:space="preserve"> Although homopositivity, the attitudinal acceptance of homosexuality, has generally increased across Western societies, there remains considerable homonegativity across certain regions of the world as well as certain demographic and socioeconomic groups. Although previous cross-national research has successfully identified the key factors affecting homopositive attitudes, the literature neglects both potentially key mediation pathways and moderating interactions between those factors that may unlock more nuanced understanding of these variations in homopositive attitudes across individuals and places. In response, the present study innovatively applied a multivariate structural equation modelling approach to the latest Wave 9 (2018 data) of the large-scale cross-national European Social Survey data in order to shed new light on these currently neglected predictors, pathways, and moderating influences on homopositive attitudes. It used a three-item latent variable to measure the homopositive attitudes outcomes construct. Its explanatory variables were focused across three key sets of factors identified in theoretical and empirical literature (socioeconomics, religiosity, and values) alongside various wider controls. Our analyses made several innovative methodological and empirical contributions to existing debate. Key innovative findings include the original identification of im</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pathways, support, vision;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Protective genes and pathways in Alzheimer’s disease: moving towards precision interventions — https://doi.org/10.1186/s13024-021-00452-5</w:t>
      </w:r>
    </w:p>
    <w:p>
      <w:pPr/>
      <w:r>
        <w:rPr>
          <w:b/>
        </w:rPr>
        <w:t>Shared claim-specific concepts:</w:t>
      </w:r>
      <w:r>
        <w:t xml:space="preserve"> pathways, moving, shift; EU scope not established. This is a provisional connection, not an outcome finding.</w:t>
      </w:r>
    </w:p>
    <w:p>
      <w:pPr>
        <w:pStyle w:val="SourceNote"/>
      </w:pPr>
      <w:r>
        <w:rPr>
          <w:b/>
        </w:rPr>
        <w:t>Available abstract (not full text):</w:t>
      </w:r>
      <w:r>
        <w:t xml:space="preserve"> Alzheimer's disease (AD) is a progressive, neurodegenerative disorder that is characterized by neurodegeneration, cognitive impairment, and an eventual inability to perform daily tasks. The etiology of Alzheimer's is complex, with numerous environmental and genetic factors contributing to the disease. Late-onset AD is highly heritable (60 to 80%), and over 40 risk loci for AD have been identified via large genome-wide association studies, most of which are common variants with small effect sizes. Although these discoveries have provided novel insight on biological contributors to AD, disease-modifying treatments remain elusive. Recently, the concepts of resistance to pathology and resilience against the downstream consequences of pathology have been of particular interest in the Alzheimer's field as studies continue to identify individuals who evade the pathology of the disease even into late life and individuals who have all of the neuropathological features of AD but evade downstream neurodegeneration and cognitive impairment. It has been hypothesized that a shift in focus from Alzheimer's risk to resilience presents an opportunity to uncover novel biological mechanisms of AD and to identify promising therapeutic targets for the disease. This review will highlight a selection of genes and variants that have been reported to confer protection from AD within the literature and </w:t>
      </w:r>
    </w:p>
    <w:p>
      <w:pPr/>
      <w:r>
        <w:rPr>
          <w:b/>
        </w:rPr>
        <w:t>POSSIBLE 2021:</w:t>
      </w:r>
      <w:r>
        <w:t xml:space="preserve"> Marketing Farmers’ Varieties in Europe: Encouraging Pathways with Missing Links for the Recognition and Support of Farmer Seed Systems — https://doi.org/10.3390/agronomy11112159</w:t>
      </w:r>
    </w:p>
    <w:p>
      <w:pPr/>
      <w:r>
        <w:rPr>
          <w:b/>
        </w:rPr>
        <w:t>Shared claim-specific concepts:</w:t>
      </w:r>
      <w:r>
        <w:t xml:space="preserve"> pathways, support, shows; EU scope visible. This is a provisional connection, not an outcome finding.</w:t>
      </w:r>
    </w:p>
    <w:p>
      <w:pPr>
        <w:pStyle w:val="SourceNote"/>
      </w:pPr>
      <w:r>
        <w:rPr>
          <w:b/>
        </w:rPr>
        <w:t>Available abstract (not full text):</w:t>
      </w:r>
      <w:r>
        <w:t xml:space="preserve"> Farmer seed systems come in many shades: Conserving, producing, and using diverse plant material for different motives and purposes, whether the conservation or selection of locally adapted plant varieties and populations, or the safeguard of social bonds to secure economic stability and integration into rural communities. In Europe, strict seed marketing rules, by viewing any exchange of seeds as commercial exploitation, have first outlawed these farmer seed systems and the varieties conserved and developed in these systems, before carving out limited space for them as derogations to the main regime that remains based on mandatory variety registration and certified seed production. Examining these spaces in the legislation of the European Union (‘EU’) and Switzerland, along with their practical implications on the ground, the article shows the conceptual shortcomings of the EU legislation to fully address all the characteristics of farmer seed systems, especially to recognize farmers’ innovation. It exposes the need to carefully define, assess and adjust the underlying objectives of the future EU legislative effort to register farmers’ varieties or allow for their exchange, to fully represent and address the complex socio-economic values and diversity of farmer seed systems. The success of these endeavors will lie in the truthful representation, but also the engagement of farm</w:t>
      </w:r>
    </w:p>
    <w:p>
      <w:pPr/>
      <w:r>
        <w:rPr>
          <w:b/>
        </w:rPr>
        <w:t>POSSIBLE 2021:</w:t>
      </w:r>
      <w:r>
        <w:t xml:space="preserve"> Unraveling pathways of elevated ozone induced by the 2020 lockdown in Europe by an observationally constrained regional model using TROPOMI — https://doi.org/10.5194/acp-21-18227-2021</w:t>
      </w:r>
    </w:p>
    <w:p>
      <w:pPr/>
      <w:r>
        <w:rPr>
          <w:b/>
        </w:rPr>
        <w:t>Shared claim-specific concepts:</w:t>
      </w:r>
      <w:r>
        <w:t xml:space="preserve"> pathways, support, gas, emissions, those; EU scope visible. This is a provisional connection, not an outcome finding.</w:t>
      </w:r>
    </w:p>
    <w:p>
      <w:pPr>
        <w:pStyle w:val="SourceNote"/>
      </w:pPr>
      <w:r>
        <w:rPr>
          <w:b/>
        </w:rPr>
        <w:t>Available abstract (not full text):</w:t>
      </w:r>
      <w:r>
        <w:t xml:space="preserve"> Abstract. Questions about how emissions are changing during the COVID-19 lockdown periods cannot be answered by observations of atmospheric trace gas concentrations alone, in part due to simultaneous changes in atmospheric transport, emissions, dynamics, photochemistry, and chemical feedback. A chemical transport model simulation benefiting from a multi-species inversion framework using well-characterized observations should differentiate those influences enabling to closely examine changes in emissions. This approach has another advantage in that we can, to a certain extent, disentangle the chemical and physical processes involved in the formation of ozone. Accordingly, we jointly constrain NOx and VOC emissions using well-characterized TROPOMI HCHO and NO2 columns during the months of March, April, and May 2020 (lockdown) and 2019 (baseline). We observe a noticeable decline in the magnitude of NOx emissions in March 2020 (14–31 %) in several major cities including Paris, London, Madrid, and Milan expanding further to Rome, Brussels, Frankfurt, Warsaw, Belgrade, Kyiv, and Moscow (34–51 %) in April. The large variability of changes in NOx emissions is indicative of different dates and the degree of restrictions enacted to prevent the spread of the virus. For instance, NOx emissions remain at somewhat similar values or even higher in northern Germany and Moscow in March 2020 com</w:t>
      </w:r>
    </w:p>
    <w:p>
      <w:pPr/>
      <w:r>
        <w:rPr>
          <w:b/>
        </w:rPr>
        <w:t>POSSIBLE 2020:</w:t>
      </w:r>
      <w:r>
        <w:t xml:space="preserve"> NORA moving forward: Developing an oyster restoration network in Europe to support the Berlin Oyster Recommendation — https://doi.org/10.1002/aqc.3447</w:t>
      </w:r>
    </w:p>
    <w:p>
      <w:pPr/>
      <w:r>
        <w:rPr>
          <w:b/>
        </w:rPr>
        <w:t>Shared claim-specific concepts:</w:t>
      </w:r>
      <w:r>
        <w:t xml:space="preserve"> support, moving, enhance; EU scope visible. This is a provisional connection, not an outcome finding.</w:t>
      </w:r>
    </w:p>
    <w:p>
      <w:pPr>
        <w:pStyle w:val="SourceNote"/>
      </w:pPr>
      <w:r>
        <w:rPr>
          <w:b/>
        </w:rPr>
        <w:t>Available abstract (not full text):</w:t>
      </w:r>
      <w:r>
        <w:t xml:space="preserve"> Abstract The Native Oyster Restoration Alliance (NORA) supports the protection and ecological restoration of the native European oyster, Ostrea edulis , and its habitat across its current and historical biogeographical range. NORA works to overcome barriers to the conservation, restoration, and recovery of the European oyster by providing a platform for the NORA community to collaborate and participate in knowledge exchange. NORA seeks to support responsible restoration practice, in compliance with biosecurity and sustainability. Against this background, the NORA community formulated a series of specific recommendations, the Berlin Oyster Recommendation, to support native oyster restoration by developing and applying best practice with the aim to recover healthy and resilient marine ecosystems. In combination with the Standards for Ecological Restoration (SER) and the Restoration Guidelines for Shellfish Reefs, the Berlin Oyster Recommendation is a relevant tool for successful and sustainable oyster restoration in Europe. The establishment of NORA working groups will support the implementation and further development of the six corresponding recommendations. Current NORA working groups cover site selection, biosecurity, production, and monitoring. The site selection working group will address the identification of suitable sites for oyster restoration to support policy relevant</w:t>
      </w:r>
    </w:p>
    <w:p>
      <w:pPr/>
      <w:r>
        <w:rPr>
          <w:b/>
        </w:rPr>
        <w:t>POSSIBLE 2020:</w:t>
      </w:r>
      <w:r>
        <w:t xml:space="preserve"> Moving Toward an Agenda on Ocean Health and Human Health in Europe — https://doi.org/10.3389/fmars.2020.00037</w:t>
      </w:r>
    </w:p>
    <w:p>
      <w:pPr/>
      <w:r>
        <w:rPr>
          <w:b/>
        </w:rPr>
        <w:t>Shared claim-specific concepts:</w:t>
      </w:r>
      <w:r>
        <w:t xml:space="preserve"> moving, actions, well-being; EU scope visible. This is a provisional connection, not an outcome finding.</w:t>
      </w:r>
    </w:p>
    <w:p>
      <w:pPr>
        <w:pStyle w:val="SourceNote"/>
      </w:pPr>
      <w:r>
        <w:rPr>
          <w:b/>
        </w:rPr>
        <w:t>Available abstract (not full text):</w:t>
      </w:r>
      <w:r>
        <w:t xml:space="preserve"> The integrated study of ocean health and human health is an emerging area of increasing global importance. Growing evidences demonstrate that the health of the ocean and the health of humans have always been and will continue to be, inextricably linked. Our actions towards the oceans will significantly influence the future of the whole planet and, in turn, our own health. The current review of these issues arose from a summer school in San Sebastian (Spain), from 5th-7th June, 2019. An interdisciplinary group of researchers discussed key risks (e.g. microbial pollution, pharmaceuticals, harmful algal blooms, plastic pollution) and benefits (e.g. bathing waters, recreation, tourism) of the seas and global ocean for humanity; and debated the future priorities and potential actions for a joint Oceans and Human Health research and governance programme in Europe. The aim of this review is to contribute to the emerging scientific agenda on ocean health and human health, as well as coordinate efforts with stakeholders, policy makers and the general public. This agenda operates within the larger context of the upcoming United Nations Decade of Ocean Science for Sustainable Development: 2021-2030, which strives to achieve the Sustainable Development Goals (SDG), including healthy (human) lives and well-being (SDG3) and conserving and sustainably using the oceans (SDG14), among others. I</w:t>
      </w:r>
    </w:p>
    <w:p>
      <w:pPr>
        <w:pStyle w:val="Heading2"/>
      </w:pPr>
      <w:r>
        <w:t>728.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2023:</w:t>
      </w:r>
      <w:r>
        <w:t xml:space="preserve"> Lifetime impact of achondroplasia study in Europe (LIAISE): findings from a multinational observational study — https://doi.org/10.1186/s13023-023-02652-2</w:t>
      </w:r>
    </w:p>
    <w:p>
      <w:pPr/>
      <w:r>
        <w:rPr>
          <w:b/>
        </w:rPr>
        <w:t>Shared claim-specific concepts:</w:t>
      </w:r>
      <w:r>
        <w:t xml:space="preserve"> findings, among, countries, population, between; EU scope visible. This is a provisional connection, not an outcome finding.</w:t>
      </w:r>
    </w:p>
    <w:p>
      <w:pPr>
        <w:pStyle w:val="SourceNote"/>
      </w:pPr>
      <w:r>
        <w:rPr>
          <w:b/>
        </w:rPr>
        <w:t>Available abstract (not full text):</w:t>
      </w:r>
      <w:r>
        <w:t xml:space="preserve"> BACKGROUND: Achondroplasia, caused by a pathogenic variant in the fibroblast growth factor receptor 3 gene, is the most common skeletal dysplasia. The Lifetime Impact of Achondroplasia Study in Europe (LIAISE; NCT03449368) aimed to quantify the burden of achondroplasia among individuals across a broad range of ages, including adults. METHODS: Demographic, clinical and healthcare resource use data were collected from medical records of achondroplasia patients enrolled in 13 sites across six European countries in this retrospective, observational study. Descriptive statistics or event rates per 100 person-years were calculated and compared across age groups as well as by history of limb lengthening. Patient-reported outcomes (quality of life [QoL], pain, functional independence, work productivity and activity impairments) were evaluated using questionnaires at the time of enrolment. An exploratory analysis investigated correlations between height (z-score or centimetres) and patient-reported outcomes. RESULTS: Overall, 186 study patients were included, with a mean age of 21.7 ± 17.3 years (range 5.0-84.4). At least one complication or surgery was reported for 94.6% and 72.0% of patients, respectively, at a rate of 66.6 and 21.5 events per 100 person-years. Diverse medical and surgical complications were reported for all ages in a bimodal distribution, occurring more frequently in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findings, countries, between;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On Virtual Mobility in Three Central European Universities: Similar but Different? — https://doi.org/10.22381/kc11320235</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This article examines the patterns and determinants of virtual mobility among students in the social sciences and humanities at three universities in Central Europe: University of Hradec Kralove (HKU) in the Czech Republic, Adam Mickiewicz University, Poznan (AMU) in Poland and Constantine the Philosopher University in Nitra (UKF) in Slovakia. Virtual mobility, a form of international cooperation facilitated by information and communication technologies, has become increasingly important, especially during the COVID-19 pandemic. The study investigates students’ motivation, resources and experiences in this form of mobility. Findings show that a similar percentage of students participated in both physical and virtual mobility across the three universities, with over 60% not participating in any form of mobility. Work experience significantly impacted participation, as students with employment records were likelier to participate. Gender and level of study did not have a significant influence on participation. Noticeable differences in motivation were observed between universities, with students at the AMU demonstrating a higher level of motivation for virtual mobility. The study also revealed differences in students’ perceptions of technical resources and organisational effectiveness for virtual mobility.</w:t>
      </w:r>
    </w:p>
    <w:p>
      <w:pPr/>
      <w:r>
        <w:rPr>
          <w:b/>
        </w:rPr>
        <w:t>POSSIBLE 2022:</w:t>
      </w:r>
      <w:r>
        <w:t xml:space="preserve"> The burden of mental disorders, substance use disorders and self-harm among young people in Europe, 1990–2019: Findings from the Global Burden of Disease Study 2019 — https://doi.org/10.1016/j.lanepe.2022.100341</w:t>
      </w:r>
    </w:p>
    <w:p>
      <w:pPr/>
      <w:r>
        <w:rPr>
          <w:b/>
        </w:rPr>
        <w:t>Shared claim-specific concepts:</w:t>
      </w:r>
      <w:r>
        <w:t xml:space="preserve"> findings, among, countries, population; EU scope visible. This is a provisional connection, not an outcome finding.</w:t>
      </w:r>
    </w:p>
    <w:p>
      <w:pPr>
        <w:pStyle w:val="SourceNote"/>
      </w:pPr>
      <w:r>
        <w:rPr>
          <w:b/>
        </w:rPr>
        <w:t>Available abstract (not full text):</w:t>
      </w:r>
      <w:r>
        <w:t xml:space="preserve"> Background: Mental health is a public health issue for European young people, with great heterogeneity in resource allocation. Representative population-based studies are needed. The Global Burden of Disease (GBD) Study 2019 provides internationally comparable information on trends in the health status of populations and changes in the leading causes of disease burden over time. Methods: Prevalence, incidence, Years Lived with Disability (YLDs) and Years of Life Lost (YLLs) from mental disorders (MDs), substance use disorders (SUDs) and self-harm were estimated for young people aged 10-24 years in 31 European countries. Rates per 100,000 population, percentage changes in 1990-2019, 95% Uncertainty Intervals (UIs), and correlations with Sociodemographic Index (SDI), were estimated. Findings: In 2019, rates per 100,000 population were 16,983 (95% UI 12,823 - 21,630) for MDs, 3,891 (3,020 - 4,905) for SUDs, and 89·1 (63·8 - 123·1) for self-harm. In terms of disability, anxiety contributed to 647·3 (432-912·3) YLDs, while in terms of premature death, self-harm contributed to 319·6 (248·9-412·8) YLLs, per 100,000 population. Over the 30 years studied, YLDs increased in eating disorders (14·9%;9·4-20·1) and drug use disorders (16·9%;8·9-26·3), and decreased in idiopathic developmental intellectual disability (-29·1%;23·8-38·5). YLLs decreased in self-harm (-27·9%;38·3-18·7). Variatio</w:t>
      </w:r>
    </w:p>
    <w:p>
      <w:pPr/>
      <w:r>
        <w:rPr>
          <w:b/>
        </w:rPr>
        <w:t>POSSIBLE 2022:</w:t>
      </w:r>
      <w:r>
        <w:t xml:space="preserve"> Oral health and quality of life: findings from the Survey of Health, Ageing and Retirement in Europe — https://doi.org/10.1186/s12903-022-02599-z</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BACKGROUND: The aim of this study was to clarify the link between oral health and quality of life among older adults in Europe. METHODS: Cross-sectional data from wave 5 (n = 59,048 observations) were used from the representative Survey of Health, Ageing and Retirement in Europe. Oral health was quantified by three questions: presence of all natural teeth (yes; no); among individuals with missing natural teeth, the number of missing teeth and the extent of replaced natural teeth were quantified. Quality of life was quantified using the widely used CASP-12. Multiple linear regressions were used to determine the association between oral health and quality of life, adjusting for various potential confounders. RESULTS: Multiple linear regressions showed that higher quality of life was associated with (1) the presence of all natural teeth and among individuals with missing natural teeth, with (2) a lower number of missing natural teeth and (3) completely replaced natural teeth. Additionally, quality of life was positively associated with younger age, being female, being married or in a partnership, higher income, higher educational level, not currently smoking, a lower number of functional impairments, better self-rated health, a lower number of depressive symptoms and a lower number of chronic diseases. CONCLUSION: Study findings showed an association between oral health and qualit</w:t>
      </w:r>
    </w:p>
    <w:p>
      <w:pPr/>
      <w:r>
        <w:rPr>
          <w:b/>
        </w:rPr>
        <w:t>POSSIBLE 2021:</w:t>
      </w:r>
      <w:r>
        <w:t xml:space="preserve"> Digital Inequality Among States at a European Level — https://doi.org/10.4018/ijdldc.291969</w:t>
      </w:r>
    </w:p>
    <w:p>
      <w:pPr/>
      <w:r>
        <w:rPr>
          <w:b/>
        </w:rPr>
        <w:t>Shared claim-specific concepts:</w:t>
      </w:r>
      <w:r>
        <w:t xml:space="preserve"> findings, among, three, identifies, countries; EU scope visible. This is a provisional connection, not an outcome finding.</w:t>
      </w:r>
    </w:p>
    <w:p>
      <w:pPr>
        <w:pStyle w:val="SourceNote"/>
      </w:pPr>
      <w:r>
        <w:rPr>
          <w:b/>
        </w:rPr>
        <w:t>Available abstract (not full text):</w:t>
      </w:r>
      <w:r>
        <w:t xml:space="preserve"> For the past 25 years, digital inequalities have been analyzed by several scholars. Many empirical studies have shaped a theoretical framework that identifies three main digital divides. However, most of the scientific contributions have been focusing on digital inequalities within countries, leaving inequalities among countries behind. This paper aims at analyzing what kind of digital inequalities emerge among European countries, focusing on the trends that characterized Europe in the last decade, to consider whether some of the main elements of the digital divide literature replicate at the continental level. The paper analyzes secondary data, mainly retrieved from Eurostat. It emerges that inequalities in digital skills and use of the web persist in Europe, and some of the trends that scholars found among individuals are identifiable among countries as well. These findings contribute to the description of digital inequalities, a social phenomenon not so deeply studied at the continental level.</w:t>
      </w:r>
    </w:p>
    <w:p>
      <w:pPr/>
      <w:r>
        <w:rPr>
          <w:b/>
        </w:rPr>
        <w:t>POSSIBLE 2021:</w:t>
      </w:r>
      <w:r>
        <w:t xml:space="preserve"> Seroprevalence of SARS-CoV-2 IgG antibodies among health care workers prior to vaccine administration in Europe, the USA and East Asia: A systematic review and meta-analysis — https://doi.org/10.1016/j.eclinm.2021.100770</w:t>
      </w:r>
    </w:p>
    <w:p>
      <w:pPr/>
      <w:r>
        <w:rPr>
          <w:b/>
        </w:rPr>
        <w:t>Shared claim-specific concepts:</w:t>
      </w:r>
      <w:r>
        <w:t xml:space="preserve"> findings, among, three, countries, considered; EU scope visible. This is a provisional connection, not an outcome finding.</w:t>
      </w:r>
    </w:p>
    <w:p>
      <w:pPr>
        <w:pStyle w:val="SourceNote"/>
      </w:pPr>
      <w:r>
        <w:rPr>
          <w:b/>
        </w:rPr>
        <w:t>Available abstract (not full text):</w:t>
      </w:r>
      <w:r>
        <w:t xml:space="preserve"> BACKGROUND: Knowing the seroprevalence of SARS-CoV-2 IgG antibodies across geographic regions before vaccine administration is one key piece of knowledge to achieve herd immunity. While people of all ages, occupations, and communities are at risk of getting infected with SARS-CoV-2, the health care workers (HCWs) are possibly at the highest risk. Most seroprevalence surveys with HCWs conducted worldwide have been limited to Europe, North America, and East Asia. We aimed to understand how the seroprevalence of SARS-CoV-2 IgG antibodies varied across these geographic regions among HCWs based on the available evidences. METHODS: statistics. We performed sensitivity analyses based on sample size, diagnostic method and publication status. The study protocol was registered with PROSPERO (CRD42020219086). FINDINGS: A total of 53 peer-reviewed articles were selected, including 173,353 HCWs (32.7% male) from the United States, ten European, and three East Asian countries. The overall seropositive prevalence rate of IgG antibodies was 8.6% in these regions (95% CI= 7.2-9.9%). Pooled seroprevalence of IgG antibodies was higher in studies conducted in the USA (12.4%, 95% CI= 7.8-17%) than in Europe (7.7%, 95% CI=6.3-9.2%) and East Asia (4.8%, 95% CI=2.9-6.7%). The subgroup study also estimated that male HCWs had 9.4% (95% CI= 7.2-11.6%) IgG seroconversion, and female HCWs had 7.8% (95% CI=</w:t>
      </w:r>
    </w:p>
    <w:p>
      <w:pPr/>
      <w:r>
        <w:rPr>
          <w:b/>
        </w:rPr>
        <w:t>POSSIBLE 2020:</w:t>
      </w:r>
      <w:r>
        <w:t xml:space="preserve"> How Many Older Informal Caregivers Are There in Europe? Comparison of Estimates of Their Prevalence from Three European Surveys — https://doi.org/10.3390/ijerph17249531</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Informal caregivers are people providing some type of unpaid, ongoing assistance to a person with a chronic illness or disability. Long-term care measures and policies cannot take place without taking into account the quantitatively crucial role played by informal caregivers. We use the European Health Interview Survey (EHIS), the European Quality of Life Survey (EQLS), and the Study on Health and Ageing in Europe (SHARE) to measure the prevalence of informal caregivers in the European population, and analyze associated socio-demographic factors. This rate ranges between about 13 percent in Portugal and Spain, and more than 22 percent in Luxembourg, Belgium, and Denmark. It declines in older age groups and, on average, is lower in men than in women in all countries studied, and lower among the poorly educated compared to those with higher levels of education. However, large variance was observed in the average share of informal caregivers for most countries between the three surveys. Our findings, estimated through the three surveys, reveal common trends, but also a series of disparities. Additional research will be needed to enable policy makers to access a richer and more harmonized body of data, allowing them to adopt truly evidence-based and targeted policies and interventions in this field.</w:t>
      </w:r>
    </w:p>
    <w:p>
      <w:pPr/>
      <w:r>
        <w:rPr>
          <w:b/>
        </w:rPr>
        <w:t>POSSIBLE 2020:</w:t>
      </w:r>
      <w:r>
        <w:t xml:space="preserve"> Physical Inactivity among Ghanaians in Ghana and Ghanaian Migrants in Europe — https://doi.org/10.1249/mss.0000000000002357</w:t>
      </w:r>
    </w:p>
    <w:p>
      <w:pPr/>
      <w:r>
        <w:rPr>
          <w:b/>
        </w:rPr>
        <w:t>Shared claim-specific concepts:</w:t>
      </w:r>
      <w:r>
        <w:t xml:space="preserve"> findings, among, three; EU scope visible. This is a provisional connection, not an outcome finding.</w:t>
      </w:r>
    </w:p>
    <w:p>
      <w:pPr>
        <w:pStyle w:val="SourceNote"/>
      </w:pPr>
      <w:r>
        <w:rPr>
          <w:b/>
        </w:rPr>
        <w:t>Available abstract (not full text):</w:t>
      </w:r>
      <w:r>
        <w:t xml:space="preserve"> PURPOSE: There is a paucity of data on physical activity (PA) among migrants from sub-Saharan Africa, yet physical inactivity is a key risk factor for noncommunicable diseases. We examined the levels of physical inactivity and its determinants among Ghanaians in different geographical locations. METHODS: We used the Research on Obesity and Diabetes among African Migrants data of Ghanaian adults (n = 4760) age 25-70 yr in rural and urban Ghana and three European cities (Amsterdam, London, and Berlin). Using total physical activity metabolic equivalent of task, physical inactivity was defined as total physical activity metabolic equivalent of task minutes per week less than 600. Logistic regression was used to examine the differences in the levels and the determinants of physical inactivity across sites. RESULTS: Physical inactivity was higher among Ghanaian migrants (14.6% in Amsterdam, 24.1% in Berlin, and 36.6% in London) and urban Ghanaians (29.0%) compared with rural Ghanaians (11.2%). After adjustment for covariates (age, sex, education, health status, smoking status, body mass index, and social network) using rural Ghanaians as the comparator group, the odds ratios for physical inactivity in men ranged from 3.67 (95% confidence interval, 2.19-6.16) in urban Ghanaians to 10.37 (5.96-18.02) in London Ghanaians, and from 3.27 (2.46-4.35) in urban Ghanaians to 4.41 (3.12-6.22)</w:t>
      </w:r>
    </w:p>
    <w:p>
      <w:pPr>
        <w:pStyle w:val="Heading2"/>
      </w:pPr>
      <w:r>
        <w:t>729.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2023:</w:t>
      </w:r>
      <w:r>
        <w:t xml:space="preserve"> Farmland practices are driving bird population decline across Europe — https://doi.org/10.1073/pnas.2216573120</w:t>
      </w:r>
    </w:p>
    <w:p>
      <w:pPr/>
      <w:r>
        <w:rPr>
          <w:b/>
        </w:rPr>
        <w:t>Shared claim-specific concepts:</w:t>
      </w:r>
      <w:r>
        <w:t xml:space="preserve"> decline, number,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2021:</w:t>
      </w:r>
      <w:r>
        <w:t xml:space="preserve"> Fiscal Policy, Consumption and Current Account in the European Countries — https://doi.org/10.5281/zenodo.4686796</w:t>
      </w:r>
    </w:p>
    <w:p>
      <w:pPr/>
      <w:r>
        <w:rPr>
          <w:b/>
        </w:rPr>
        <w:t>Shared claim-specific concepts:</w:t>
      </w:r>
      <w:r>
        <w:t xml:space="preserve"> current, average, decline; EU scope visible. This is a provisional connection, not an outcome finding.</w:t>
      </w:r>
    </w:p>
    <w:p>
      <w:pPr>
        <w:pStyle w:val="SourceNote"/>
      </w:pPr>
      <w:r>
        <w:rPr>
          <w:b/>
        </w:rPr>
        <w:t>Available abstract (not full text):</w:t>
      </w:r>
      <w:r>
        <w:t xml:space="preserve"> This paper explores the relationship between fiscal deficit, trade deficit and private consumption in European countries in the years 1970-2010. The aim of the study is to test empirically the validity and rationale of the Keynesian proposition (conventional view or Twin Deficits hypothesis) and the Ricardian Equivalence hypothesis, as well as to analyze the relationship between fiscal policy and private consumption. The empirical findings of our study show mixed results. In fact, static panel data estimates suggest that a one per cent increase in fiscal deficit/GDP ratio tends to deteriorate the current account/GDP ratio of 0.21 per cent, although it increases the private consumption of 0.21 per cent. Furthermore, the dynamic estimates largely depend on the estimator chosen, since the GMM-Dif estimates show a significant effect of fiscal deficit both on trade balance and on private consumption, in line with TD hypothesis; on the contrary, GMM-Sys estimator suggests that these effects are irrelevant, supporting RE hypothesis. With regard to the former estimates, we observed that each euro rise in fiscal deficit is associated, on average, with a 22 cents decline in the current account, while the estimated rise in private consumption is smaller (11 cents). Finally, Granger causality tests show mixed results.</w:t>
      </w:r>
    </w:p>
    <w:p>
      <w:pPr/>
      <w:r>
        <w:rPr>
          <w:b/>
        </w:rPr>
        <w:t>POSSIBLE 2020:</w:t>
      </w:r>
      <w:r>
        <w:t xml:space="preserve"> European bird declines: Do we need to rethink approaches to the management of abundant generalist predators? — https://doi.org/10.1111/1365-2664.13695</w:t>
      </w:r>
    </w:p>
    <w:p>
      <w:pPr/>
      <w:r>
        <w:rPr>
          <w:b/>
        </w:rPr>
        <w:t>Shared claim-specific concepts:</w:t>
      </w:r>
      <w:r>
        <w:t xml:space="preserve"> current, decline, however, not; EU scope visible. This is a provisional connection, not an outcome finding.</w:t>
      </w:r>
    </w:p>
    <w:p>
      <w:pPr>
        <w:pStyle w:val="SourceNote"/>
      </w:pPr>
      <w:r>
        <w:rPr>
          <w:b/>
        </w:rPr>
        <w:t>Available abstract (not full text):</w:t>
      </w:r>
      <w:r>
        <w:t xml:space="preserve"> Abstract Bird species are declining across Europe. Current European policy, that is, the Birds and Habitats Directives, focus on habitat management as a way of halting the declines. This paper explores the role of predation in causing bird population declines and asks if we need to reconsider our approach to the management of generalist predators. We analysed bird population trends and distribution changes across Europe, Britain and Ireland, reflecting an increasing gradient of generalist predator abundance (principally red fox Vulpes vulpes and species of the family Corvidae). We tested if ground‐nesting bird species, considered more vulnerable to predation, were in greater decline compared to other nesting strategies. We also compared Annex I designated species to non‐designated species as a proxy for habitat management. We found that across Europe, 74% of ground‐nesting bird species were in decline, compared to 41% of other species. This was especially evident in Britain, where the pattern was 66% compared to 31%, and in Ireland, 71% compared to 20%. Ground‐nesting species were significantly more likely to be declining than other species. These patterns are consistent with the idea that population declines are at least partially related to the increased abundance of generalist predators. In Britain, ground‐nesting species were less likely to be in decline if covered by Annex</w:t>
      </w:r>
    </w:p>
    <w:p>
      <w:pPr/>
      <w:r>
        <w:rPr>
          <w:b/>
        </w:rPr>
        <w:t>POSSIBLE 2020:</w:t>
      </w:r>
      <w:r>
        <w:t xml:space="preserve"> Poland as the country with the steepest decline in per capita cigarette consumption in Europe — https://doi.org/10.18332/tpc/128479</w:t>
      </w:r>
    </w:p>
    <w:p>
      <w:pPr/>
      <w:r>
        <w:rPr>
          <w:b/>
        </w:rPr>
        <w:t>Shared claim-specific concepts:</w:t>
      </w:r>
      <w:r>
        <w:t xml:space="preserve"> average, decline, number; EU scope visible. This is a provisional connection, not an outcome finding.</w:t>
      </w:r>
    </w:p>
    <w:p>
      <w:pPr>
        <w:pStyle w:val="SourceNote"/>
      </w:pPr>
      <w:r>
        <w:rPr>
          <w:b/>
        </w:rPr>
        <w:t>Available abstract (not full text):</w:t>
      </w:r>
      <w:r>
        <w:t xml:space="preserve"> Background In recent years, we have seen the publication of several large studies and surveys allowing us to trace the changes in the exposure of European populations to tobacco. These included a publication on tobacco smoking in the European Union1, a Global Burden of Disease analysis2 and estimates of cigarette consumption for 713. Objectives To summarise the existing state of knowledge on cigarette consumption and smoking prevalence in European countries. To explore and analyse in-depth the case of Poland. Methods A ranking table and analysis of cigarette consumption and smoking prevalence in European countries between 1970 and 2015 were prepared. Results In the early 1990s, during political change in Eastern Europe, Poland had the highest per capita cigarette consumption in Europe (almost 4000 per annum) one of the highest smoking prevalence levels in the world (70% in men and 30% in women). After introducing wide-ranging tobacco control measures, Poland experienced a steady decline in cigarette consumption and smoking prevalence. The pace of decline in the number of cigarettes consumed per capita per annum was fastest in Poland and reached less than 1500 cigarettes per capita per annum in 2015. Currently, Poland is an average European country when it comes to smoking rates, with a prevalence of 26% in men and 17% in women. Conclusions The case of Poland illustrates that ap</w:t>
      </w:r>
    </w:p>
    <w:p>
      <w:pPr/>
      <w:r>
        <w:rPr>
          <w:b/>
        </w:rPr>
        <w:t>POSSIBLE 2020:</w:t>
      </w:r>
      <w:r>
        <w:t xml:space="preserve"> Smoking epidemic in Europe in the 21st century — https://doi.org/10.1136/tobaccocontrol-2020-055658</w:t>
      </w:r>
    </w:p>
    <w:p>
      <w:pPr/>
      <w:r>
        <w:rPr>
          <w:b/>
        </w:rPr>
        <w:t>Shared claim-specific concepts:</w:t>
      </w:r>
      <w:r>
        <w:t xml:space="preserve"> average, decline, reach; EU scope visible. This is a provisional connection, not an outcome finding.</w:t>
      </w:r>
    </w:p>
    <w:p>
      <w:pPr>
        <w:pStyle w:val="SourceNote"/>
      </w:pPr>
      <w:r>
        <w:rPr>
          <w:b/>
        </w:rPr>
        <w:t>Available abstract (not full text):</w:t>
      </w:r>
      <w:r>
        <w:t xml:space="preserve"> OBJECTIVE: To estimate smoking-attributable mortality in the long-term future in 29 European countries using a novel data-driven forecasting approach that integrates the wave pattern of the smoking epidemic and the cohort dimension. METHODS: We estimated and forecasted age-specific and age-standardised smoking-attributable mortality fractions (SAMF) and 95% projection intervals for 29 European countries by sex, 1950-2100, using age-period-cohort modelling with a generalised logit link function. We projected the (decelerating) period increases (women) by a quadratic curve to obtain future declines, and extrapolated the past period decline (men). In addition, we extrapolated the recent cohort trend. RESULTS: SAMF among men are projected to decline from, on average, 25% in 2014 (11% (Sweden)-41% (Hungary)) to 11% in 2040 (range: 6.3%-15.4%), 7% in 2065 (range: 5.9%-9.4%) and 6% in 2100. SAMF among women in 21 non-Eastern European countries, currently at an average of 16%, are projected to reach peak levels in 2013 (Northern Europe), 2019 (Western Europe), 2027 (Greece, Italy) and 2022 (Central Europe), with maximum levels of, on average, 17% (8% (Greece)-28% (Denmark)), and to decline to 10% in 2040 (range: 4%-20%), 5% in 2065 (range: 3.5%-7.6%) and 4% in 2100. For women, a short-term shift in the peak of the inverse U-shaped age pattern to higher ages is projected, and crossovers</w:t>
      </w:r>
    </w:p>
    <w:p>
      <w:pPr/>
      <w:r>
        <w:rPr>
          <w:b/>
        </w:rPr>
        <w:t>POSSIBLE 2020:</w:t>
      </w:r>
      <w:r>
        <w:t xml:space="preserve"> Decline of depressive symptoms in Europe: differential trends across the lifespan — https://doi.org/10.1007/s00127-020-01979-6</w:t>
      </w:r>
    </w:p>
    <w:p>
      <w:pPr/>
      <w:r>
        <w:rPr>
          <w:b/>
        </w:rPr>
        <w:t>Shared claim-specific concepts:</w:t>
      </w:r>
      <w:r>
        <w:t xml:space="preserve"> decline, however, not; EU scope visible. This is a provisional connection, not an outcome finding.</w:t>
      </w:r>
    </w:p>
    <w:p>
      <w:pPr>
        <w:pStyle w:val="SourceNote"/>
      </w:pPr>
      <w:r>
        <w:rPr>
          <w:b/>
        </w:rPr>
        <w:t>Available abstract (not full text):</w:t>
      </w:r>
      <w:r>
        <w:t xml:space="preserve"> PURPOSE: We examined changes in the burden of depressive symptoms between 2006 and 2014 in 18 European countries across different age groups. METHODS: We used population-based data drawn from the European Social Survey (N = 64.683, 54% female, age 14-90 years) covering 18 countries (Austria, Belgium, Denmark, Estonia, Finland, France, Germany, Great Britain, Hungary, Ireland, The Netherlands, Norway, Poland, Portugal, Slovenia, Spain, Sweden, Switzerland) from 2006 to 2014. Depressive symptoms were measured via the CES-D 8. Generalized additive models, multilevel regression, and linear regression analyses were conducted. RESULTS: We found a general decline in CES-D 8 scale scores in 2014 as compared with 2006, with only few exceptions in some countries. This decline was most strongly pronounced in older adults, less strongly in middle-aged adults, and least in young adults. Including education, health and income partially explained the decline in older but not younger or middle-aged adults. CONCLUSIONS: Burden of depressive symptoms decreased in most European countries between 2006 and 2014. However, the decline in depressive symptoms differed across age groups and was most strongly pronounced in older adults and least in younger adults. Future studies should investigate the mechanisms that contribute to these overall and differential changes over time in depressive symptoms.</w:t>
      </w:r>
    </w:p>
    <w:p>
      <w:pPr>
        <w:pStyle w:val="Heading2"/>
      </w:pPr>
      <w:r>
        <w:t>730.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2023:</w:t>
      </w:r>
      <w:r>
        <w:t xml:space="preserve"> Perspectives on trade and structural transformation — https://doi.org/10.1080/13600818.2023.2279665</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 models to advance our understanding of structural change.</w:t>
      </w:r>
    </w:p>
    <w:p>
      <w:pPr/>
      <w:r>
        <w:rPr>
          <w:b/>
        </w:rPr>
        <w:t>POSSIBLE 2023:</w:t>
      </w:r>
      <w:r>
        <w:t xml:space="preserve"> Technical Barriers to Trade and China's Agricultural Products Export - Taking Garlic Export as an Example — https://doi.org/10.38007/ijbmet.2023.040105</w:t>
      </w:r>
    </w:p>
    <w:p>
      <w:pPr/>
      <w:r>
        <w:rPr>
          <w:b/>
        </w:rPr>
        <w:t>Shared claim-specific concepts:</w:t>
      </w:r>
      <w:r>
        <w:t xml:space="preserve"> taking, trade, perspective, states; EU scope visible. This is a provisional connection, not an outcome finding.</w:t>
      </w:r>
    </w:p>
    <w:p>
      <w:pPr>
        <w:pStyle w:val="SourceNote"/>
      </w:pPr>
      <w:r>
        <w:rPr>
          <w:b/>
        </w:rPr>
        <w:t>Available abstract (not full text):</w:t>
      </w:r>
      <w:r>
        <w:t xml:space="preserve"> Firstly, this paper analyzes the impact mechanism of TBT on agricultural exports; Secondly, based on the characteristics of technical barriers to trade in the United States, the European Union, Japan and South Korea, this paper analyzes the export situation of China's agricultural products, the number of batches detained and recalled, the types of blocked products, and the reasons for the blocked products.The research finds that the overall situation of China's agricultural products encountering technical barriers to trade has improved, but the situation of encountering green barriers is increasingly serious.Therefore, this paper selects the impact of green trade barriers on garlic export as an example to analyze the reasons for China's garlic export encountering green barriers and propose countermeasures.Finally, from the perspective of actively utilizing the WTO Agreement and the dispute settlement mechanism, taking countermeasures, improving the quality level and innovation ability, and establishing an early warning mechanism, specific suggestions were put forward.</w:t>
      </w:r>
    </w:p>
    <w:p>
      <w:pPr/>
      <w:r>
        <w:rPr>
          <w:b/>
        </w:rPr>
        <w:t>POSSIBLE 2023:</w:t>
      </w:r>
      <w:r>
        <w:t xml:space="preserve"> The role of market concentration in the agrifood industry — https://doi.org/10.2499/p15738coll2.136567</w:t>
      </w:r>
    </w:p>
    <w:p>
      <w:pPr/>
      <w:r>
        <w:rPr>
          <w:b/>
        </w:rPr>
        <w:t>Shared claim-specific concepts:</w:t>
      </w:r>
      <w:r>
        <w:t xml:space="preserve"> agrifood, general, implications; EU scope not established. This is a provisional connection, not an outcome finding.</w:t>
      </w:r>
    </w:p>
    <w:p>
      <w:pPr>
        <w:pStyle w:val="SourceNote"/>
      </w:pPr>
      <w:r>
        <w:rPr>
          <w:b/>
        </w:rPr>
        <w:t>Available abstract (not full text):</w:t>
      </w:r>
      <w:r>
        <w:t xml:space="preserve"> The role of market concentration and potential market power exertion in the agri-food industry is a topic of longstanding interest and concern to policymakers, stakeholders, and researchers. This study provides a comprehensive overview of recent trends in market concentration upstream, midstream, and downstream the agri-food industry at the global, regional, and country level, and assesses how and to what extent concentration could be affecting market conduct and performance of food systems in developed and developing countries. The analysis additionally discusses, to the extent detectable, implications of concentration, including vertical and horizontal integration that favor concentration, for food security and nutrition and environmental sustainability. While market concentration in the agri-food industry has increased across most segments, the evidence on market power exertion is inconclusive. Several knowledge and data gaps are identified and additional research is necessary to derive more general conclusions and policy recommendations.</w:t>
      </w:r>
    </w:p>
    <w:p>
      <w:pPr/>
      <w:r>
        <w:rPr>
          <w:b/>
        </w:rPr>
        <w:t>POSSIBLE 2023:</w:t>
      </w:r>
      <w:r>
        <w:t xml:space="preserve"> A constant market share analysis of the competitiveness of the Czech Republic's agrifood exports (2002-2020) to the European Union — https://doi.org/10.17221/248/2023-agricecon</w:t>
      </w:r>
    </w:p>
    <w:p>
      <w:pPr/>
      <w:r>
        <w:rPr>
          <w:b/>
        </w:rPr>
        <w:t>Shared claim-specific concepts:</w:t>
      </w:r>
      <w:r>
        <w:t xml:space="preserve"> trade, agrifood, current, general, states; EU scope visible. This is a provisional connection, not an outcome finding.</w:t>
      </w:r>
    </w:p>
    <w:p>
      <w:pPr>
        <w:pStyle w:val="SourceNote"/>
      </w:pPr>
      <w:r>
        <w:rPr>
          <w:b/>
        </w:rPr>
        <w:t>Available abstract (not full text):</w:t>
      </w:r>
      <w:r>
        <w:t xml:space="preserve"> We conducted a quantitative ex post analysis of the competitiveness of the Czech Republic’s agrifood exports to other European Union (EU) Member States between 2002 and 2020, using the constant market share (CMS) methodology. The application of this methodology to Czech agrifood exports is novel, as it allows for analysing the export competitiveness variation and its components. Although the findings are consistent with those of previous studies in which the investigators used alternative methodological approaches, we make three contributions to the existing literature. Firstly, the Czech Republic experienced an overall increase in its competitiveness in agrifood exports between 2002 and 2020. Secondly, the high territorial specialisation of Czech agrifood exports to other EU Member States, combined with a general slowdown in the growth of EU markets, has had a significant effect on the growth dynamics of the country’s agricultural exports. Thirdly, there is a problem with the specialisation profile of Czech agrifood exports in terms of commodity and territorial structure. The current composition does not allow the Czech Republic to reach its full potential for agrifood exports. These findings will help industrial, agricultural and trade policymakers to assess the nature of liberalisation and transformation of the Czech Republic’s agricultural sectors, with a view to improving </w:t>
      </w:r>
    </w:p>
    <w:p>
      <w:pPr/>
      <w:r>
        <w:rPr>
          <w:b/>
        </w:rPr>
        <w:t>POSSIBLE 2023:</w:t>
      </w:r>
      <w:r>
        <w:t xml:space="preserve"> From farm to table: Agrifood systems and trade challenges in the Southern Cone — https://doi.org/10.2499/p15738coll2.137016</w:t>
      </w:r>
    </w:p>
    <w:p>
      <w:pPr/>
      <w:r>
        <w:rPr>
          <w:b/>
        </w:rPr>
        <w:t>Shared claim-specific concepts:</w:t>
      </w:r>
      <w:r>
        <w:t xml:space="preserve"> trade, agrifood, current, different; EU scope not established. This is a provisional connection, not an outcome finding.</w:t>
      </w:r>
    </w:p>
    <w:p>
      <w:pPr>
        <w:pStyle w:val="SourceNote"/>
      </w:pPr>
      <w:r>
        <w:rPr>
          <w:b/>
        </w:rPr>
        <w:t>Available abstract (not full text):</w:t>
      </w:r>
      <w:r>
        <w:t xml:space="preserve"> Food production includes a complex and varied set of agricultural and nonagricultural activities, involving a growing number of sectors and actors that influence the way food is produced, processed, distributed, and consumed. Recently, and especially after the 2021 United Nation Food Systems Summit (UNFSS), it has been proposed that this conglomerate of activities and socioeconomic actors be jointly identified as food systems. National food systems, which exist in each country, are interrelated through trade and other factors with regional food systems and finally with the global food system.\nThe concept of food systems has been adopted as a useful tool for understanding the multiple and complex interrelations between different production, distribution, and trade partners and for adjusting policy analysis and design to this complex world. The discussions and documentation prepared during the UNFSS process brought to public attention not only the utility and complexity of this concept but also some of the shortcomings of current food production practices. The summit also highlighted an urgent need to establish processes for identifying such shortcomings, their relative importance, and possible measures that would lead to the transformation of national food systems and the global food system.</w:t>
      </w:r>
    </w:p>
    <w:p>
      <w:pPr/>
      <w:r>
        <w:rPr>
          <w:b/>
        </w:rPr>
        <w:t>POSSIBLE 2023:</w:t>
      </w:r>
      <w:r>
        <w:t xml:space="preserve"> Portuguese Agrifood Sector Resilience: An Analysis Using Structural Breaks Applied to International Trade — https://doi.org/10.3390/agriculture13091699</w:t>
      </w:r>
    </w:p>
    <w:p>
      <w:pPr/>
      <w:r>
        <w:rPr>
          <w:b/>
        </w:rPr>
        <w:t>Shared claim-specific concepts:</w:t>
      </w:r>
      <w:r>
        <w:t xml:space="preserve"> trade, agrifood, different; EU scope visible. This is a provisional connection, not an outcome finding.</w:t>
      </w:r>
    </w:p>
    <w:p>
      <w:pPr>
        <w:pStyle w:val="SourceNote"/>
      </w:pPr>
      <w:r>
        <w:rPr>
          <w:b/>
        </w:rPr>
        <w:t>Available abstract (not full text):</w:t>
      </w:r>
      <w:r>
        <w:t xml:space="preserve"> In the last two decades, Portugal suffered the effects of two global crises, the financial crisis and the COVID-19 pandemic, as well as the Common Agriculture Policy reforms. These crises had a great impact on the Portuguese economy, but it is completely unclear how they affected the dynamics of the Portuguese agrifood sector. This study’s objective is to analyze the resilience of this sector to European and global socks, testing the effects on international trade. Secondary data from the Portuguese Statistics Institute were used for the exports and imports trade series of animal and vegetable products and food industries from 2000 to 2020. The methodology was based on the structural xtbreak model, stability analysis, and tests for structural breaks. Some volatility was observed in the trade series, particularly in imports, without consistency among years, trade sectors, or imports versus exports trade. In the case of exports, one or two structural breaks in the different sectors occurred in different years. The most relevant dynamics occurred after the sovereign debt crisis. It was concluded that CAP reforms and global crises seem to not have caused new relevant dynamics in the Portuguese international agrifood trade. This revealed the resilience of the sector to external shocks.</w:t>
      </w:r>
    </w:p>
    <w:p>
      <w:pPr/>
      <w:r>
        <w:rPr>
          <w:b/>
        </w:rPr>
        <w:t>POSSIBLE 2023:</w:t>
      </w:r>
      <w:r>
        <w:t xml:space="preserve"> Modeling Actions for Transforming Agrifood Systems — https://doi.org/10.1007/978-3-031-15703-5_7</w:t>
      </w:r>
    </w:p>
    <w:p>
      <w:pPr/>
      <w:r>
        <w:rPr>
          <w:b/>
        </w:rPr>
        <w:t>Shared claim-specific concepts:</w:t>
      </w:r>
      <w:r>
        <w:t xml:space="preserve"> agrifood, different; EU scope not established. This is a provisional connection, not an outcome finding.</w:t>
      </w:r>
    </w:p>
    <w:p>
      <w:pPr>
        <w:pStyle w:val="SourceNote"/>
      </w:pPr>
      <w:r>
        <w:rPr>
          <w:b/>
        </w:rPr>
        <w:t>Available abstract (not full text):</w:t>
      </w:r>
      <w:r>
        <w:t xml:space="preserve"> Abstract We modeled six interventions to study the scenarios’ impact on agrifood systems, undernutrition, access to healthy diets, and the environment. We also assessed the interventions as a group to consider the impact of synergies and complementarities. Our baseline showed that 690 million people were undernourished, and 3 billion people could not afford healthy diets in 2019. The first finding confirmed that ending chronic hunger at a 5% level by 2030 is possible, with key structural interventions to ramp up agrifood systems’ efficiency. Through increased farm productivity and reduction of food loss and waste, the number of chronically hungry people could be cut by 314 million. In addition, 568 million people would be able to afford healthy diets by 2030. The cost of ending hunger represents 8% of the size of global food markets, a sum that can be mobilized and invested to generate impact through food value chains, national economies, and social safety nets. Furthermore, the use of well-targeted social safety nets could provide an additional 2.4 billion people with access to healthy diets. The second critical finding was that various interventions could create synergies. This would become apparent through addressing different causes of hunger. Moreover, aiming to minimize the total cost of interventions and seeking, at the same time, the highest return interventions in term</w:t>
      </w:r>
    </w:p>
    <w:p>
      <w:pPr/>
      <w:r>
        <w:rPr>
          <w:b/>
        </w:rPr>
        <w:t>POSSIBLE 2023:</w:t>
      </w:r>
      <w:r>
        <w:t xml:space="preserve"> Trends Shaping the Future of Agrifood — https://doi.org/10.5772/intechopen.111608</w:t>
      </w:r>
    </w:p>
    <w:p>
      <w:pPr/>
      <w:r>
        <w:rPr>
          <w:b/>
        </w:rPr>
        <w:t>Shared claim-specific concepts:</w:t>
      </w:r>
      <w:r>
        <w:t xml:space="preserve"> agrifood, current; EU scope not established. This is a provisional connection, not an outcome finding.</w:t>
      </w:r>
    </w:p>
    <w:p>
      <w:pPr>
        <w:pStyle w:val="SourceNote"/>
      </w:pPr>
      <w:r>
        <w:rPr>
          <w:b/>
        </w:rPr>
        <w:t>Available abstract (not full text):</w:t>
      </w:r>
      <w:r>
        <w:t xml:space="preserve"> In agriculture innovation is the main driver of productivity growth. Innovative technologies and methods have to help increase firms’ productivity in a sustainable way. Technology diffusion is important as developing new technologies for sustainable production processes. Current innovations can lead to define the composition of foods with impoverishment or enrichment of nutritional and sensory characteristics. New technologies play a central role in adapting agricultural practices to environmental change. New agricultural practices help to preserve environmental integrity. Competition for an alternative use of natural resources is increasing and agricultural practices and technologies will have to adapt to climate change and more extreme weather-related conditions. This multifunctional approach needs to be directed towards increasing knowledge about the relationship between microstructure, process, product characteristics and technological innovation to protect the quality and origin of products. Innovations are not enough if they are not accompanied by a regulatory environment conducive to business development. Think first of all about the issues of security, rationalization of controls and the embargo of bureaucracy. But also, to the sustainability of food production and the need for common rules on supply conditions in crucial international commodity markets for the developm</w:t>
      </w:r>
    </w:p>
    <w:p>
      <w:pPr/>
      <w:r>
        <w:rPr>
          <w:b/>
        </w:rPr>
        <w:t>POSSIBLE 2022:</w:t>
      </w:r>
      <w:r>
        <w:t xml:space="preserve"> role of trade unions in sport - the essence, features and perspectives — https://doi.org/10.12775/jehs.2022.12.10.009</w:t>
      </w:r>
    </w:p>
    <w:p>
      <w:pPr/>
      <w:r>
        <w:rPr>
          <w:b/>
        </w:rPr>
        <w:t>Shared claim-specific concepts:</w:t>
      </w:r>
      <w:r>
        <w:t xml:space="preserve"> taking, trade, perspective; EU scope visible. This is a provisional connection, not an outcome finding.</w:t>
      </w:r>
    </w:p>
    <w:p>
      <w:pPr>
        <w:pStyle w:val="SourceNote"/>
      </w:pPr>
      <w:r>
        <w:rPr>
          <w:b/>
        </w:rPr>
        <w:t>Available abstract (not full text):</w:t>
      </w:r>
      <w:r>
        <w:t xml:space="preserve"> Trade unions play an important role in organizing activities in the field of labour law, although some representatives of the doctrine believe that the ruling powers of trade unions are in fact administrative in nature. The role of trade unions is important in all sectors of the economy, including sports. In many European countries, trade unions in sport play a key role in ensuring that players’ right are respected. The potential of trade unions in Poland is still not fully used. The aim of this article is to analyse the role of trade unions in sport by determining their features and perspectives, in particular taking into account the extension of the subjective scope of the coalition right after the amendment to the Trade Unions Act. The deliberations will lead to an answer to the question: Is it finally time for trade unions in the professional sport sector or is it still a distant perspective? The article uses the dogmatic and legal method, and also indicates foreign solutions in relation to the comparative method. The considerations present legal solutions in the USA, England and the Netherlands. The deliberations concern both labor law and sports law. The main conclusion from the conducted research is that there are formal and legal possibilities for trade unions to play a more important role in the medium and long term, however, there is no specific entity or group of ent</w:t>
      </w:r>
    </w:p>
    <w:p>
      <w:pPr/>
      <w:r>
        <w:rPr>
          <w:b/>
        </w:rPr>
        <w:t>POSSIBLE 2021:</w:t>
      </w:r>
      <w:r>
        <w:t xml:space="preserve"> Perspectives on Trade and Structural Transformation — https://doi.org/10.3386/w28720</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macro-models to advance our understanding of structural change.</w:t>
      </w:r>
    </w:p>
    <w:p>
      <w:pPr>
        <w:pStyle w:val="Heading2"/>
      </w:pPr>
      <w:r>
        <w:t>731.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r>
        <w:rPr>
          <w:b/>
        </w:rPr>
        <w:t>POSSIBLE 2025:</w:t>
      </w:r>
      <w:r>
        <w:t xml:space="preserve"> THE EFFECTS OF MIGRATION ON FAMILY DYNAMICS: A CASE STUDY OF IMMIGRANT FAMILIES IN EUROPE — https://openalex.org/W7220292679</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paper examines the impact of migration on family structures and intergenerational relationships among immigrant populations in Europe, with a focus on how family policies and socio-cultural contexts shape these dynamics. Using data from longitudinal surveys and international datasets, the study investigates how migration influences fertility patterns, work-family balance, and the living arrangements of immigrant families. The research reveals that while host-country policies can facilitate the integration of immigrant families, they often present challenges, particularly for women, due to gendered policies and cultural barriers. The study underscores the importance of adapting family policies to the diverse needs of immigrant populations, promoting a more inclusive approach to integration that takes into account the intersection of migration, gender, and cultural norms.</w:t>
      </w:r>
    </w:p>
    <w:p>
      <w:pPr/>
      <w:r>
        <w:rPr>
          <w:b/>
        </w:rPr>
        <w:t>POSSIBLE 2025:</w:t>
      </w:r>
      <w:r>
        <w:t xml:space="preserve"> #3416 Development and validation of a prediction model for progression of CKD in European children — https://doi.org/10.1093/ndt/gfaf116.0556</w:t>
      </w:r>
    </w:p>
    <w:p>
      <w:pPr/>
      <w:r>
        <w:rPr>
          <w:b/>
        </w:rPr>
        <w:t>Shared claim-specific concepts:</w:t>
      </w:r>
      <w:r>
        <w:t xml:space="preserve"> data, used, regarding, objective; EU scope visible. This is a provisional connection, not an outcome finding.</w:t>
      </w:r>
    </w:p>
    <w:p>
      <w:pPr>
        <w:pStyle w:val="SourceNote"/>
      </w:pPr>
      <w:r>
        <w:rPr>
          <w:b/>
        </w:rPr>
        <w:t>Available abstract (not full text):</w:t>
      </w:r>
      <w:r>
        <w:t xml:space="preserve"> Abstract Background and Aims Families and children with chronic kidney disease (CKD) often request prognostic information regarding their child's condition in order to understand its implications and plan for the future. However, prediction of when a child will progress to kidney failure and need kidney replacement therapy (KRT) remains challenging, which complicates planning for dialysis access and transplant. The Kidney Failure Risk Equation (KFRE) has been shown to accurately discriminate risk of progression to kidney failure in children with mild to moderate CKD in the US but has some pitfalls. Our objective was to develop and validate a new easy-to-operate prediction model for progression of CKD in European children. Method We used data from the Cardiovascular Comorbidity in Children with CKD (4C) study for model development and from the ESCAPE trial for model validation. A new model (called « 4C equation ») was developed based on clinically relevant variables and variable selection using Random Survival Forest. The primary predictor was the new model which provides estimates of the risk of KRT over a 1-, 2-, 3-, and 4-year horizon. The model is a super landmark Cox model including 8 variables accounting for the last available value of all predictors at each landmark time (0,1,2,3,4 years). Comparisons were made with the KFRE. AUCs were used to compare discrimination of th</w:t>
      </w:r>
    </w:p>
    <w:p>
      <w:pPr/>
      <w:r>
        <w:rPr>
          <w:b/>
        </w:rPr>
        <w:t>POSSIBLE 2024:</w:t>
      </w:r>
      <w:r>
        <w:t xml:space="preserve"> Elucidating the migrations of European seabass from the southern north sea using mark-recapture data, acoustic telemetry and data storage tags — https://doi.org/10.1038/s41598-024-63347-7</w:t>
      </w:r>
    </w:p>
    <w:p>
      <w:pPr/>
      <w:r>
        <w:rPr>
          <w:b/>
        </w:rPr>
        <w:t>Shared claim-specific concepts:</w:t>
      </w:r>
      <w:r>
        <w:t xml:space="preserve"> data, migration, population, countries; EU scope visible. This is a provisional connection, not an outcome finding.</w:t>
      </w:r>
    </w:p>
    <w:p>
      <w:pPr>
        <w:pStyle w:val="SourceNote"/>
      </w:pPr>
      <w:r>
        <w:rPr>
          <w:b/>
        </w:rPr>
        <w:t>Available abstract (not full text):</w:t>
      </w:r>
      <w:r>
        <w:t xml:space="preserve"> The movement ecology of European seabass, Dicentrarchus labrax, remains poorly understood, especially in the northern ranges of its distribution. To investigate migration patterns of seabass from the southern North Sea, we combined data from different projects from four countries using various tagging techniques. This resulted in 146 recaptures (out of 5598 externally marked seabass), 138 detected animals (out of 162 seabass fitted with an acoustic transmitter) and 76 archived depth and temperature series (out of 323 seabass with an archival tag). Using geolocation modelling, we distinguished different migration strategies, whereby individual fish migrated to the eastern English Channel (15.1%), the western English Channel (28.3%), the Celtic Sea and the norther part of the Bay of Biscay (17.0%), or stayed in the North Sea (39.6%). A high number of seabass exhibited fidelity to the North Sea (90.5% of recaptures, 55.3% for acoustic transmitters and 44.7% of archival tags). Although seabass are generally considered to migrate southwards in winter, a large number of individuals (n = 62) were observed in the southern North Sea, where spawning might potentially occur in a particular deep location along the coast of Norfolk in the UK. Our results highlight the need to consider fine-scaled population structuring in fisheries assessment, and indicate that current seasonal fisheries cl</w:t>
      </w:r>
    </w:p>
    <w:p>
      <w:pPr/>
      <w:r>
        <w:rPr>
          <w:b/>
        </w:rPr>
        <w:t>POSSIBLE 2023:</w:t>
      </w:r>
      <w:r>
        <w:t xml:space="preserve"> Using Registration Data to Measure International and Internal Migration in the European Union: S. Makaryan — https://doi.org/10.1007/978-3-031-19631-7_41</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Mapping and modelling the main determinants of Migration Flows at the NUTS2 Level in European Union using Spatial Data Analysis Techniques — https://doi.org/10.2478/mmcks-2023-0032</w:t>
      </w:r>
    </w:p>
    <w:p>
      <w:pPr/>
      <w:r>
        <w:rPr>
          <w:b/>
        </w:rPr>
        <w:t>Shared claim-specific concepts:</w:t>
      </w:r>
      <w:r>
        <w:t xml:space="preserve"> data, migration, flows, between, international, countries; EU scope visible. This is a provisional connection, not an outcome finding.</w:t>
      </w:r>
    </w:p>
    <w:p>
      <w:pPr>
        <w:pStyle w:val="SourceNote"/>
      </w:pPr>
      <w:r>
        <w:rPr>
          <w:b/>
        </w:rPr>
        <w:t>Available abstract (not full text):</w:t>
      </w:r>
      <w:r>
        <w:t xml:space="preserve"> Abstract Spatial data analysis approaches have grown in popularity in recent years as there has been an increased interest in studying migration at the regional level. We employed in our analysis the Nomenclature of Territorial Units for Statistics (NUTS) level, which offers a more thorough view of migratory patterns inside a nation as well as among EU countries.Using spatial data analytic tools, this research aims to investigate the key determinants of international migration at the NUTS2 level. Using data from the Eurostat database, we undertake an extensive analysis of migration movements in a sample of European Union countries. We apply spatial econometric models to examine the relationship between crude rate migration and other relevant variables as independent variables. Although the available data at the NUTS2 level of regional ranking are limited, we believe that we included the most comprehensive set of relevant variables in our analysis.Our study contributes to the existing literature on migration determinants by highlighting the importance of spatial analysis techniques in understanding migration factors at the NUTS2 level.</w:t>
      </w:r>
    </w:p>
    <w:p>
      <w:pPr>
        <w:pStyle w:val="Heading2"/>
      </w:pPr>
      <w:r>
        <w:t>732.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2024:</w:t>
      </w:r>
      <w:r>
        <w:t xml:space="preserve"> Reconceptualizing Interregionalism through Asia-Europe Meeting (ASEM): A Corpus-Assisted Critical Discourse Analysis — https://openalex.org/W4414920263</w:t>
      </w:r>
    </w:p>
    <w:p>
      <w:pPr/>
      <w:r>
        <w:rPr>
          <w:b/>
        </w:rPr>
        <w:t>Shared claim-specific concepts:</w:t>
      </w:r>
      <w:r>
        <w:t xml:space="preserve"> proposes, discursive, possible, outcomes; EU scope visible. This is a provisional connection, not an outcome finding.</w:t>
      </w:r>
    </w:p>
    <w:p>
      <w:pPr>
        <w:pStyle w:val="SourceNote"/>
      </w:pPr>
      <w:r>
        <w:rPr>
          <w:b/>
        </w:rPr>
        <w:t>Available abstract (not full text):</w:t>
      </w:r>
      <w:r>
        <w:t xml:space="preserve"> Asia-Europe Meeting (ASEM) was formed three decades ago to intensify European and Asian relations. Today, it constitutes the widest interregional dialogue mechanism covering 53 countries from Europe to Asia, and it is a special case for regionalism studies. The literature on ASEM discusses its scope, structure, means of cooperation, and possible future scenarios. Yet, the current studies lack an empirical data-based analysis of which themes shape cooperation processes, how regional and international issues reflect upon ASEM, and the extent of change in cooperation themes. In that regard, this study aims to examine ASEM to answer these questions. By using Corpus-Assisted Critical Discourse Analysis (CACDA), this research analyzes the chair’s statements from ASEM Summits between 1996 and 2021 to identify discursive themes, their chronological shifts, and their alignment with ASEM’s three pillars: political, economic, and socio-cultural. The research findings reveal that ASEM functions as an intergovernmental forum facilitating interregional dialogue on shared regional and global issues despite criticisms of lacking enforceable outcomes. The study underlines ASEM’s role in fostering dialogue between Asia and Europe and proposes reconceptualizing interregionalism as an integral component of multilateral governance.</w:t>
      </w:r>
    </w:p>
    <w:p>
      <w:pPr/>
      <w:r>
        <w:rPr>
          <w:b/>
        </w:rPr>
        <w:t>POSSIBLE 2023:</w:t>
      </w:r>
      <w:r>
        <w:t xml:space="preserve"> Reconceptualizing Violence in International and Comparative Education: Revisiting Galtung’s Framework — https://doi.org/10.1086/726372</w:t>
      </w:r>
    </w:p>
    <w:p>
      <w:pPr/>
      <w:r>
        <w:rPr>
          <w:b/>
        </w:rPr>
        <w:t>Shared claim-specific concepts:</w:t>
      </w:r>
      <w:r>
        <w:t xml:space="preserve"> proposes, form, about; EU scope not established. This is a provisional connection, not an outcome finding.</w:t>
      </w:r>
    </w:p>
    <w:p>
      <w:pPr>
        <w:pStyle w:val="SourceNote"/>
      </w:pPr>
      <w:r>
        <w:rPr>
          <w:b/>
        </w:rPr>
        <w:t>Available abstract (not full text):</w:t>
      </w:r>
      <w:r>
        <w:t xml:space="preserve"> Outside of a specialist literature, the study of violence occupies a marginal position within comparative and international education scholarship. A key contributing factor is the absence of a holistic conceptual framework that can capture the nature, extent and causes of violence in education. The article proposes such a framework, by updating Johan Galtung’s model of direct, structural and cultural violence and putting it into dialogue with more recent theoretical work from the social sciences and humanities. This dialogue affirms the importance of each form of violence and the interconnections between them but proposes a deeper appreciation of the depth ontology of violence and a reappraisal of Galtung’s ideas about the visibility and invisibilization of violence. The article explores the utility of the framework by using it to explore the so-called learning crisis, which it argues may be more accurately considered a crisis of violence.</w:t>
      </w:r>
    </w:p>
    <w:p>
      <w:pPr/>
      <w:r>
        <w:rPr>
          <w:b/>
        </w:rPr>
        <w:t>POSSIBLE 2022:</w:t>
      </w:r>
      <w:r>
        <w:t xml:space="preserve"> The right to a healthy environment: Reconceptualizing human rights in the face of climate change — https://doi.org/10.1111/reel.12430</w:t>
      </w:r>
    </w:p>
    <w:p>
      <w:pPr/>
      <w:r>
        <w:rPr>
          <w:b/>
        </w:rPr>
        <w:t>Shared claim-specific concepts:</w:t>
      </w:r>
      <w:r>
        <w:t xml:space="preserve"> reconceptualization, climate, face; EU scope not established. This is a provisional connection, not an outcome finding.</w:t>
      </w:r>
    </w:p>
    <w:p>
      <w:pPr>
        <w:pStyle w:val="SourceNote"/>
      </w:pPr>
      <w:r>
        <w:rPr>
          <w:b/>
        </w:rPr>
        <w:t>Available abstract (not full text):</w:t>
      </w:r>
      <w:r>
        <w:t xml:space="preserve"> Abstract There is hardly any doubt that climate change threatens the enjoyment of a wide range of human rights. Yet, in the absence of a distinct right to a healthy environment, a victim of climate change impacts would have to rely on existing rights to bring a claim. However, not only are these avenues not always successful or even sufficient to effectively and adequately compensate the victims, but they appear especially problematic in the context of climate change. This article explores the implications of the recognition of a stand‐alone substantive right to a healthy environment in the context of climate change. In doing so, it argues that such a recognition could trigger a paradigm shift that would facilitate the reconceptualization of human rights law to better adapt to the negative impacts of climate change, in particular by incorporating key environmental law principles in the human rights system.</w:t>
      </w:r>
    </w:p>
    <w:p>
      <w:pPr/>
      <w:r>
        <w:rPr>
          <w:b/>
        </w:rPr>
        <w:t>POSSIBLE 2022:</w:t>
      </w:r>
      <w:r>
        <w:t xml:space="preserve"> Reconceptualization of Inclusion through Anti-Bias Curriculum — https://doi.org/10.18357/jcs202220271</w:t>
      </w:r>
    </w:p>
    <w:p>
      <w:pPr/>
      <w:r>
        <w:rPr>
          <w:b/>
        </w:rPr>
        <w:t>Shared claim-specific concepts:</w:t>
      </w:r>
      <w:r>
        <w:t xml:space="preserve"> reconceptualization, discursive, construction; EU scope not established. This is a provisional connection, not an outcome finding.</w:t>
      </w:r>
    </w:p>
    <w:p>
      <w:pPr>
        <w:pStyle w:val="SourceNote"/>
      </w:pPr>
      <w:r>
        <w:rPr>
          <w:b/>
        </w:rPr>
        <w:t>Available abstract (not full text):</w:t>
      </w:r>
      <w:r>
        <w:t xml:space="preserve"> Tensions can arise when biased thoughts and practices are uncovered through discursive events in early years classrooms. This paper challenges the common practice of disregarding childhood curiosities in an attempt to ease tension and remove the risk of discomfort for some adults in caregiving and educating roles. Through a conceptual shift from a futurity of inclusion to an urgent call to action that problematizes the exclusion of nonhuman subjects within the curriculum, the construction and implementation of anti-bias curriculum is offered as a vehicle to the realization of holistically inclusive early learning spaces.</w:t>
      </w:r>
    </w:p>
    <w:p>
      <w:pPr/>
      <w:r>
        <w:rPr>
          <w:b/>
        </w:rPr>
        <w:t>POSSIBLE 2021:</w:t>
      </w:r>
      <w:r>
        <w:t xml:space="preserve"> Reconceptualizing STEM Education in China as Praxis: A Curriculum Turn — https://doi.org/10.3390/su13094961</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STEM education has drawn considerable international attention in recent decades. Current practices of STEM Education in China have shown that STEM is understood primarily as a policy-driven and economic problem. This paper challenges the reduced technical frameworks of STEM education and draws on the theoretical framework of the reconceptualization movement in the curriculum field. It aims to shift scientific or social science paradigms with languages of humanity to reapproach STEM education. STEM education is hence reconceptualized as praxis in its lived, ethical and historical dimensions. It would transform STEM education in China from being targeted for economic growth to attending to lived, nuanced and rich STEM experiences, structured by ethics and threaded by history. STEM teachers and teacher educators are advised to understand anew about STEM in their situatedness. STEM could serve as an opportunity to critically reflect on and research each discipline in greater depth with inter-disciplinary lenses. Instead of integrating science, technology, engineering and mathematics seamlessly to form omnipotent toolsets for the 21st-century workforce in China and on the international landscape, a reconceptualization of STEM as praxis could continue to generate more sustainable STEM education.</w:t>
      </w:r>
    </w:p>
    <w:p>
      <w:pPr/>
      <w:r>
        <w:rPr>
          <w:b/>
        </w:rPr>
        <w:t>POSSIBLE 2020:</w:t>
      </w:r>
      <w:r>
        <w:t xml:space="preserve"> Thinking Europe Otherwise: Lessons from the Caribbean — https://doi.org/10.1177/0011392120931139</w:t>
      </w:r>
    </w:p>
    <w:p>
      <w:pPr/>
      <w:r>
        <w:rPr>
          <w:b/>
        </w:rPr>
        <w:t>Shared claim-specific concepts:</w:t>
      </w:r>
      <w:r>
        <w:t xml:space="preserve"> reconceptualization, discursive, racialized; EU scope visible. This is a provisional connection, not an outcome finding.</w:t>
      </w:r>
    </w:p>
    <w:p>
      <w:pPr>
        <w:pStyle w:val="SourceNote"/>
      </w:pPr>
      <w:r>
        <w:rPr>
          <w:b/>
        </w:rPr>
        <w:t>Available abstract (not full text):</w:t>
      </w:r>
      <w:r>
        <w:t xml:space="preserve"> The article makes a case for Europe as a creolized space, or Europe Otherwise. It argues that, in order to account for both the transregional entanglements and the internal hierarchies that European colonialism and imperialism have produced since at least the sixteenth century, we need to unlearn received notions of Europe as an unmarked category; and that theoretical and empirical lessons from the Caribbean are central to relearning Europe differently. To conceive of Europe as a creolized space thus means to draw attention to the decisive shifts that its colonial possessions operate in both its historical legacies and its present borders when consistently taken into account. Such reconceptualization entails a simultaneous creolization of theory so as to reinscribe into sociological thought the experiences of peoples and regions racialized as non-European, non-Western, and non-White alongside the multiple entanglements between Europe and its colonies. Drawing on Caribbean perspectives on creolization, I first discuss how creolizing Europe contributes to countering the definition power of ahistorical and unmarked categories. Subsequently, I propose to rethink Europe as a political, cultural, economic, and discursive formation from its current colonial borders in South America and the Caribbean Sea. Finally, I argue that focusing on Europe’s colonial possessions in the Caribbean </w:t>
      </w:r>
    </w:p>
    <w:p>
      <w:pPr/>
      <w:r>
        <w:rPr>
          <w:b/>
        </w:rPr>
        <w:t>POSSIBLE 2019:</w:t>
      </w:r>
      <w:r>
        <w:t xml:space="preserve"> Euromodernity's Undertone: On Reconceptualizing Political Speech — https://openalex.org/W2943803555</w:t>
      </w:r>
    </w:p>
    <w:p>
      <w:pPr/>
      <w:r>
        <w:rPr>
          <w:b/>
        </w:rPr>
        <w:t>Shared claim-specific concepts:</w:t>
      </w:r>
      <w:r>
        <w:t xml:space="preserve"> about, racialized, others, conditions; EU scope not established. This is a provisional connection, not an outcome finding.</w:t>
      </w:r>
    </w:p>
    <w:p>
      <w:pPr>
        <w:pStyle w:val="SourceNote"/>
      </w:pPr>
      <w:r>
        <w:rPr>
          <w:b/>
        </w:rPr>
        <w:t>Available abstract (not full text):</w:t>
      </w:r>
      <w:r>
        <w:t xml:space="preserve"> This dissertation contends speech is indispensable to politics. It begins with Aristotle, whose conception of political speech grounds our modern understanding. I argue the Aristotelian position is colonizing insofar as it essentializes speech as sound. The consequence is that speech becomes phonocentric, privileging a particular mode of communication. This raises the issue of Deaf subjects who engage politics in non-phonocentric ways. That is, their speech is seen in what I contend is a visual vernacular. Subsequently, I turn to the issue of race. If Deaf subjects raise questions about what it means to speak, Black subjects, who speak audibly and are still unheard, raise a correspondent question: What does it mean to be heard? Within Euromodernity, I contend political speech becomes essentialized and racialized. Here, particular human beings (whites) are deemed as deserving of being heard, while others (Blacks) are silenced and thus, rendered speechless.\nIn response to these conditions, I argue Black and Deaf subjects do speak and their speech challenges existing hegemonic, colonized forms. Black and Deaf political speech allow for the creation of Black and Deaf lifeworlds, an articulation of their own ways of existing in the social world. The result is a project actualizing freedom. Ultimately, I posit a creolizing of political speech, a mixing of Deaf and Black existential </w:t>
      </w:r>
    </w:p>
    <w:p>
      <w:pPr>
        <w:pStyle w:val="Heading2"/>
      </w:pPr>
      <w:r>
        <w:t>733.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2023:</w:t>
      </w:r>
      <w:r>
        <w:t xml:space="preserve"> The Portuguese Case — https://openalex.org/W7111493077</w:t>
      </w:r>
    </w:p>
    <w:p>
      <w:pPr/>
      <w:r>
        <w:rPr>
          <w:b/>
        </w:rPr>
        <w:t>Shared claim-specific concepts:</w:t>
      </w:r>
      <w:r>
        <w:t xml:space="preserve"> case, portugal, regarding; EU scope visible. This is a provisional connection, not an outcome finding.</w:t>
      </w:r>
    </w:p>
    <w:p>
      <w:pPr>
        <w:pStyle w:val="SourceNote"/>
      </w:pPr>
      <w:r>
        <w:rPr>
          <w:b/>
        </w:rPr>
        <w:t>Available abstract (not full text):</w:t>
      </w:r>
      <w:r>
        <w:t xml:space="preserve"> This article discusses recent historiographical trends regarding the evolution of warfare in Portugal and its overseas empire in the early modern period. It presents a reassessment of the state of art on the Portuguese case in the early modern world (in the kingdom of Portugal in Europe and its overseas empire), followed by some contributions for an ongoing research agenda. It is divided in three parts, presenting overviews of the situation in Europe, overseas and at sea. It concludes that it is difficult to sustain that the Portuguese case supports the case for a link between an alleged military revolution and unilinear state-formation or Western military exceptionalism</w:t>
      </w:r>
    </w:p>
    <w:p>
      <w:pPr/>
      <w:r>
        <w:rPr>
          <w:b/>
        </w:rPr>
        <w:t>POSSIBLE 2023:</w:t>
      </w:r>
      <w:r>
        <w:t xml:space="preserve"> Incidence of Lyme Borreliosis in Europe: A Systematic Review (2005–2020) — https://doi.org/10.1089/vbz.2022.0070</w:t>
      </w:r>
    </w:p>
    <w:p>
      <w:pPr/>
      <w:r>
        <w:rPr>
          <w:b/>
        </w:rPr>
        <w:t>Shared claim-specific concepts:</w:t>
      </w:r>
      <w:r>
        <w:t xml:space="preserve"> case, northern, portugal, used, local; EU scope visible. This is a provisional connection, not an outcome finding.</w:t>
      </w:r>
    </w:p>
    <w:p>
      <w:pPr>
        <w:pStyle w:val="SourceNote"/>
      </w:pPr>
      <w:r>
        <w:rPr>
          <w:b/>
        </w:rPr>
        <w:t>Available abstract (not full text):</w:t>
      </w:r>
      <w:r>
        <w:t xml:space="preserve"> Background: Lyme borreliosis (LB) is the most common tick-borne disease in Europe, but the burden of disease is incompletely described. Methods: We conducted a systematic review across PubMed, EMBASE, and CABI Direct (Global Health) databases, from January 1, 2005, to November 20, 2020, of epidemiological studies reporting incidence of LB in Europe (PROSPERO, CRD42021236906). Results: The systematic review yielded 61 unique articles describing LB incidence (national or subnational) in 25 European countries. Substantial heterogeneity in study designs, populations sampled, and case definitions restricted data comparability. The European Union Concerted Action on Lyme Borreliosis (EUCALB)–published standardized LB case definitions were used by only 13 (21%) of the 61 articles. There were 33 studies that provided national-level LB incidence estimates for 20 countries. Subnational LB incidence was available from an additional four countries (Italy, Lithuania, Norway, and Spain). The highest LB incidences (&gt;100 cases per 100,000 population per year [PPY]) were reported in Belgium, Finland, the Netherlands, and Switzerland. Incidences were 20–40/100,000 PPY in the Czech Republic, Germany, Poland, and Scotland and &lt;20/100,000 PPY in Belarus, Croatia, Denmark, France, Ireland, Portugal, Russia, Slovakia, Sweden, and the United Kingdom (England, Northern Ireland, and Wales); markedly hig</w:t>
      </w:r>
    </w:p>
    <w:p>
      <w:pPr/>
      <w:r>
        <w:rPr>
          <w:b/>
        </w:rPr>
        <w:t>POSSIBLE 2023:</w:t>
      </w:r>
      <w:r>
        <w:t xml:space="preserve"> Ten questions concerning residential overheating in Central and Northern Europe — https://doi.org/10.1016/j.buildenv.2023.110154</w:t>
      </w:r>
    </w:p>
    <w:p>
      <w:pPr/>
      <w:r>
        <w:rPr>
          <w:b/>
        </w:rPr>
        <w:t>Shared claim-specific concepts:</w:t>
      </w:r>
      <w:r>
        <w:t xml:space="preserve"> northern, questions, experts; EU scope visible. This is a provisional connection, not an outcome finding.</w:t>
      </w:r>
    </w:p>
    <w:p>
      <w:pPr>
        <w:pStyle w:val="SourceNote"/>
      </w:pPr>
      <w:r>
        <w:rPr>
          <w:b/>
        </w:rPr>
        <w:t>Available abstract (not full text):</w:t>
      </w:r>
      <w:r>
        <w:t xml:space="preserve"> Rising global temperatures and more frequent heatwaves due to climate change have led to a growing body of research and increased policy focus on how to protect against the adverse effects of heat. In cold and temperate Europe, dwellings have traditionally been designed for cold protection rather than heat mitigation. There is, therefore, a need to understand the mechanisms through which indoor overheating can occur, its effects on occupants and energy consumption, and how we can design, adapt, and operate buildings during warm weather to improve thermal comfort and reduce cooling energy consumption. This paper brings together experts in overheating from across Europe to explore 10 key questions about the causes and risks from overheating in residential settings in Central and Northern Europe, including the way in which we define and measure overheating, its impacts, and its social and policy implications. The focus is not on summarising literature, but rather on identifying the evidence, key challenges and misconceptions, and limitations of current knowledge. Looking ahead, we outline actions needed to adapt, including the (re)design of dwellings, neighbourhoods, and population responses to indoor heat, and the potential shape of these actions. In doing so, we illustrate how heat adaptation is a multi-faceted challenge that requires urgent and coordinated action at multiple le</w:t>
      </w:r>
    </w:p>
    <w:p>
      <w:pPr/>
      <w:r>
        <w:rPr>
          <w:b/>
        </w:rPr>
        <w:t>POSSIBLE 2023:</w:t>
      </w:r>
      <w:r>
        <w:t xml:space="preserve"> Vernacularisation of Documentary Legal Texts in Northern Europe — https://doi.org/10.4312/linguistica.63.1-2.19-39</w:t>
      </w:r>
    </w:p>
    <w:p>
      <w:pPr/>
      <w:r>
        <w:rPr>
          <w:b/>
        </w:rPr>
        <w:t>Shared claim-specific concepts:</w:t>
      </w:r>
      <w:r>
        <w:t xml:space="preserve"> northern, used, questions; EU scope visible. This is a provisional connection, not an outcome finding.</w:t>
      </w:r>
    </w:p>
    <w:p>
      <w:pPr>
        <w:pStyle w:val="SourceNote"/>
      </w:pPr>
      <w:r>
        <w:rPr>
          <w:b/>
        </w:rPr>
        <w:t>Available abstract (not full text):</w:t>
      </w:r>
      <w:r>
        <w:t xml:space="preserve"> At the transition from medieval to early modern Europe, vernaculars became more commonly used in writing in various domain, including administration and law. In the late Middle Ages, vernaculars seem to gain status and start to be regarded as suitable languages for recording municipal matters. But how did this vernacularisation progress in such documentary legal texts? When and why was Latin replaced by vernaculars? To answer these questions, this article presents diachronic quantitative analyses of the language choice in individual entries of two documentary legal sources: the first eight volumes of the Aberdeen Council Registers (1398–1511) and one volume of the Lübecker Niederstadtbuch (1430–1451). The comparative approach to these multilingual texts allows us to trace vernacularisation processes across two language contexts, uncovering similarities and differences between them. In the council registers from Aberdeen, Scots replaced Latin slowly and gradually – a process that took over a century and was far from finished by 1511. In the text from Lübeck, on the other hand, the shift from Latin to Low German was largely completed within about 30 years. In both cases, language practices of the scribes rather than top-down language policies seem to have driven this development. The scribes’ language choices will have been influenced by the use of vernaculars in other texts, inc</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case, northern, used, different;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Balancing Electricity Supply and Demand in a Carbon-Neutral Northern Europe — https://doi.org/10.3390/en16083548</w:t>
      </w:r>
    </w:p>
    <w:p>
      <w:pPr/>
      <w:r>
        <w:rPr>
          <w:b/>
        </w:rPr>
        <w:t>Shared claim-specific concepts:</w:t>
      </w:r>
      <w:r>
        <w:t xml:space="preserve"> northern, combination, different, after;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2022:</w:t>
      </w:r>
      <w:r>
        <w:t xml:space="preserve"> Impact of external cost internalization on short sea shipping – The case of the Portugal-Northern Europe trade — https://doi.org/10.1016/j.trd.2022.103544</w:t>
      </w:r>
    </w:p>
    <w:p>
      <w:pPr/>
      <w:r>
        <w:rPr>
          <w:b/>
        </w:rPr>
        <w:t>Shared claim-specific concepts:</w:t>
      </w:r>
      <w:r>
        <w:t xml:space="preserve"> case, northern, used, regarding, different; EU scope visible. This is a provisional connection, not an outcome finding.</w:t>
      </w:r>
    </w:p>
    <w:p>
      <w:pPr>
        <w:pStyle w:val="SourceNote"/>
      </w:pPr>
      <w:r>
        <w:rPr>
          <w:b/>
        </w:rPr>
        <w:t>Available abstract (not full text):</w:t>
      </w:r>
      <w:r>
        <w:t xml:space="preserve"> This paper presents research on the impact of transportation external costs internalization in the competitiveness of short sea shipping. Numerical methods for calculating emissions and external costs, that consider the full range of technical and operational vehicle characteristics are presented. The impacts of existing and future emission control areas, emissions abatement technologies, types of fuel, ship speed, cargo capacity and utilization factors in the required freight rate are evaluated. Internal and external costs are used to evaluate alternative intermodal chains for a set of pairs origin/destination extending to a range of regions in Northern Europe. Short sea shipping is competitive for a large set of destinations and its scope of competitiveness does not change significantly between different scenarios. Competitiveness regarding external costs shows more variation but, due to the small relative magnitude of these costs, internalization shows a moderate potential for promoting modal shift towards short sea shipping.</w:t>
      </w:r>
    </w:p>
    <w:p>
      <w:pPr/>
      <w:r>
        <w:rPr>
          <w:b/>
        </w:rPr>
        <w:t>POSSIBLE 2022:</w:t>
      </w:r>
      <w:r>
        <w:t xml:space="preserve"> Epidemiological Trends of Human Monkeypox Cases in Northern, Southern, Western, and Eastern Regions in Europe: A Cross-Sectional Study — https://doi.org/10.1155/2022/4042962</w:t>
      </w:r>
    </w:p>
    <w:p>
      <w:pPr/>
      <w:r>
        <w:rPr>
          <w:b/>
        </w:rPr>
        <w:t>Shared claim-specific concepts:</w:t>
      </w:r>
      <w:r>
        <w:t xml:space="preserve"> northern, portugal, different; EU scope visible. This is a provisional connection, not an outcome finding.</w:t>
      </w:r>
    </w:p>
    <w:p>
      <w:pPr>
        <w:pStyle w:val="SourceNote"/>
      </w:pPr>
      <w:r>
        <w:rPr>
          <w:b/>
        </w:rPr>
        <w:t>Available abstract (not full text):</w:t>
      </w:r>
      <w:r>
        <w:t xml:space="preserve"> Background: The growing amount of monkeypox cases in non-endemic regions raises concerns in societies as a potential pandemic. This study highlights the prevalence and epidemiological trends of a human monkeypox outbreak in various regions in Europe. Methods: This cross-sectional study was conducted in the Department of Physiology, College of Medicine, King Saud University, Riyadh, Saudi Arabia. The data about the monkeypox outbreak in European countries were recorded by the World Health Organization (WHO), and Centers for Disease Control and Prevention (CDC) reports. The period prevalence-based data were recorded from Jan 1, 2022, to July 7, 2022, and analyzed, and epidemiological trends were established in different European regions and countries. Results: In Europe, the human monkeypox rapidly spread in all the four subregions and involved 30 European countries, infecting 6077 people. The rising number of monkeypox cases is identified in Western Europe, 2599 (42.76%); Southern Europe, 1932 (31.79%); Northern Europe, 1487 (24.46%); and Eastern Europe, 59 (0.97%). In Western Europe, significant cases are found in Germany (1304), France (604), the Netherlands (352), Belgium (168), and Switzerland (131). In Northern Europe, it is found in the United Kingdom (1351), Ireland (44), Sweden (28), and Denmark (26); in Southern Europe, it is found in Spain (1256), Portugal (415), and I</w:t>
      </w:r>
    </w:p>
    <w:p>
      <w:pPr/>
      <w:r>
        <w:rPr>
          <w:b/>
        </w:rPr>
        <w:t>POSSIBLE 2022:</w:t>
      </w:r>
      <w:r>
        <w:t xml:space="preserve"> The impact of the COVID-19 pandemic on Portuguese events: the case of Northern Portugal — https://doi.org/10.34190/ictr.15.1.209</w:t>
      </w:r>
    </w:p>
    <w:p>
      <w:pPr/>
      <w:r>
        <w:rPr>
          <w:b/>
        </w:rPr>
        <w:t>Shared claim-specific concepts:</w:t>
      </w:r>
      <w:r>
        <w:t xml:space="preserve"> case, northern, portugal, used, regarding; EU scope visible. This is a provisional connection, not an outcome finding.</w:t>
      </w:r>
    </w:p>
    <w:p>
      <w:pPr>
        <w:pStyle w:val="SourceNote"/>
      </w:pPr>
      <w:r>
        <w:rPr>
          <w:b/>
        </w:rPr>
        <w:t>Available abstract (not full text):</w:t>
      </w:r>
      <w:r>
        <w:t xml:space="preserve"> Events, as forms of leisure and tourism, have had an exponential growth, visible in academic studies, but also as a new form of communication. Acting as important tools for territorial dynamization, they are assumed as generators of development opportunities for a region and leverage the positioning of a strong and positive image for tourist destinations. COVID-19 has had an impact on almost all aspects of our life. Many industries have faced significant revenue losses and contracted in terms of their growth and, naturally, one of the worst affected by the pandemic was the events industry. This pandemic crisis has introduced an unparalleled level of doubts regarding the type of events that will take place in the coming years and how they will be produced. Also, with restrictions and a population less willing to be in the physical presence of others, it's important to understand how participants are facing the possibility to attend future events. This research study aims to investigate and understand the impact of the Covid-19 pandemic on the tourism sector, particularly on the events industry, especially in the North of Portugal. It is also analysed how Portuguese were affected by the cancellation and/or postponement of events and also how they anticipate the future of this area. It is also analysed the risk and fear management and its relationship with the pandemic. In methodo</w:t>
      </w:r>
    </w:p>
    <w:p>
      <w:pPr>
        <w:pStyle w:val="Heading2"/>
      </w:pPr>
      <w:r>
        <w:t>734.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2023:</w:t>
      </w:r>
      <w:r>
        <w:t xml:space="preserve"> Interactive robots for health in Europe: Technology readiness and adoption potential — https://doi.org/10.3389/fpubh.2023.979225</w:t>
      </w:r>
    </w:p>
    <w:p>
      <w:pPr/>
      <w:r>
        <w:rPr>
          <w:b/>
        </w:rPr>
        <w:t>Shared claim-specific concepts:</w:t>
      </w:r>
      <w:r>
        <w:t xml:space="preserve"> potential, far; EU scope visible. This is a provisional connection, not an outcome finding.</w:t>
      </w:r>
    </w:p>
    <w:p>
      <w:pPr>
        <w:pStyle w:val="SourceNote"/>
      </w:pPr>
      <w:r>
        <w:rPr>
          <w:b/>
        </w:rPr>
        <w:t>Available abstract (not full text):</w:t>
      </w:r>
      <w:r>
        <w:t xml:space="preserve"> Introduction: Social robots are accompanied by high expectations of what they can bring to society and in the healthcare sector. So far, promising assumptions have been presented about how and where social robots are most relevant. We know that the industry has used robots for a long time, but what about social uptake outside industry, specifically, in the healthcare sector? This study discusses what trends are discernible, to better understand the gap between technology readiness and adoption of interactive robots in the welfare and health sectors in Europe. Methods: An assessment of interactive robot applications at the upper levels of the Technology Readiness Level scale is combined with an assessment of adoption potential based on Rogers' theory of diffusion of innovation. Most robot solutions are dedicated to individual rehabilitation or frailty and stress. Fewer solutions are developed for managing welfare services or public healthcare. Results: The results show that while robots are ready from the technological point of view, most of the applications had a low score for demand according to the stakeholders. Discussion: To enhance social uptake, a more initiated discussion, and more studies on the connections between technology readiness and adoption and use are suggested. Applications being available to users does not mean they have an advantage over previous solutions. </w:t>
      </w:r>
    </w:p>
    <w:p>
      <w:pPr/>
      <w:r>
        <w:rPr>
          <w:b/>
        </w:rPr>
        <w:t>POSSIBLE 2022:</w:t>
      </w:r>
      <w:r>
        <w:t xml:space="preserve"> Evaluation of laboratory test methods for assessing the alkali-reactivity potential of aggregates by field site tests — https://doi.org/10.3989/mc.2022.17221</w:t>
      </w:r>
    </w:p>
    <w:p>
      <w:pPr/>
      <w:r>
        <w:rPr>
          <w:b/>
        </w:rPr>
        <w:t>Shared claim-specific concepts:</w:t>
      </w:r>
      <w:r>
        <w:t xml:space="preserve"> test, potential, method, sites; EU scope visible. This is a provisional connection, not an outcome finding.</w:t>
      </w:r>
    </w:p>
    <w:p>
      <w:pPr>
        <w:pStyle w:val="SourceNote"/>
      </w:pPr>
      <w:r>
        <w:rPr>
          <w:b/>
        </w:rPr>
        <w:t>Available abstract (not full text):</w:t>
      </w:r>
      <w:r>
        <w:t xml:space="preserve"> Field site tests were carried out to assess the reliability of the tests developed by RILEM and some regional tests to evaluate the alkali-reactivity potential of aggregates (eight tests were included). One hundred concrete cubes made with 13 different European aggregate combinations were stored on eight different European field sites to compare their expansions with the laboratory test results. All highly reactive aggregate combinations caused significant expansion of concrete cubes within the first six years on all field sites from Norway to Spain. These and the non-reactive aggregate combinations were correctly identified with all laboratory tests. Concrete cubes with moderately reactive aggregate combinations expanded very slowly and mainly in the outdoor exposure sites with warm climate conditions. The RILEM test method AAR-4.1 (60°C accelerated concrete prism test) and the Norwegian concrete prism test at 38°C seem to be best suited to identity the potential reactivity of moderately reactive aggregate combinations.</w:t>
      </w:r>
    </w:p>
    <w:p>
      <w:pPr/>
      <w:r>
        <w:rPr>
          <w:b/>
        </w:rPr>
        <w:t>POSSIBLE 2022:</w:t>
      </w:r>
      <w:r>
        <w:t xml:space="preserve"> Exploring the Potential of Mobile Laser Scanning to Quantify Forest Structural Complexity — https://doi.org/10.3389/frsen.2022.861337</w:t>
      </w:r>
    </w:p>
    <w:p>
      <w:pPr/>
      <w:r>
        <w:rPr>
          <w:b/>
        </w:rPr>
        <w:t>Shared claim-specific concepts:</w:t>
      </w:r>
      <w:r>
        <w:t xml:space="preserve"> potential, several, exploring; EU scope visible. This is a provisional connection, not an outcome finding.</w:t>
      </w:r>
    </w:p>
    <w:p>
      <w:pPr>
        <w:pStyle w:val="SourceNote"/>
      </w:pPr>
      <w:r>
        <w:rPr>
          <w:b/>
        </w:rPr>
        <w:t>Available abstract (not full text):</w:t>
      </w:r>
      <w:r>
        <w:t xml:space="preserve"> Today, creating or maintaining forest structural complexity is a management paradigm in many countries due to the positive relationships between structural complexity and several forest functions and services. In this study, we tested whether the box-dimension (D b ), a holistic and objective measure to describe the structural complexity of trees or forests, can be used to quantify the structural complexity of 14 European beech ( Fagus sylvatica L.) dominated forest plots by means of mobile laser scanning (MLS). The goal of this study was to explore the potential of this approach for quantifying the effect of leaves (summer vs winter) and management (lately unmanaged vs managed) on forest structural complexity. The findings suggest that repeated measurements on the same site and at the same time yielded consistent results if the measuring scheme is standardized. The results also showed that standardized measurement protocols allowed quantifying differences in forest structural complexity due to season. The highest stand structural complexity was found in leaf-on condition during summer, with the complexity being significantly higher than in winter condition. Also, in case of our beech-dominated plots, managed forests were more complex in structure than formerly managed but now unmanaged forests. This study illustrates the potential of MLS for monitoring the changes in forest st</w:t>
      </w:r>
    </w:p>
    <w:p>
      <w:pPr/>
      <w:r>
        <w:rPr>
          <w:b/>
        </w:rPr>
        <w:t>POSSIBLE 2022:</w:t>
      </w:r>
      <w:r>
        <w:t xml:space="preserve"> Giardia duodenalis in Wildlife: Exploring Genotype Diversity in Italy and across Europe — https://doi.org/10.3390/pathogens11010105</w:t>
      </w:r>
    </w:p>
    <w:p>
      <w:pPr/>
      <w:r>
        <w:rPr>
          <w:b/>
        </w:rPr>
        <w:t>Shared claim-specific concepts:</w:t>
      </w:r>
      <w:r>
        <w:t xml:space="preserve"> exploring, far, find; EU scope visible. This is a provisional connection, not an outcome finding.</w:t>
      </w:r>
    </w:p>
    <w:p>
      <w:pPr>
        <w:pStyle w:val="SourceNote"/>
      </w:pPr>
      <w:r>
        <w:rPr>
          <w:b/>
        </w:rPr>
        <w:t>Available abstract (not full text):</w:t>
      </w:r>
      <w:r>
        <w:t xml:space="preserve"> Fragmented data are so far available on genotype diversity of G. duodenalis in wildlife in different countries in Europe, in particular, in Italy. In the present study, G. duodenalis sequences obtained from different Italian wild animals [12 porcupines (Hystrix cristata), 4 wild boars (Sus scrofa), 1 wolf (Canis lupus italicus), 6 Alpine chamois (Rupicapra rupicapra rupicapra)] were compared with those available from wild host species in Europe to add new data on the geographic distribution of Giardia assemblages/sub-assemblages and their transmission patterns among natural hosts. Thirty-eight sequences were obtained by MLG analysis (SSU-rRNA, bg, gdh, and tpi genes) and subsequently compared by phylogenetic and network analyses with those from wild species monitored in the last decades in Europe. The results revealed the presence of potentially zoonotic (A-AI, A-AII from wild boar; B from porcupine) and host-adapted (D from wolf; E, A-AIII from chamois) assemblages and sub-assemblages and represent the first report for Italian wild boar. The analysis did not find any evidence of spatial or host segregation for specific genetic variants, mostly shared between different hosts from different European countries. However, conflicting evidence was found in genotypic assignment, advocating for data improvement and new genomic approaches.</w:t>
      </w:r>
    </w:p>
    <w:p>
      <w:pPr/>
      <w:r>
        <w:rPr>
          <w:b/>
        </w:rPr>
        <w:t>POSSIBLE 2021:</w:t>
      </w:r>
      <w:r>
        <w:t xml:space="preserve"> Testing UNFC as a harmonized supporting tool for resource management in Europe — https://doi.org/10.5194/egusphere-egu21-15566</w:t>
      </w:r>
    </w:p>
    <w:p>
      <w:pPr/>
      <w:r>
        <w:rPr>
          <w:b/>
        </w:rPr>
        <w:t>Shared claim-specific concepts:</w:t>
      </w:r>
      <w:r>
        <w:t xml:space="preserve"> test, potential; EU scope visible. This is a provisional connection, not an outcome finding.</w:t>
      </w:r>
    </w:p>
    <w:p>
      <w:pPr>
        <w:pStyle w:val="SourceNote"/>
      </w:pPr>
      <w:r>
        <w:rPr>
          <w:b/>
        </w:rPr>
        <w:t>Available abstract (not full text):</w:t>
      </w:r>
      <w:r>
        <w:t xml:space="preserve"> With the global increase in raw material demand comes the need for harmonized supporting tools for sustainable resource management in Europe. Europe needs to assess their resource potential, but the European countries do not have a common tool to aggregate information for continent-wide resource inventories. The United Nations Framework Classification for Resources (UNFC) is a system that may be used for this purpose. One of the specific tasks in the MINTELL4EU project under the GeoERA programme is to test if the European geological surveys will be able to use UNFC as a tool to evaluate a country’s known and potential resources across variable levels of knowledge. The project will also show, if the application of UNFC can provide better harmonization of mineral resource data nationally and across Europe. The work on UNFC in MINTELL4EU is based on case studies to gain experience. Based on the knowledge and lessons learned from the case studies, guidelines and recommendations for further work will be given. Preliminary results show that there is a need for a more harmonized system and that stricter guidelines are required. On top of this, there are different levels of experience in UNFC among the European geological surveys, and the approach and methods on UNFC varies between the countries.</w:t>
      </w:r>
    </w:p>
    <w:p>
      <w:pPr/>
      <w:r>
        <w:rPr>
          <w:b/>
        </w:rPr>
        <w:t>POSSIBLE 2021:</w:t>
      </w:r>
      <w:r>
        <w:t xml:space="preserve"> Health Inequality Analysis in Europe: Exploring the Potential of the EQ-5D as Outcome — https://doi.org/10.3389/fpubh.2021.744405</w:t>
      </w:r>
    </w:p>
    <w:p>
      <w:pPr/>
      <w:r>
        <w:rPr>
          <w:b/>
        </w:rPr>
        <w:t>Shared claim-specific concepts:</w:t>
      </w:r>
      <w:r>
        <w:t xml:space="preserve"> potential, exploring; EU scope visible. This is a provisional connection, not an outcome finding.</w:t>
      </w:r>
    </w:p>
    <w:p>
      <w:pPr>
        <w:pStyle w:val="SourceNote"/>
      </w:pPr>
      <w:r>
        <w:rPr>
          <w:b/>
        </w:rPr>
        <w:t>Available abstract (not full text):</w:t>
      </w:r>
      <w:r>
        <w:t xml:space="preserve"> Objective: This study explored the additive value of the multi-item EuroQol 5-Dimension 5-Level (EQ-5D-5L) as an outcome measure in health inequality analyses, relative to the single-item EuroQol visual analog scale (EQ VAS). Methods: A sample comprising the general population from Italy, the Netherlands, and United Kingdom (UK) completed the EQ-5D-5L and the EQ VAS. The level of education was selected as a proxy for socio-economic status (SES). EQ-5D-5L level sum scores (LSS) were compared against EQ VAS scores. Stratified and multivariable analyses were used to study the associations between SES and the LSS/EQ VAS relative to the presence of chronic health conditions. Results: A total of 10,172 people participated in this study. In the UK and Netherlands, the LSS was worst for respondents with a low educational level and better for respondents with middle and high educational levels. For Italy, the LSS was best for respondents with a middle educational level compared to respondents with low and high educational levels. The same patterns were observed for the EQ VAS, but differences were slightly smaller. Multivariable analyses showed generally stronger predictive relations in the UK, and with the LSS. The presence of chronic health conditions and being unable to work were independent strong predictors, canceling out the effects of education. Conclusions: In three different Eu</w:t>
      </w:r>
    </w:p>
    <w:p>
      <w:pPr/>
      <w:r>
        <w:rPr>
          <w:b/>
        </w:rPr>
        <w:t>POSSIBLE 2021:</w:t>
      </w:r>
      <w:r>
        <w:t xml:space="preserve"> Exploring the therapeutic potential of mitochondrial uncouplers in cancer — https://doi.org/10.1016/j.molmet.2021.101222</w:t>
      </w:r>
    </w:p>
    <w:p>
      <w:pPr/>
      <w:r>
        <w:rPr>
          <w:b/>
        </w:rPr>
        <w:t>Shared claim-specific concepts:</w:t>
      </w:r>
      <w:r>
        <w:t xml:space="preserve"> potential, several, exploring; EU scope not established. This is a provisional connection, not an outcome finding.</w:t>
      </w:r>
    </w:p>
    <w:p>
      <w:pPr>
        <w:pStyle w:val="SourceNote"/>
      </w:pPr>
      <w:r>
        <w:rPr>
          <w:b/>
        </w:rPr>
        <w:t>Available abstract (not full text):</w:t>
      </w:r>
      <w:r>
        <w:t xml:space="preserve"> BACKGROUND: Mitochondrial uncouplers are well-known for their ability to treat a myriad of metabolic diseases, including obesity and fatty liver diseases. However, for many years now, mitochondrial uncouplers have also been evaluated in diverse models of cancer in vitro and in vivo. Furthermore, some mitochondrial uncouplers are now in clinical trials for cancer, although none have yet been approved for the treatment of cancer. SCOPE OF REVIEW: In this review we summarise published studies in which mitochondrial uncouplers have been investigated as an anti-cancer therapy in preclinical models. In many cases, mitochondrial uncouplers show strong anti-cancer effects both as single agents, and in combination therapies, and some are more toxic to cancer cells than normal cells. Furthermore, the mitochondrial uncoupling mechanism of action in cancer cells has been described in detail, with consistencies and inconsistencies between different structural classes of uncouplers. For example, many mitochondrial uncouplers decrease ATP levels and disrupt key metabolic signalling pathways such as AMPK/mTOR but have different effects on reactive oxygen species (ROS) production. Many of these effects oppose aberrant phenotypes common in cancer cells that ultimately result in cell death. We also highlight several gaps in knowledge that need to be addressed before we have a clear direction and </w:t>
      </w:r>
    </w:p>
    <w:p>
      <w:pPr/>
      <w:r>
        <w:rPr>
          <w:b/>
        </w:rPr>
        <w:t>POSSIBLE 2021:</w:t>
      </w:r>
      <w:r>
        <w:t xml:space="preserve"> Exploring the potential of coconut shell biomass for charcoal production — https://doi.org/10.1016/j.asej.2021.05.013</w:t>
      </w:r>
    </w:p>
    <w:p>
      <w:pPr/>
      <w:r>
        <w:rPr>
          <w:b/>
        </w:rPr>
        <w:t>Shared claim-specific concepts:</w:t>
      </w:r>
      <w:r>
        <w:t xml:space="preserve"> potential, several, exploring, alternative; EU scope not established. This is a provisional connection, not an outcome finding.</w:t>
      </w:r>
    </w:p>
    <w:p>
      <w:pPr>
        <w:pStyle w:val="SourceNote"/>
      </w:pPr>
      <w:r>
        <w:rPr>
          <w:b/>
        </w:rPr>
        <w:t>Available abstract (not full text):</w:t>
      </w:r>
      <w:r>
        <w:t xml:space="preserve"> Coconut shells are produced in a vast amount around tropical countries that needs to be utilized properly. Thermochemical methods are the main route for converting biomass to charcoal. Percentage of some relative factors in the biomass such as low-density, low caloric value, high ash, SOX, NOX, moisture content, microstructure, and complex elements are its major drawbacks. Nevertheless, no scientific studies were conducted on the carbonization of converting coconut shells to charcoal from local to global scales. Therefore, comprehensive and precise data on its production is limited. To overcome these problems; biomass materials need to be evaluated to assure the suitability of the biomass for the thermochemical process to curtail the yearning of energy demand. For the overall efficiency of the biomass conversion processes into the preference biomass-derived fuel, it is important to understand the physicochemical characteristics of the biomass. The paper aims at understanding the specialties of coconut shell biomass, which is directly used for thermochemical conversion mainly for charcoal production via; chemical structure, energy potential, and morphological analysis. The biomass exhibits a high: density of 412 kg/m3, a calorific value of 19.4 MJ/kg, fixed carbon of 21.8%, a volatile matter of 70.8%, carbon of 40.1%, and low amount moisture of 5.6%, and ash of 1.8%. EDX and XRF</w:t>
      </w:r>
    </w:p>
    <w:p>
      <w:pPr/>
      <w:r>
        <w:rPr>
          <w:b/>
        </w:rPr>
        <w:t>POSSIBLE 2020:</w:t>
      </w:r>
      <w:r>
        <w:t xml:space="preserve"> Sources of particulate-matter air pollution and its oxidative potential in Europe — https://doi.org/10.1038/s41586-020-2902-8</w:t>
      </w:r>
    </w:p>
    <w:p>
      <w:pPr/>
      <w:r>
        <w:rPr>
          <w:b/>
        </w:rPr>
        <w:t>Shared claim-specific concepts:</w:t>
      </w:r>
      <w:r>
        <w:t xml:space="preserve"> potential, modelling, find; EU scope visible. This is a provisional connection, not an outcome finding.</w:t>
      </w:r>
    </w:p>
    <w:p>
      <w:pPr>
        <w:pStyle w:val="SourceNote"/>
      </w:pPr>
      <w:r>
        <w:rPr>
          <w:b/>
        </w:rPr>
        <w:t>Available abstract (not full text):</w:t>
      </w:r>
      <w:r>
        <w:t xml:space="preserve"> . Here we use field observations and air-quality modelling to quantify the major primary and secondary sources of particulate matter and of oxidative potential in Europe. We find that secondary inorganic components, crustal material and secondary biogenic organic aerosols control the mass concentration of particulate matter. By contrast, oxidative potential concentration is associated mostly with anthropogenic sources, in particular with fine-mode secondary organic aerosols largely from residential biomass burning and coarse-mode metals from vehicular non-exhaust emissions. Our results suggest that mitigation strategies aimed at reducing the mass concentrations of particulate matter alone may not reduce the oxidative potential concentration. If the oxidative potential can be linked to major health impacts, it may be more effective to control specific sources of particulate matter rather than overall particulate mass.</w:t>
      </w:r>
    </w:p>
    <w:p>
      <w:pPr>
        <w:pStyle w:val="Heading2"/>
      </w:pPr>
      <w:r>
        <w:t>735.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2024:</w:t>
      </w:r>
      <w:r>
        <w:t xml:space="preserve"> Developing clinical prediction models: a step-by-step guide — https://doi.org/10.1136/bmj-2023-078276</w:t>
      </w:r>
    </w:p>
    <w:p>
      <w:pPr/>
      <w:r>
        <w:rPr>
          <w:b/>
        </w:rPr>
        <w:t>Shared claim-specific concepts:</w:t>
      </w:r>
      <w:r>
        <w:t xml:space="preserve"> prediction, also; EU scope not established. This is a provisional connection, not an outcome finding.</w:t>
      </w:r>
    </w:p>
    <w:p>
      <w:pPr>
        <w:pStyle w:val="SourceNote"/>
      </w:pPr>
      <w:r>
        <w:rPr>
          <w:b/>
        </w:rPr>
        <w:t>Available abstract (not full text):</w:t>
      </w:r>
      <w:r>
        <w:t xml:space="preserve"> 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w:t>
      </w:r>
    </w:p>
    <w:p>
      <w:pPr/>
      <w:r>
        <w:rPr>
          <w:b/>
        </w:rPr>
        <w:t>POSSIBLE 2024:</w:t>
      </w:r>
      <w:r>
        <w:t xml:space="preserve"> Machine Learning Approaches for Stroke Risk Prediction: Findings from the Suita Study — https://doi.org/10.3390/jcdd11070207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Stroke constitutes a significant public health concern due to its impact on mortality and morbidity. This study investigates the utility of machine learning algorithms in predicting stroke and identifying key risk factors using data from the Suita study, comprising 7389 participants and 53 variables. Initially, unsupervised k-prototype clustering categorized participants into risk clusters, while five supervised models including Logistic Regression (LR), Random Forest (RF), Support Vector Machine (SVM), Extreme Gradient Boosting (XGBoost), and Light Gradient Boosted Machine (LightGBM) were employed to predict stroke outcomes. Stroke incidence disparities among identified risk clusters using the unsupervised k-prototype clustering method are substantial, according to the findings. Supervised learning, particularly RF, was a preferable option because of the higher levels of performance metrics. The Shapley Additive Explanations (SHAP) method identified age, systolic blood pressure, hypertension, estimated glomerular filtration rate, metabolic syndrome, and blood glucose level as key predictors of stroke, aligning with findings from the unsupervised clustering approach in high-risk groups. Additionally, previously unidentified risk factors such as elbow joint thickness, fructosamine, hemoglobin, and calcium level demonstrate potential for stroke prediction. In conclusion, machine </w:t>
      </w:r>
    </w:p>
    <w:p>
      <w:pPr/>
      <w:r>
        <w:rPr>
          <w:b/>
        </w:rPr>
        <w:t>POSSIBLE 2024:</w:t>
      </w:r>
      <w:r>
        <w:t xml:space="preserve"> Prediction in bilingual sentence processing — https://doi.org/10.1075/lab.22102.mei</w:t>
      </w:r>
    </w:p>
    <w:p>
      <w:pPr/>
      <w:r>
        <w:rPr>
          <w:b/>
        </w:rPr>
        <w:t>Shared claim-specific concepts:</w:t>
      </w:r>
      <w:r>
        <w:t xml:space="preserve"> prediction, findings, support, use, also; EU scope not established. This is a provisional connection, not an outcome finding.</w:t>
      </w:r>
    </w:p>
    <w:p>
      <w:pPr>
        <w:pStyle w:val="SourceNote"/>
      </w:pPr>
      <w:r>
        <w:rPr>
          <w:b/>
        </w:rPr>
        <w:t>Available abstract (not full text):</w:t>
      </w:r>
      <w:r>
        <w:t xml:space="preserve"> Abstract The Unified Competition Model ( MacWhinney, 2012 ) accounts for cross-linguistic differences in thematic role mapping. We investigated production and predictive use of accusative case morphology in Russian-Hebrew bilingual children. We also investigated the role of production in predictive processing testing the Prediction-by-Production Account ( Pickering &amp; Garrod, 2018 ) vs. the Missing Surface Inflection Hypothesis ( Prévost &amp; White, 2000 ). Three groups of children aged 4–8 participated: Russian-Hebrew-speaking bilinguals, Russian-speaking and Hebrew-speaking monolingual controls. All children participated in the accusative case production and Visual-World eye-tracking comprehension experiments. Bilinguals were tested in both of their languages. The results of the study confirmed the predictions of the Unified Competition Model showing typological differences in the strength of the case-marking cue and its predictive use in sentence processing in Russian- and Hebrew-speaking controls. While Russian-speaking monolinguals relied on case marking to predict the upcoming agent/patient, the performance of Hebrew-speaking monolingual children varied. The findings for bilinguals showed that despite their lower production accuracy in both languages, they were either indistinguishable from monolinguals or showed an advantage in the predictive use of case morphology. The find</w:t>
      </w:r>
    </w:p>
    <w:p>
      <w:pPr/>
      <w:r>
        <w:rPr>
          <w:b/>
        </w:rPr>
        <w:t>POSSIBLE 2024:</w:t>
      </w:r>
      <w:r>
        <w:t xml:space="preserve"> Diabetes Prediction Based on Support Vector Machine Model — https://doi.org/10.54097/ygdasy74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Diabetes is a chronic condition, the symptoms of which may be relatively mild in the initial stages. Consequently, early prediction is of paramount importance for disease management and treatment. This study aims to employ a Support Vector Machine (SVM) model for the prognostication of diabetes risk. In comparison to conventional prediction techniques, SVMs are adept at capturing complex nonlinear relationships, and possess the capability to handle high-dimensional data and model nonlinearities effectively. By leveraging the strengths of SVMs, it is possible to anticipate the risk of diabetes based on various diagnostic indicators, thereby mitigating the severity of the condition and the risk of complications. The findings of this research offer valuable insights for the management and treatment of diabetes, holding significant application potential for the improvement of diagnosis and therapeutic strategies for diabetic patients.</w:t>
      </w:r>
    </w:p>
    <w:p>
      <w:pPr/>
      <w:r>
        <w:rPr>
          <w:b/>
        </w:rPr>
        <w:t>POSSIBLE 2023:</w:t>
      </w:r>
      <w:r>
        <w:t xml:space="preserve"> There is no such thing as a validated prediction model — https://doi.org/10.1186/s12916-023-02779-w</w:t>
      </w:r>
    </w:p>
    <w:p>
      <w:pPr/>
      <w:r>
        <w:rPr>
          <w:b/>
        </w:rPr>
        <w:t>Shared claim-specific concepts:</w:t>
      </w:r>
      <w:r>
        <w:t xml:space="preserve"> prediction, support, not, but; EU scope not established. This is a provisional connection, not an outcome finding.</w:t>
      </w:r>
    </w:p>
    <w:p>
      <w:pPr>
        <w:pStyle w:val="SourceNote"/>
      </w:pPr>
      <w:r>
        <w:rPr>
          <w:b/>
        </w:rPr>
        <w:t>Available abstract (not full text):</w:t>
      </w:r>
      <w:r>
        <w:t xml:space="preserve"> BACKGROUND: Clinical prediction models should be validated before implementation in clinical practice. But is favorable performance at internal validation or one external validation sufficient to claim that a prediction model works well in the intended clinical context? MAIN BODY: We argue to the contrary because (1) patient populations vary, (2) measurement procedures vary, and (3) populations and measurements change over time. Hence, we have to expect heterogeneity in model performance between locations and settings, and across time. It follows that prediction models are never truly validated. This does not imply that validation is not important. Rather, the current focus on developing new models should shift to a focus on more extensive, well-conducted, and well-reported validation studies of promising models. CONCLUSION: Principled validation strategies are needed to understand and quantify heterogeneity, monitor performance over time, and update prediction models when appropriate. Such strategies will help to ensure that prediction models stay up-to-date and safe to support clinical decision-making.</w:t>
      </w:r>
    </w:p>
    <w:p>
      <w:pPr/>
      <w:r>
        <w:rPr>
          <w:b/>
        </w:rPr>
        <w:t>POSSIBLE 2022:</w:t>
      </w:r>
      <w:r>
        <w:t xml:space="preserve"> Computing Model for Alzheimer Prediction Using Support Vector Machine Classifier — https://doi.org/10.1109/ccet56606.2022.10080346</w:t>
      </w:r>
    </w:p>
    <w:p>
      <w:pPr/>
      <w:r>
        <w:rPr>
          <w:b/>
        </w:rPr>
        <w:t>Shared claim-specific concepts:</w:t>
      </w:r>
      <w:r>
        <w:t xml:space="preserve"> then, prediction, findings, support; EU scope not established. This is a provisional connection, not an outcome finding.</w:t>
      </w:r>
    </w:p>
    <w:p>
      <w:pPr>
        <w:pStyle w:val="SourceNote"/>
      </w:pPr>
      <w:r>
        <w:rPr>
          <w:b/>
        </w:rPr>
        <w:t>Available abstract (not full text):</w:t>
      </w:r>
      <w:r>
        <w:t xml:space="preserve"> The first stage of Alzheimer's disease is known as Mild Cognitive Impairment. Identification of MCI subjects who are at high risk of developing frame over time is crucial for successful therapy. In order to track the progress of numerous Alzheimer's forecasts over time, automated modelling was used in this work. Three separate longitudinal data systems are used to train models. Then, for each experimental investigation, these models are used to assess biomarker data. Finally, MCI patients at risk of acquiring in the future are identified using a typical support vector machine categorization. Both cognitive points and magnetic resonance image-based measurements are used to thoroughly assess the proposed models' prediction ability. Our suggested strategy produced the maximum AUC 88.93% (Accuracy = 84.29%) and 88.13% (Accuracy = 83.26%) in the five different split verification settings, respectively, 1 year and 2 years prior to conversion prediction of MCI data. Important findings of this research include: Clinical changes in magnetic resonance image- based therapies may be predicted more accurately than cognitive points in two ways: Multiple predictive models are more accurate in predicting change than single biomarker models and Neuropsychology programme by themselves may provide superior long-term change prediction. Enhancing the accuracy of Alzheimer occurrences prediction usi</w:t>
      </w:r>
    </w:p>
    <w:p>
      <w:pPr/>
      <w:r>
        <w:rPr>
          <w:b/>
        </w:rPr>
        <w:t>POSSIBLE 2021:</w:t>
      </w:r>
      <w:r>
        <w:t xml:space="preserve"> Limits of Electoral Predictions Using Twitter — https://doi.org/10.1609/icwsm.v5i1.14189</w:t>
      </w:r>
    </w:p>
    <w:p>
      <w:pPr/>
      <w:r>
        <w:rPr>
          <w:b/>
        </w:rPr>
        <w:t>Shared claim-specific concepts:</w:t>
      </w:r>
      <w:r>
        <w:t xml:space="preserve"> findings, support, not, but; EU scope not established. This is a provisional connection, not an outcome finding.</w:t>
      </w:r>
    </w:p>
    <w:p>
      <w:pPr>
        <w:pStyle w:val="SourceNote"/>
      </w:pPr>
      <w:r>
        <w:rPr>
          <w:b/>
        </w:rPr>
        <w:t>Available abstract (not full text):</w:t>
      </w:r>
      <w:r>
        <w:t xml:space="preserve"> Using social media for political discourse is becoming common practice, especially around election time. One interesting aspect of this trend is the possibility of pulsing the public’s opinion about the elections, and that has attracted the interest of many researchers and the press. Allegedly, predicting electoral outcomes from social media data can be feasible and even simple. Positive results have been reported, but without an analysis on what principle enables them. Our work puts to test the purported predictive power of socialmedia metrics against the 2010 US congressional elections. Here, we applied techniques that had reportedly led to positive election predictions in the past, on the Twitter data collected from the 2010 US congressional elections. Unfortunately, we find no correlation between the analysis results and the electoral outcomes, contradicting previous reports. Observing that 80 years of polling research would support our findings, we argue that one should not be accepting predictions about events using social media data as a black box. Instead, scholarly research should be accompanied by a model explaining the predictive power of social media, when there is one.</w:t>
      </w:r>
    </w:p>
    <w:p>
      <w:pPr>
        <w:pStyle w:val="Heading2"/>
      </w:pPr>
      <w:r>
        <w:t>736.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r>
        <w:rPr>
          <w:b/>
        </w:rPr>
        <w:t>POSSIBLE 2025:</w:t>
      </w:r>
      <w:r>
        <w:t xml:space="preserve"> Stock Rebuilding in a Mixed‐Population Fishery Context: The Case of North Sea and Western Baltic Herring — https://doi.org/10.1111/fme.70037</w:t>
      </w:r>
    </w:p>
    <w:p>
      <w:pPr/>
      <w:r>
        <w:rPr>
          <w:b/>
        </w:rPr>
        <w:t>Shared claim-specific concepts:</w:t>
      </w:r>
      <w:r>
        <w:t xml:space="preserve"> case, baltic, herring, fisheries; EU scope not established. This is a provisional connection, not an outcome finding.</w:t>
      </w:r>
    </w:p>
    <w:p>
      <w:pPr>
        <w:pStyle w:val="SourceNote"/>
      </w:pPr>
      <w:r>
        <w:rPr>
          <w:b/>
        </w:rPr>
        <w:t>Available abstract (not full text):</w:t>
      </w:r>
      <w:r>
        <w:t xml:space="preserve"> ABSTRACT Managing and giving advice for mixed‐population fisheries of the same species can be challenging due to difficulties in predicting stock mixing, technical interactions, and in ensuring precautionary stock dynamics. Most fish species consist of several populations all of which need to be sustainably managed to preserve biodiversity and resilience to environmental changes, and to sustain productive fisheries. Mixing of populations of the same species with different productivity represents additional challenges for assessment and management. In such cases, there is a need to develop assessment and advice methods to consider mixed stocks and advise managers on fishing opportunities. In this study, we develop a framework including multifleet multi‐stock assessment models and forecasts where future stock dynamics depend on stock mixing, fleet‐specific fishing opportunities, and management in place. This framework is applied to the large North Sea herring stock and the overexploited western Baltic herring stock, which in part of their distribution areas are found to be mixed in both catches and surveys. The framework is used to investigate the trade‐offs between stock rebuilding and fishing opportunities in a mixed fishery. The study shows that spatial management implying transfer of quotas away from the areas where the stocks mix and towards the stock in good condition could</w:t>
      </w:r>
    </w:p>
    <w:p>
      <w:pPr/>
      <w:r>
        <w:rPr>
          <w:b/>
        </w:rPr>
        <w:t>POSSIBLE 2024:</w:t>
      </w:r>
      <w:r>
        <w:t xml:space="preserve"> Developing a Multi-Criteria Restaurant Recommendation System with MOORA: A Case Study in Gading Serpong — https://doi.org/10.33168/jliss.2024.1128</w:t>
      </w:r>
    </w:p>
    <w:p>
      <w:pPr/>
      <w:r>
        <w:rPr>
          <w:b/>
        </w:rPr>
        <w:t>Shared claim-specific concepts:</w:t>
      </w:r>
      <w:r>
        <w:t xml:space="preserve"> case, recommendations, use, food, based, assesses; EU scope not established. This is a provisional connection, not an outcome finding.</w:t>
      </w:r>
    </w:p>
    <w:p>
      <w:pPr>
        <w:pStyle w:val="SourceNote"/>
      </w:pPr>
      <w:r>
        <w:rPr>
          <w:b/>
        </w:rPr>
        <w:t>Available abstract (not full text):</w:t>
      </w:r>
      <w:r>
        <w:t xml:space="preserve"> The rapid growth of the restaurant industry in Indonesia, particularly in the Gading Serpong area, has led to an increasing variety of dining options.This abundance of choices can often lead to confusion among consumers when selecting a restaurant.To address this issue, this study aims to develop a web-based restaurant recommendation system using the Multi-Objective Optimization by Ratio Analysis (MOORA) method.The system assists users in making informed decisions by providing restaurant recommendations based on their preferences.The MOORA method is employed to rank restaurants considering multiple criteria such as price, operating hours, cleanliness, food variety, and ratings.The system's effectiveness is evaluated using the End-user Computing Satisfaction (EUCS) method, which assesses user satisfaction across five dimensions: content, accuracy, format, ease of use, and timeliness.The results indicate that the developed system achieves an overall user satisfaction rate of 87.53%, demonstrating its potential to assist users in restaurant selection.This research contributes to the application of multi-criteria decision-making methods in recommendation systems and highlights the importance of user satisfaction evaluation in system development.</w:t>
      </w:r>
    </w:p>
    <w:p>
      <w:pPr/>
      <w:r>
        <w:rPr>
          <w:b/>
        </w:rPr>
        <w:t>POSSIBLE 2024:</w:t>
      </w:r>
      <w:r>
        <w:t xml:space="preserve"> Reduced predation and competition from herring may have contributed to the increase of three-spined stickleback in the Baltic Sea — https://doi.org/10.1093/icesjms/fsae168</w:t>
      </w:r>
    </w:p>
    <w:p>
      <w:pPr/>
      <w:r>
        <w:rPr>
          <w:b/>
        </w:rPr>
        <w:t>Shared claim-specific concepts:</w:t>
      </w:r>
      <w:r>
        <w:t xml:space="preserve"> baltic, herring, food, increased; EU scope visible. This is a provisional connection, not an outcome finding.</w:t>
      </w:r>
    </w:p>
    <w:p>
      <w:pPr>
        <w:pStyle w:val="SourceNote"/>
      </w:pPr>
      <w:r>
        <w:rPr>
          <w:b/>
        </w:rPr>
        <w:t>Available abstract (not full text):</w:t>
      </w:r>
      <w:r>
        <w:t xml:space="preserve"> Abstract In many areas of the Baltic Sea, three-spined stickleback (Gasterosteus aculeatus) has increased several fold since the early 2000s. Two major planktivores of the Baltic Sea, Atlantic herring (Clupea harengus) and European sprat (Sprattus sprattus), may interact with stickleback via competition for food and predation, but the potential implications at the population level are still unknown. Here, we explored interactions between stickleback, herring, and sprat using (i) herring diet analyses and (ii) fish biomass estimates from hydroacoustics for 2001–2019 covering the largest Baltic Sea basins—the Central Baltic and the Bothnian Sea. The diet analyses revealed that stickleback is an important prey for large herring along the Swedish Baltic Sea coast, comprising up to 64% of the diet of individuals &gt;22 cm. We found a negative influence of large herring (&gt;18 cm) on stickleback in the Central Baltic, and a negative relationship between sprat and small herring (&lt;18 cm) (pooled) and stickleback in the Bothnian Sea. The decline in herring and sprat population after the mid-1990s could have contributed to the increase in stickleback population via reduced predation and competition. Overall, herring may be an underappreciated piscivore, and high fishing pressure on herring could generate cascading effects on lower trophic levels.</w:t>
      </w:r>
    </w:p>
    <w:p>
      <w:pPr/>
      <w:r>
        <w:rPr>
          <w:b/>
        </w:rPr>
        <w:t>POSSIBLE 2024:</w:t>
      </w:r>
      <w:r>
        <w:t xml:space="preserve"> Workshop 3 on Stock Identification and Allocation of Catches of Herring to Stocks (WKSIDAC3) — https://doi.org/10.17895/ices.pub.27902457</w:t>
      </w:r>
    </w:p>
    <w:p>
      <w:pPr/>
      <w:r>
        <w:rPr>
          <w:b/>
        </w:rPr>
        <w:t>Shared claim-specific concepts:</w:t>
      </w:r>
      <w:r>
        <w:t xml:space="preserve"> case, baltic, herring, based, workshop; EU scope not established. This is a provisional connection, not an outcome finding.</w:t>
      </w:r>
    </w:p>
    <w:p>
      <w:pPr>
        <w:pStyle w:val="SourceNote"/>
      </w:pPr>
      <w:r>
        <w:rPr>
          <w:b/>
        </w:rPr>
        <w:t>Available abstract (not full text):</w:t>
      </w:r>
      <w:r>
        <w:t xml:space="preserve"> Most herring populations are migratory with variable overlap such that catches and surveys often cover a mixture of stocks. To monitor specific stocks, stock composition data based on ver-tebrae, otoliths or genetics have routinely been collected; however, the design of sampling strate-gies has received limited attention for this specific purpose. WKSIDAC3 reviewed current sam-pling strategies and designs. Further, simulation and case studies evaluated different sampling strategies and the effect of different sample sizes. Most institutes are collecting genetic samples from herring in surveys and commercial catches. However, some gaps are still present, particularly in the southwestern North Sea, eastern Baltic Sea, and Icelandic Sea. The number of individual genotypes needed for inference on stock com-positions depends on the genetic difference between stocks, between haul variation, and the sub-sequent analysis. Simulation studies indicated that random sampling strategies should geno-type at least 30–50 individuals per haul and 300 per stratum. For length stratified sampling the minimum number per haul should be 50–70. When possible, increasing the number of hauls is more effective at increasing precision than increasing the number of genotyped individuals. The two case studies have also demonstrated this. However, further studies based on the specific sampling programs are n</w:t>
      </w:r>
    </w:p>
    <w:p>
      <w:pPr/>
      <w:r>
        <w:rPr>
          <w:b/>
        </w:rPr>
        <w:t>POSSIBLE 2023:</w:t>
      </w:r>
      <w:r>
        <w:t xml:space="preserve"> Storytelling at board meetings: A case study of co-developing recommendations — https://doi.org/10.35680/2372-0247.1742</w:t>
      </w:r>
    </w:p>
    <w:p>
      <w:pPr/>
      <w:r>
        <w:rPr>
          <w:b/>
        </w:rPr>
        <w:t>Shared claim-specific concepts:</w:t>
      </w:r>
      <w:r>
        <w:t xml:space="preserve"> case, recommendations, use, governance; EU scope not established. This is a provisional connection, not an outcome finding.</w:t>
      </w:r>
    </w:p>
    <w:p>
      <w:pPr>
        <w:pStyle w:val="SourceNote"/>
      </w:pPr>
      <w:r>
        <w:rPr>
          <w:b/>
        </w:rPr>
        <w:t>Available abstract (not full text):</w:t>
      </w:r>
      <w:r>
        <w:t xml:space="preserve"> In healthcare, stories shared by patients often provide details and insights into experiences of illness and care. Stories are a way to educate healthcare providers and others to improve care and systems to become more patient and family centred and to better meet patients’ needs and priorities. Telling stories may bring benefits to both storytellers and audience members but also presents risks of harm. A reflective storytelling practice aims to honor stories and storytellers by ensuring there is time to prepare, reflect, learn, ask questions, and engage in dialogue with the storyteller to explore what went well and where there are learning and improvement opportunities. Healthcare Excellence Canada (HEC) is a pan-Canadian health organization focused on improving the quality and safety of care in Canada. HEC commits to engage patients, caregivers, and communities and aims to develop practices and structures to enable engagement activities. At the request of the HEC Board, the Patient Engagement and Partnerships team co-developed recommendations on the process for how best to meaningfully share stories at Board meetings, including stories from those leading, providing, and receiving care. This Case Study outlines the process HEC used to co-develop storytelling recommendations, focusing on a trauma-informed approach to create safe spaces for preparing, learning from and reflectin</w:t>
      </w:r>
    </w:p>
    <w:p>
      <w:pPr/>
      <w:r>
        <w:rPr>
          <w:b/>
        </w:rPr>
        <w:t>POSSIBLE 2023:</w:t>
      </w:r>
      <w:r>
        <w:t xml:space="preserve"> The challenges of developing accurate mood-based music recommendation systems: A Conceptual Case Investigation — https://doi.org/10.21203/rs.3.rs-3364709/v1</w:t>
      </w:r>
    </w:p>
    <w:p>
      <w:pPr/>
      <w:r>
        <w:rPr>
          <w:b/>
        </w:rPr>
        <w:t>Shared claim-specific concepts:</w:t>
      </w:r>
      <w:r>
        <w:t xml:space="preserve"> case, based, identifies; EU scope not established. This is a provisional connection, not an outcome finding.</w:t>
      </w:r>
    </w:p>
    <w:p>
      <w:pPr>
        <w:pStyle w:val="SourceNote"/>
      </w:pPr>
      <w:r>
        <w:rPr>
          <w:b/>
        </w:rPr>
        <w:t>Available abstract (not full text):</w:t>
      </w:r>
      <w:r>
        <w:t xml:space="preserve"> Abstract The development of accurate mood-based music recommendation systems is a challenging task due to the complexity and subjectivity of human emotions, the lack of standardized datasets for mood detection, the diversity of music genres and styles, the cold start problem, and the user's personal preferences. This paper presents a conceptual framework with documentation analysis case study with different scenarios for studying the challenges of developing accurate mood-based music recommendation systems. Case 1 investigated combination of physiological signals and audio features to detect users' moods, Case 2 investigated large dataset of music tracks that had been labeled with emotions to train a machine learning algorithm to recommend music based on users' moods Music recommendation system that uses a combination of collaborative filtering and content-based filtering. We analysis the secondary source of data studied by researchers at the University of California, Berkeley, University of Amsterdam and University of Cambridge. The conceptual framework is based on the theory of emotions, and the documentation analysis identifies the different methods that have been used to develop these systems. The different scenarios are based on the different methods that have been used to develop mood-based music recommendation systems. The paper concludes by discussing the challenges tha</w:t>
      </w:r>
    </w:p>
    <w:p>
      <w:pPr/>
      <w:r>
        <w:rPr>
          <w:b/>
        </w:rPr>
        <w:t>POSSIBLE 2023:</w:t>
      </w:r>
      <w:r>
        <w:t xml:space="preserve"> The prevalence of Corynosoma parasite worms in the great cormorants and the Baltic herring in the northern Baltic Sea, Finland — https://doi.org/10.1016/j.ijppaw.2023.07.004</w:t>
      </w:r>
    </w:p>
    <w:p>
      <w:pPr/>
      <w:r>
        <w:rPr>
          <w:b/>
        </w:rPr>
        <w:t>Shared claim-specific concepts:</w:t>
      </w:r>
      <w:r>
        <w:t xml:space="preserve"> baltic, herring, increased; EU scope visible. This is a provisional connection, not an outcome finding.</w:t>
      </w:r>
    </w:p>
    <w:p>
      <w:pPr>
        <w:pStyle w:val="SourceNote"/>
      </w:pPr>
      <w:r>
        <w:rPr>
          <w:b/>
        </w:rPr>
        <w:t>Available abstract (not full text):</w:t>
      </w:r>
      <w:r>
        <w:t xml:space="preserve"> were found. The prevalence of corynosoma in herring increased from 2014 to 2018, and individuals in the Bothnian Sea were infected less frequently than herring in the Archipelago Sea. Results also showed that infected herring individuals were generally larger than non-infected individuals, which could be explained by their size and their feeding habits. Currently, the changing environment of the Baltic Sea may cause an effect on the herring making them more susceptible to infections. Our results, therefore, emphasize the importance of the regular monitoring of infections and the parasite-host relationships in the Baltic Sea.</w:t>
      </w:r>
    </w:p>
    <w:p>
      <w:pPr>
        <w:pStyle w:val="Heading2"/>
      </w:pPr>
      <w:r>
        <w:t>737.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r>
        <w:rPr>
          <w:b/>
        </w:rPr>
        <w:t>POSSIBLE 2024:</w:t>
      </w:r>
      <w:r>
        <w:t xml:space="preserve"> A Dynamical Systems View of Psychiatric Disorders—Practical Implications — https://doi.org/10.1001/jamapsychiatry.2024.0228</w:t>
      </w:r>
    </w:p>
    <w:p>
      <w:pPr/>
      <w:r>
        <w:rPr>
          <w:b/>
        </w:rPr>
        <w:t>Shared claim-specific concepts:</w:t>
      </w:r>
      <w:r>
        <w:t xml:space="preserve"> practical, implications, conclusions; EU scope not established. This is a provisional connection, not an outcome finding.</w:t>
      </w:r>
    </w:p>
    <w:p>
      <w:pPr>
        <w:pStyle w:val="SourceNote"/>
      </w:pPr>
      <w:r>
        <w:rPr>
          <w:b/>
        </w:rPr>
        <w:t>Available abstract (not full text):</w:t>
      </w:r>
      <w:r>
        <w:t xml:space="preserve"> Importance: Dynamical systems theory is widely used to explain tipping points, cycles, and chaos in complex systems ranging from the climate to ecosystems. It has been suggested that the same theory may be used to explain the nature and dynamics of psychiatric disorders, which may come and go with symptoms changing over a lifetime. Here we review evidence for the practical applicability of this theory and its quantitative tools in psychiatry. Observations: Emerging results suggest that time series of mood and behavior may be used to monitor the resilience of patients using the same generic dynamical indicators that are now employed globally to monitor the risks of collapse of complex systems, such as tropical rainforest and tipping elements of the climate system. Other dynamical systems tools used in ecology and climate science open ways to infer personalized webs of causality for patients that may be used to identify targets for intervention. Meanwhile, experiences in ecological restoration help make sense of the occasional long-term success of short interventions. Conclusions and Relevance: Those observations, while promising, evoke follow-up questions on how best to collect dynamic data, infer informative timescales, construct mechanistic models, and measure the effect of interventions on resilience. Done well, monitoring resilience to inform well-timed interventions may be </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framework, region;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2023:</w:t>
      </w:r>
      <w:r>
        <w:t xml:space="preserve"> Practical implications of workplace ostracism: a systematic literature review — https://doi.org/10.1108/baj-12-2022-0036</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Purpose This review analyzes data from research articles published from 2010 to 2022 related to workplace ostracism which include theoretical or empirical practical implications. The primary motive of this review is to identify main themes of practical implications relevant to workplace ostracism. Design/methodology/approach In total, 86 research articles published in 56 journals were retrieved from six well-known management science databases, namely, Science Direct, Emerald Online, Springer Link, Taylor and Francis, Wiley and Sage. The affinity diagram was utilized to organize the practical implications of the studies into meaningful themes. Moreover, in order to prioritize the main themes, the Pareto diagram was utilized. Findings Eleven themes have been used to categorize the practical implications of the reviewed articles, demonstrating various human resource (HR) interventions for avoiding or limiting the feelings of ostracism at work. Specifically, they focus on training and development, culture, formal and informal meetings, interpersonal relationships, task interdependence, monitoring, trust and transparency, proper channel, job autonomy and individual characteristics. Originality/value While many systematic and traditional literature reviews have been undertaken in an attempt to thoroughly organize extant literature on various aspects of workplace ostracism, no study h</w:t>
      </w:r>
    </w:p>
    <w:p>
      <w:pPr/>
      <w:r>
        <w:rPr>
          <w:b/>
        </w:rPr>
        <w:t>POSSIBLE 2023:</w:t>
      </w:r>
      <w:r>
        <w:t xml:space="preserve"> Sex and Gender Differences in Stroke and Their Practical Implications in Acute Care — https://doi.org/10.5853/jos.2022.04077</w:t>
      </w:r>
    </w:p>
    <w:p>
      <w:pPr/>
      <w:r>
        <w:rPr>
          <w:b/>
        </w:rPr>
        <w:t>Shared claim-specific concepts:</w:t>
      </w:r>
      <w:r>
        <w:t xml:space="preserve"> practical, implications, conclusions, provide; EU scope not established. This is a provisional connection, not an outcome finding.</w:t>
      </w:r>
    </w:p>
    <w:p>
      <w:pPr>
        <w:pStyle w:val="SourceNote"/>
      </w:pPr>
      <w:r>
        <w:rPr>
          <w:b/>
        </w:rPr>
        <w:t>Available abstract (not full text):</w:t>
      </w:r>
      <w:r>
        <w:t xml:space="preserve"> There are several controversies regarding the role of sex and gender in the pathophysiology and management of acute stroke. Assessing the role of sex, i.e., biological/pathophysiological factors, and gender, i.e., sociocultural factors, in isolation is often not possible since they are closely intertwined with each other. To complicate matters even more, the functional baseline status of women and men at the time of their first stroke is substantially different, whereby women have, on average, a poorer reported/ascertained baseline function compared to men. These differences in baseline variables account for a large part of the differences in post-stroke outcomes between women and men. Adjusting for these baseline differences is difficult, and in many cases, residual confounding cannot be excluded. Despite these obstacles, a better understanding of how patient sex and gender differences influence acute stroke and stroke care pathways is crucial to avoid biases and allow us to provide the best possible care for all acute stroke patients. Disregarding patient sex and gender on one hand and ignoring potential confounding factors in sex- and gender-stratified analyses on the other hand, may cause researchers to come to erroneous conclusions and physicians to provide suboptimal care. This review outlines sex- and gender-related factors in key aspects of acute stroke, including acute</w:t>
      </w:r>
    </w:p>
    <w:p>
      <w:pPr/>
      <w:r>
        <w:rPr>
          <w:b/>
        </w:rPr>
        <w:t>POSSIBLE 2023:</w:t>
      </w:r>
      <w:r>
        <w:t xml:space="preserve"> Medico-Legal Implications and Regulatory Frameworks of Regenerative Orthopaedics — https://doi.org/10.7759/cureus.42557</w:t>
      </w:r>
    </w:p>
    <w:p>
      <w:pPr/>
      <w:r>
        <w:rPr>
          <w:b/>
        </w:rPr>
        <w:t>Shared claim-specific concepts:</w:t>
      </w:r>
      <w:r>
        <w:t xml:space="preserve"> implications, provide, framework; EU scope visible. This is a provisional connection, not an outcome finding.</w:t>
      </w:r>
    </w:p>
    <w:p>
      <w:pPr>
        <w:pStyle w:val="SourceNote"/>
      </w:pPr>
      <w:r>
        <w:rPr>
          <w:b/>
        </w:rPr>
        <w:t>Available abstract (not full text):</w:t>
      </w:r>
      <w:r>
        <w:t xml:space="preserve"> Regenerative orthopaedics has revolutionized traditional medicine, which represents a giant leap in science and research. The knowledge of the medico-legal implications and regulatory framework of this branch is vital for clinicians and researchers to go forward smoothly. This systematic review of the literature should shed light on these considerations and provide a comprehensive knowledge of the various implications and laws governing practice and research. The wide plethora of knowledge in the use of regenerative orthopaedics should be complemented by updated regulations and clinicians' grasp of knowledge on regenerative medicine. The review focused on peer-reviewed published articles concerned with the topic and outlined common medico-legal issues and the current regulatory frameworks in various countries. The articles suggest that developed nations like the US have faced several lawsuits in this field, and a few countries in Europe like Italy and Germany, which were frontrunners in this field based on research, have fallen back due to emerging legal and regulatory policies. Undoubtedly, regenerative orthopaedics holds the key to future orthopaedics, but the world is skeptical of this concept, and laws and regulatory frameworks can curb it if not guided well. In India, this field has received prime attention, but at a slow pace when compared to the laws. After reviewing 113</w:t>
      </w:r>
    </w:p>
    <w:p>
      <w:pPr/>
      <w:r>
        <w:rPr>
          <w:b/>
        </w:rPr>
        <w:t>POSSIBLE 2023:</w:t>
      </w:r>
      <w:r>
        <w:t xml:space="preserve"> Resilience: Theoretical Framework and Implications for School — https://doi.org/10.5539/ies.v16n2p1</w:t>
      </w:r>
    </w:p>
    <w:p>
      <w:pPr/>
      <w:r>
        <w:rPr>
          <w:b/>
        </w:rPr>
        <w:t>Shared claim-specific concepts:</w:t>
      </w:r>
      <w:r>
        <w:t xml:space="preserve"> implications, provide, framework; EU scope not established. This is a provisional connection, not an outcome finding.</w:t>
      </w:r>
    </w:p>
    <w:p>
      <w:pPr>
        <w:pStyle w:val="SourceNote"/>
      </w:pPr>
      <w:r>
        <w:rPr>
          <w:b/>
        </w:rPr>
        <w:t>Available abstract (not full text):</w:t>
      </w:r>
      <w:r>
        <w:t xml:space="preserve"> The main purpose of this report is to provide a brief yet holistic view of the concept of Resilience. In the following pages the basic aspects of this term are going to be examined so that not only the significance of Resilience in our everyday lives, but also the factors that affect someone’s ability to bounce back and keep making progress in many aspects of life can be understood despite the adversities that may interfere. The above mentioned are widely known as protective and risk factors depending on the way they affect somebody’s life. Another aspect that is going to be briefly analyzed is the role of school and teacher in students’ resilience- how this role can help students maintain their psychosocial and learning progress.</w:t>
      </w:r>
    </w:p>
    <w:p>
      <w:pPr/>
      <w:r>
        <w:rPr>
          <w:b/>
        </w:rPr>
        <w:t>POSSIBLE 2022:</w:t>
      </w:r>
      <w:r>
        <w:t xml:space="preserve"> THEORETICAL AND PRACTICAL ASPECTS REGARDING THE ISSUANCE OF EUROPEAN INVESTIGATION ORDER — https://openalex.org/W4365816987</w:t>
      </w:r>
    </w:p>
    <w:p>
      <w:pPr/>
      <w:r>
        <w:rPr>
          <w:b/>
        </w:rPr>
        <w:t>Shared claim-specific concepts:</w:t>
      </w:r>
      <w:r>
        <w:t xml:space="preserve"> practical, implications, conclusions, framework; EU scope visible. This is a provisional connection, not an outcome finding.</w:t>
      </w:r>
    </w:p>
    <w:p>
      <w:pPr>
        <w:pStyle w:val="SourceNote"/>
      </w:pPr>
      <w:r>
        <w:rPr>
          <w:b/>
        </w:rPr>
        <w:t>Available abstract (not full text):</w:t>
      </w:r>
      <w:r>
        <w:t xml:space="preserve"> The chosen topic, through its novelty in the field of international judicial cooperation in criminal matters, presents both theoretical and practical importance through the procedural-criminal implications it determines. The author analyzes both synthetically and analytically the functionality of the institution of the European investigation order, determining its content, application limits and subjects involved in the criminal trial report, highlighting the aspects of non-correlation of the objective with the intended purpose. The conclusions materialized in proposals to complete and improve the existing legislative framework, represented by Law no. 236/2017.</w:t>
      </w:r>
    </w:p>
    <w:p>
      <w:pPr/>
      <w:r>
        <w:rPr>
          <w:b/>
        </w:rPr>
        <w:t>POSSIBLE 2022:</w:t>
      </w:r>
      <w:r>
        <w:t xml:space="preserve"> Globalization, Green Economy and Environmental Challenges: State of the Art Review for Practical Implications — https://doi.org/10.3389/fenvs.2022.870271</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Globalization has significantly influenced the economy, ecology, and society during the previous decade. Meanwhile, the green economy has emerged as a critical policy framework for growth and development in developed and developing countries. The current study is an attempt to provide a detailed review on globalization, green economy, and climate challenges to draw some implications. There are disagreements between competing green economic discourses and a variety of definitions, all of which have problems. Recognizing the environmental effects of natural resource depletion and the economic benefits of environmental management are common examples of green economy operationalization. The new study also examines climate change’s impact on the green economy and infrastructure development. The study further considers the role of economic structure to mitigate environmental issues, increase production efficiency, enhance green economy and environmentally friendly technologies. The present study concluded that working toward a green economy helps reduce poverty in the four ways indicated in this study. It also shed a brief light to improves poor people’s access to a healthy and safe environment while increasing human security by preventing or resolving conflicts over land, food, water, and other natural resources.</w:t>
      </w:r>
    </w:p>
    <w:p>
      <w:pPr>
        <w:pStyle w:val="Heading2"/>
      </w:pPr>
      <w:r>
        <w:t>738.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2024:</w:t>
      </w:r>
      <w:r>
        <w:t xml:space="preserve"> Reducing greenhouse gases from ruminants: a Korean perspective — https://doi.org/10.5187/ait.2024.11.2.93</w:t>
      </w:r>
    </w:p>
    <w:p>
      <w:pPr/>
      <w:r>
        <w:rPr>
          <w:b/>
        </w:rPr>
        <w:t>Shared claim-specific concepts:</w:t>
      </w:r>
      <w:r>
        <w:t xml:space="preserve"> aims, reduce, greenhouse, gas, provide, energy; EU scope visible. This is a provisional connection, not an outcome finding.</w:t>
      </w:r>
    </w:p>
    <w:p>
      <w:pPr>
        <w:pStyle w:val="SourceNote"/>
      </w:pPr>
      <w:r>
        <w:rPr>
          <w:b/>
        </w:rPr>
        <w:t>Available abstract (not full text):</w:t>
      </w:r>
      <w:r>
        <w:t xml:space="preserve"> Methane, a gas produced during the digestion process of ruminants, is a greenhouse gas that contributes to global warming and also represents energy loss. Therefore, all countries worldwide, including the United States and Europe, are trying to reduce the amount of methane gas generated. There are many research papers and excellent review papers in this regard. However, this review specifically aims to provide some insights on methane measurement methods and consider ways to reduce greenhouse gases under current domestic conditions. Enteric methane from ruminants is mainly measured using a respiration chamber and the GreenFeed system and can also be measured using an laser methane detector and sulfur hexafluoride (SF6) tracer technique. Research priority needs to be focused on measuring the current level of methane produced more accurately from Korea’s perspective, and financial support and research are imperative for this purpose. In terms of mitigation strategies, it is important to adopt and apply various processes proposed by developed countries, still equally, we also actively make efforts to research and support processes that can be implemented in domestic conditions, such as the use of agricultural by-products, food by-products, and home-grown forages in total mixed ration. Additionally, in addition to developing novel additives or substances at a strategic level, if th</w:t>
      </w:r>
    </w:p>
    <w:p>
      <w:pPr/>
      <w:r>
        <w:rPr>
          <w:b/>
        </w:rPr>
        <w:t>POSSIBLE 2024:</w:t>
      </w:r>
      <w:r>
        <w:t xml:space="preserve"> Advancements in Transition to Green Steel in Europe through Direct Reduced Iron Production — https://doi.org/10.32730/mswt.2024.68.2.2</w:t>
      </w:r>
    </w:p>
    <w:p>
      <w:pPr/>
      <w:r>
        <w:rPr>
          <w:b/>
        </w:rPr>
        <w:t>Shared claim-specific concepts:</w:t>
      </w:r>
      <w:r>
        <w:t xml:space="preserve"> reduce, greenhouse, gas, emissions, compared, reduction; EU scope visible. This is a provisional connection, not an outcome finding.</w:t>
      </w:r>
    </w:p>
    <w:p>
      <w:pPr>
        <w:pStyle w:val="SourceNote"/>
      </w:pPr>
      <w:r>
        <w:rPr>
          <w:b/>
        </w:rPr>
        <w:t>Available abstract (not full text):</w:t>
      </w:r>
      <w:r>
        <w:t xml:space="preserve"> This article describes the current situation in Europe regarding methods of steel production and transition to green steel, produced in a sustainable way, i.e. with renewable energy and without fossil fuels, in order to reduce greenhouse gas emissions. The study focuses on direct reduction (DR) as potentially the best technology to eliminate the use of fossil fuels in the steel industry. The main commercial processes of direct reduced iron (DRI) production such as MIDREX, Energiron, PERED, SL/RN, Fastmet and Circored are described and compared in terms of the quality of finished products, operational conditions and efficiency. The article presents recent statistics regarding the production capacity of DRI, comparing Europe with the rest of the world. Plans concerning the construction of DRI plants across Europe are summarised alongside other projects aimed to support the process of transition to green steel by providing environmentally friendly materials or increasing efficiency of already implemented technologies by recycling waste materials.</w:t>
      </w:r>
    </w:p>
    <w:p>
      <w:pPr/>
      <w:r>
        <w:rPr>
          <w:b/>
        </w:rPr>
        <w:t>POSSIBLE 2024:</w:t>
      </w:r>
      <w:r>
        <w:t xml:space="preserve"> Transforming Trade and Environment: Digital Trade's Impact on Carbon Emissions in the European Union — https://doi.org/10.1002/jid.3977</w:t>
      </w:r>
    </w:p>
    <w:p>
      <w:pPr/>
      <w:r>
        <w:rPr>
          <w:b/>
        </w:rPr>
        <w:t>Shared claim-specific concepts:</w:t>
      </w:r>
      <w:r>
        <w:t xml:space="preserve"> emissions, compared, reduction; EU scope visible. This is a provisional connection, not an outcome finding.</w:t>
      </w:r>
    </w:p>
    <w:p>
      <w:pPr>
        <w:pStyle w:val="SourceNote"/>
      </w:pPr>
      <w:r>
        <w:rPr>
          <w:b/>
        </w:rPr>
        <w:t>Available abstract (not full text):</w:t>
      </w:r>
      <w:r>
        <w:t xml:space="preserve"> ABSTRACT The rapid expansion of digital trade is reshaping global economies, offering promising opportunities to mitigate carbon emissions. This study investigates the impact of digital trade on carbon emissions across 27 European Union countries from 2009 to 2023, presenting new insights into the environmental benefits of digital trade. The empirical findings reveal that digital trade significantly reduces emissions by optimizing industrial structure, promoting technological innovation and enhancing human capital. The heterogeneity analysis shows that this reduction effect is more pronounced in Northern, Western and Central Europe, where digital infrastructure and regulatory support may be more robust, and it is also stronger in highly innovative countries compared to less innovative ones. These results underscore the potential of digital trade as a driver of sustainable economic growth, providing valuable insights for policymakers aiming to leverage digitalization to enhance environmental sustainability, align with climate targets and foster a more efficient, low‐carbon economy.</w:t>
      </w:r>
    </w:p>
    <w:p>
      <w:pPr/>
      <w:r>
        <w:rPr>
          <w:b/>
        </w:rPr>
        <w:t>POSSIBLE 2023:</w:t>
      </w:r>
      <w:r>
        <w:t xml:space="preserve"> Analysis of greenhouse gas and pollutant emission reduction in Ukraine and European Union countries — https://doi.org/10.23939/jeecs2023.01.001</w:t>
      </w:r>
    </w:p>
    <w:p>
      <w:pPr/>
      <w:r>
        <w:rPr>
          <w:b/>
        </w:rPr>
        <w:t>Shared claim-specific concepts:</w:t>
      </w:r>
      <w:r>
        <w:t xml:space="preserve"> aims, reduce, greenhouse, gas, emissions, compared; EU scope visible. This is a provisional connection, not an outcome finding.</w:t>
      </w:r>
    </w:p>
    <w:p>
      <w:pPr>
        <w:pStyle w:val="SourceNote"/>
      </w:pPr>
      <w:r>
        <w:rPr>
          <w:b/>
        </w:rPr>
        <w:t>Available abstract (not full text):</w:t>
      </w:r>
      <w:r>
        <w:t xml:space="preserve">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pPr/>
      <w:r>
        <w:rPr>
          <w:b/>
        </w:rPr>
        <w:t>POSSIBLE 2023:</w:t>
      </w:r>
      <w:r>
        <w:t xml:space="preserve"> On the issue of reducing greenhouse gas emissions from the combustion of organic fuels — https://doi.org/10.18799/24131830/2023/11/4122</w:t>
      </w:r>
    </w:p>
    <w:p>
      <w:pPr/>
      <w:r>
        <w:rPr>
          <w:b/>
        </w:rPr>
        <w:t>Shared claim-specific concepts:</w:t>
      </w:r>
      <w:r>
        <w:t xml:space="preserve"> greenhouse, gas, emissions, reduction, energy; EU scope visible. This is a provisional connection, not an outcome finding.</w:t>
      </w:r>
    </w:p>
    <w:p>
      <w:pPr>
        <w:pStyle w:val="SourceNote"/>
      </w:pPr>
      <w:r>
        <w:rPr>
          <w:b/>
        </w:rPr>
        <w:t>Available abstract (not full text):</w:t>
      </w:r>
      <w:r>
        <w:t xml:space="preserve"> Relevance. Russia has ratified the Paris Climate Agreement. However, European legislation is ambiguously aimed at extracting its own benefits in the current international relations, especially during the period of sanctions against Russia. Expectation of introduction of a carbon tax on the products and services of industry organizations requires a comprehensive analysis of the situation in the field of technology and technologies that contribute to reducing greenhouse gas emissions. Aim. Study of approaches and technologies aimed at reducing greenhouse gas emissions that stimulate the environmentally friendly production of thermal and electrical energy; identification of promising and affordable greenhouse gas condensation technology for domestic energy and features of its application. Object. The list of greenhouse gases was established by the Kyoto Protocol in 1996. The main of greenhouse gases for the energy sector are emissions of carbon dioxide generated by burning fuel in generating heat and electricity. Methods. Analysis of literature data on technologies for utilization of greenhouse gases, the possibilities of its use and reduction of emissions. Analytical calculations were performed to assess the effectiveness of carbon dioxide condensation technology. Results. The authors have carried out the analysis of literature data on regulatory requirements, UN recommendations </w:t>
      </w:r>
    </w:p>
    <w:p>
      <w:pPr>
        <w:pStyle w:val="Heading2"/>
      </w:pPr>
      <w:r>
        <w:t>739.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2024:</w:t>
      </w:r>
      <w:r>
        <w:t xml:space="preserve"> Reducing greenhouse gases from ruminants: a Korean perspective — https://doi.org/10.5187/ait.2024.11.2.93</w:t>
      </w:r>
    </w:p>
    <w:p>
      <w:pPr/>
      <w:r>
        <w:rPr>
          <w:b/>
        </w:rPr>
        <w:t>Shared claim-specific concepts:</w:t>
      </w:r>
      <w:r>
        <w:t xml:space="preserve"> aims, reduce, greenhouse, gas, provide, energy; EU scope visible. This is a provisional connection, not an outcome finding.</w:t>
      </w:r>
    </w:p>
    <w:p>
      <w:pPr>
        <w:pStyle w:val="SourceNote"/>
      </w:pPr>
      <w:r>
        <w:rPr>
          <w:b/>
        </w:rPr>
        <w:t>Available abstract (not full text):</w:t>
      </w:r>
      <w:r>
        <w:t xml:space="preserve"> Methane, a gas produced during the digestion process of ruminants, is a greenhouse gas that contributes to global warming and also represents energy loss. Therefore, all countries worldwide, including the United States and Europe, are trying to reduce the amount of methane gas generated. There are many research papers and excellent review papers in this regard. However, this review specifically aims to provide some insights on methane measurement methods and consider ways to reduce greenhouse gases under current domestic conditions. Enteric methane from ruminants is mainly measured using a respiration chamber and the GreenFeed system and can also be measured using an laser methane detector and sulfur hexafluoride (SF6) tracer technique. Research priority needs to be focused on measuring the current level of methane produced more accurately from Korea’s perspective, and financial support and research are imperative for this purpose. In terms of mitigation strategies, it is important to adopt and apply various processes proposed by developed countries, still equally, we also actively make efforts to research and support processes that can be implemented in domestic conditions, such as the use of agricultural by-products, food by-products, and home-grown forages in total mixed ration. Additionally, in addition to developing novel additives or substances at a strategic level, if th</w:t>
      </w:r>
    </w:p>
    <w:p>
      <w:pPr/>
      <w:r>
        <w:rPr>
          <w:b/>
        </w:rPr>
        <w:t>POSSIBLE 2024:</w:t>
      </w:r>
      <w:r>
        <w:t xml:space="preserve"> Advancements in Transition to Green Steel in Europe through Direct Reduced Iron Production — https://doi.org/10.32730/mswt.2024.68.2.2</w:t>
      </w:r>
    </w:p>
    <w:p>
      <w:pPr/>
      <w:r>
        <w:rPr>
          <w:b/>
        </w:rPr>
        <w:t>Shared claim-specific concepts:</w:t>
      </w:r>
      <w:r>
        <w:t xml:space="preserve"> reduce, greenhouse, gas, emissions, compared, reduction; EU scope visible. This is a provisional connection, not an outcome finding.</w:t>
      </w:r>
    </w:p>
    <w:p>
      <w:pPr>
        <w:pStyle w:val="SourceNote"/>
      </w:pPr>
      <w:r>
        <w:rPr>
          <w:b/>
        </w:rPr>
        <w:t>Available abstract (not full text):</w:t>
      </w:r>
      <w:r>
        <w:t xml:space="preserve"> This article describes the current situation in Europe regarding methods of steel production and transition to green steel, produced in a sustainable way, i.e. with renewable energy and without fossil fuels, in order to reduce greenhouse gas emissions. The study focuses on direct reduction (DR) as potentially the best technology to eliminate the use of fossil fuels in the steel industry. The main commercial processes of direct reduced iron (DRI) production such as MIDREX, Energiron, PERED, SL/RN, Fastmet and Circored are described and compared in terms of the quality of finished products, operational conditions and efficiency. The article presents recent statistics regarding the production capacity of DRI, comparing Europe with the rest of the world. Plans concerning the construction of DRI plants across Europe are summarised alongside other projects aimed to support the process of transition to green steel by providing environmentally friendly materials or increasing efficiency of already implemented technologies by recycling waste materials.</w:t>
      </w:r>
    </w:p>
    <w:p>
      <w:pPr/>
      <w:r>
        <w:rPr>
          <w:b/>
        </w:rPr>
        <w:t>POSSIBLE 2024:</w:t>
      </w:r>
      <w:r>
        <w:t xml:space="preserve"> Transforming Trade and Environment: Digital Trade's Impact on Carbon Emissions in the European Union — https://doi.org/10.1002/jid.3977</w:t>
      </w:r>
    </w:p>
    <w:p>
      <w:pPr/>
      <w:r>
        <w:rPr>
          <w:b/>
        </w:rPr>
        <w:t>Shared claim-specific concepts:</w:t>
      </w:r>
      <w:r>
        <w:t xml:space="preserve"> emissions, compared, reduction; EU scope visible. This is a provisional connection, not an outcome finding.</w:t>
      </w:r>
    </w:p>
    <w:p>
      <w:pPr>
        <w:pStyle w:val="SourceNote"/>
      </w:pPr>
      <w:r>
        <w:rPr>
          <w:b/>
        </w:rPr>
        <w:t>Available abstract (not full text):</w:t>
      </w:r>
      <w:r>
        <w:t xml:space="preserve"> ABSTRACT The rapid expansion of digital trade is reshaping global economies, offering promising opportunities to mitigate carbon emissions. This study investigates the impact of digital trade on carbon emissions across 27 European Union countries from 2009 to 2023, presenting new insights into the environmental benefits of digital trade. The empirical findings reveal that digital trade significantly reduces emissions by optimizing industrial structure, promoting technological innovation and enhancing human capital. The heterogeneity analysis shows that this reduction effect is more pronounced in Northern, Western and Central Europe, where digital infrastructure and regulatory support may be more robust, and it is also stronger in highly innovative countries compared to less innovative ones. These results underscore the potential of digital trade as a driver of sustainable economic growth, providing valuable insights for policymakers aiming to leverage digitalization to enhance environmental sustainability, align with climate targets and foster a more efficient, low‐carbon economy.</w:t>
      </w:r>
    </w:p>
    <w:p>
      <w:pPr/>
      <w:r>
        <w:rPr>
          <w:b/>
        </w:rPr>
        <w:t>POSSIBLE 2023:</w:t>
      </w:r>
      <w:r>
        <w:t xml:space="preserve"> Analysis of greenhouse gas and pollutant emission reduction in Ukraine and European Union countries — https://doi.org/10.23939/jeecs2023.01.001</w:t>
      </w:r>
    </w:p>
    <w:p>
      <w:pPr/>
      <w:r>
        <w:rPr>
          <w:b/>
        </w:rPr>
        <w:t>Shared claim-specific concepts:</w:t>
      </w:r>
      <w:r>
        <w:t xml:space="preserve"> aims, reduce, greenhouse, gas, emissions, compared; EU scope visible. This is a provisional connection, not an outcome finding.</w:t>
      </w:r>
    </w:p>
    <w:p>
      <w:pPr>
        <w:pStyle w:val="SourceNote"/>
      </w:pPr>
      <w:r>
        <w:rPr>
          <w:b/>
        </w:rPr>
        <w:t>Available abstract (not full text):</w:t>
      </w:r>
      <w:r>
        <w:t xml:space="preserve">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pPr/>
      <w:r>
        <w:rPr>
          <w:b/>
        </w:rPr>
        <w:t>POSSIBLE 2023:</w:t>
      </w:r>
      <w:r>
        <w:t xml:space="preserve"> On the issue of reducing greenhouse gas emissions from the combustion of organic fuels — https://doi.org/10.18799/24131830/2023/11/4122</w:t>
      </w:r>
    </w:p>
    <w:p>
      <w:pPr/>
      <w:r>
        <w:rPr>
          <w:b/>
        </w:rPr>
        <w:t>Shared claim-specific concepts:</w:t>
      </w:r>
      <w:r>
        <w:t xml:space="preserve"> greenhouse, gas, emissions, reduction, energy; EU scope visible. This is a provisional connection, not an outcome finding.</w:t>
      </w:r>
    </w:p>
    <w:p>
      <w:pPr>
        <w:pStyle w:val="SourceNote"/>
      </w:pPr>
      <w:r>
        <w:rPr>
          <w:b/>
        </w:rPr>
        <w:t>Available abstract (not full text):</w:t>
      </w:r>
      <w:r>
        <w:t xml:space="preserve"> Relevance. Russia has ratified the Paris Climate Agreement. However, European legislation is ambiguously aimed at extracting its own benefits in the current international relations, especially during the period of sanctions against Russia. Expectation of introduction of a carbon tax on the products and services of industry organizations requires a comprehensive analysis of the situation in the field of technology and technologies that contribute to reducing greenhouse gas emissions. Aim. Study of approaches and technologies aimed at reducing greenhouse gas emissions that stimulate the environmentally friendly production of thermal and electrical energy; identification of promising and affordable greenhouse gas condensation technology for domestic energy and features of its application. Object. The list of greenhouse gases was established by the Kyoto Protocol in 1996. The main of greenhouse gases for the energy sector are emissions of carbon dioxide generated by burning fuel in generating heat and electricity. Methods. Analysis of literature data on technologies for utilization of greenhouse gases, the possibilities of its use and reduction of emissions. Analytical calculations were performed to assess the effectiveness of carbon dioxide condensation technology. Results. The authors have carried out the analysis of literature data on regulatory requirements, UN recommendations </w:t>
      </w:r>
    </w:p>
    <w:p>
      <w:pPr>
        <w:pStyle w:val="Heading2"/>
      </w:pPr>
      <w:r>
        <w:t>740.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2024:</w:t>
      </w:r>
      <w:r>
        <w:t xml:space="preserve"> Attributing responsibility to farmers for environmental protection and climate action: insights from the European Union — https://doi.org/10.1007/s13412-024-00981-7</w:t>
      </w:r>
    </w:p>
    <w:p>
      <w:pPr/>
      <w:r>
        <w:rPr>
          <w:b/>
        </w:rPr>
        <w:t>Shared claim-specific concepts:</w:t>
      </w:r>
      <w:r>
        <w:t xml:space="preserve"> farmers, climate, environmental; EU scope visible. This is a provisional connection, not an outcome finding.</w:t>
      </w:r>
    </w:p>
    <w:p>
      <w:pPr>
        <w:pStyle w:val="SourceNote"/>
      </w:pPr>
      <w:r>
        <w:rPr>
          <w:b/>
        </w:rPr>
        <w:t>Available abstract (not full text):</w:t>
      </w:r>
      <w:r>
        <w:t xml:space="preserve"> The attribution of responsibility is an important aspect of democratic government and governance. This study is interested in explaining variation in the responsibility that the public attributes to farmers for tackling climate change and environmental degradation. It analyzes data for respondents based in the 27 member states of the European Union as offered by a special issue of the Eurobarometer. Theoretically, the study postulates that if individuals perceive agriculture as a cause of climate change and environmental degradation, then they are more likely to indicate that it is a responsibility of farmers to take environmental and climate action. It also hypothesizes that individuals with a left-leaning ideology are more likely to attribute responsibility to farmers than right-leaning ones. Empirically, we find that the attribution of responsibility to farmers for mitigating climate change and environmental degradation is highest among Danes and lowest among Estonians. In 19 out of the 27 member states, our hypothesis holds true that individuals who perceive agriculture as a cause of climate change and environmental degradation are also more likely to attribute farmers' responsibility for taking climate and environmental action. And in 11 member states, left-leaning individuals have a significantly higher likelihood of attributing farmers' responsibility for tackling climat</w:t>
      </w:r>
    </w:p>
    <w:p>
      <w:pPr/>
      <w:r>
        <w:rPr>
          <w:b/>
        </w:rPr>
        <w:t>POSSIBLE 2023:</w:t>
      </w:r>
      <w:r>
        <w:t xml:space="preserve"> Farmers’ behavioural determinants of on-farm biodiversity management in Europe: a systematic review — https://doi.org/10.1007/s10460-023-10505-8</w:t>
      </w:r>
    </w:p>
    <w:p>
      <w:pPr/>
      <w:r>
        <w:rPr>
          <w:b/>
        </w:rPr>
        <w:t>Shared claim-specific concepts:</w:t>
      </w:r>
      <w:r>
        <w:t xml:space="preserve"> farmers, major, policies; EU scope visible. This is a provisional connection, not an outcome finding.</w:t>
      </w:r>
    </w:p>
    <w:p>
      <w:pPr>
        <w:pStyle w:val="SourceNote"/>
      </w:pPr>
      <w:r>
        <w:rPr>
          <w:b/>
        </w:rPr>
        <w:t>Available abstract (not full text):</w:t>
      </w:r>
      <w:r>
        <w:t xml:space="preserve"> Abstract Agricultural intensification and landscape homogenisation are major drivers of biodiversity loss in European agricultural landscapes. Improvements require changes in farming practices, but empirical evidence on farmers’ motivations underlying their on-farm biodiversity management remains fragmented. To date, there is no aggregated overview of behavioural determinants that influence European farmers’ decisions to implement biodiversity-friendly farming practices. This study aims to fill this knowledge gap by conducting a systematic literature review of 150 empirical studies published between 2000 and 2022. We identified 108 potential determinants of farmers’ behaviour, which were integrated into a multilevel framework. The results show that the farmers’ decisions are complex and often non-directional processes, shaped by numerous external (at a society, landscape, community, and farm level) and internal factors. These factors are embedded in regional and cultural contexts. However, the analysis of study sites indicates that the spatial coverage of scientific evidence on biodiversity-friendly farming measures is uneven across Europe. Given the diversity of local and socio-cultural conditions, there is a need for public policies, including the European Union’s Common Agricultural Policy, to address more specifically determinants encouraging biodiversity-friendly farm mana</w:t>
      </w:r>
    </w:p>
    <w:p>
      <w:pPr/>
      <w:r>
        <w:rPr>
          <w:b/>
        </w:rPr>
        <w:t>POSSIBLE 2022:</w:t>
      </w:r>
      <w:r>
        <w:t xml:space="preserve"> WHAT AFFECTS THE FINANCIAL STRUCTURE OF FIRMS IN THE ICT INDUSTRY IN SELECTED EUROPEAN COUNTRIES — https://doi.org/10.25142/aak.2022.016</w:t>
      </w:r>
    </w:p>
    <w:p>
      <w:pPr/>
      <w:r>
        <w:rPr>
          <w:b/>
        </w:rPr>
        <w:t>Shared claim-specific concepts:</w:t>
      </w:r>
      <w:r>
        <w:t xml:space="preserve"> affect, industry, different; EU scope visible. This is a provisional connection, not an outcome finding.</w:t>
      </w:r>
    </w:p>
    <w:p>
      <w:pPr>
        <w:pStyle w:val="SourceNote"/>
      </w:pPr>
      <w:r>
        <w:rPr>
          <w:b/>
        </w:rPr>
        <w:t>Available abstract (not full text):</w:t>
      </w:r>
      <w:r>
        <w:t xml:space="preserve"> During its life cycle, a company needs different amounts of funds, which can come from different entities.Each company has a specific structure of funding sources with respect to geographical and industry affiliation.The size of the company also has an impact on the structure of these sources.There is a number of determinants that affects the financial structure which is why a universal recommendation cannot be found.Thanks to these facts, more and more research has been created for over half a century.However, it is not possible to focus on individual companies and so compare different industries and economies.This research expands knowledge in the industry of information and telecommunication technologies in the countries of the extended Visegrád Group (V4 plus Austria, Bulgaria, Romania, Slovenia).Medium and (very) large companies during the period 2010-2018 are analysed.The aim of this research is to determine whether profitability, liquidity, asset structure, GDP growth rate, inflation rate and reference interest rate affect the level of total, long-term and short-term debt.The Generalized Method of Moments was chosen to determine these impacts.The main conclusion is that without regard to the size, the level of debt is most affected by determinants that represent the external environment of companies with the level of the reference interest rate having the most significan</w:t>
      </w:r>
    </w:p>
    <w:p>
      <w:pPr/>
      <w:r>
        <w:rPr>
          <w:b/>
        </w:rPr>
        <w:t>POSSIBLE 2022:</w:t>
      </w:r>
      <w:r>
        <w:t xml:space="preserve"> Ship of Darkness: Jazz and/as Affect in the Global Cruise Industry — https://doi.org/10.5406/25784773.5.2.02</w:t>
      </w:r>
    </w:p>
    <w:p>
      <w:pPr/>
      <w:r>
        <w:rPr>
          <w:b/>
        </w:rPr>
        <w:t>Shared claim-specific concepts:</w:t>
      </w:r>
      <w:r>
        <w:t xml:space="preserve"> affect, industry, notably; EU scope not established. This is a provisional connection, not an outcome finding.</w:t>
      </w:r>
    </w:p>
    <w:p>
      <w:pPr>
        <w:pStyle w:val="SourceNote"/>
      </w:pPr>
      <w:r>
        <w:rPr>
          <w:b/>
        </w:rPr>
        <w:t>Available abstract (not full text):</w:t>
      </w:r>
      <w:r>
        <w:t xml:space="preserve"> This is an experimental story that dwells in the connections between academic jazz programs and the global cruise industry, the ideological and affective attachments people maintain between these two institutions in the twenty-first century, and what is at stake in their naming and contemplation.3 Using disruptively prosed rhythms and modular form, it attempts a worlding of everyday cruise life and the soundings, mobilities, and affective geographies of early-career musicians living at sea, profoundly unmoored from the places and networks in which jazz is typically thought to flourish.Narrating this story means disrupting the silence of jazz studies on a political economy that has implicated generations of university-trained musicians ever since the turn of the 1970s, which witnessed the coterminous rise of college jazz education in the United States and multinational, corporatized cruise tourism.4 From the former emerged a musical workforce particularly suited for the latter's burgeoning demand for entertainment: technically and stylistically versatile, trained to both improvise and sight-read, and otherwise poised to enter an increasingly precarious terrestrial gig economy, many of these hybrid musicians pay their dues—and their bills—not on the road, but in international waters.Studying the flow of bodies, sounds, and capital between jazz schools and cruise ships, writing th</w:t>
      </w:r>
    </w:p>
    <w:p>
      <w:pPr/>
      <w:r>
        <w:rPr>
          <w:b/>
        </w:rPr>
        <w:t>POSSIBLE 2022:</w:t>
      </w:r>
      <w:r>
        <w:t xml:space="preserve"> Typologies of European farmers: approaches, methods and research gaps — https://doi.org/10.1007/s10113-022-01899-y</w:t>
      </w:r>
    </w:p>
    <w:p>
      <w:pPr/>
      <w:r>
        <w:rPr>
          <w:b/>
        </w:rPr>
        <w:t>Shared claim-specific concepts:</w:t>
      </w:r>
      <w:r>
        <w:t xml:space="preserve"> farmers, different, environmental; EU scope visible. This is a provisional connection, not an outcome finding.</w:t>
      </w:r>
    </w:p>
    <w:p>
      <w:pPr>
        <w:pStyle w:val="SourceNote"/>
      </w:pPr>
      <w:r>
        <w:rPr>
          <w:b/>
        </w:rPr>
        <w:t>Available abstract (not full text):</w:t>
      </w:r>
      <w:r>
        <w:t xml:space="preserve"> Abstract Understanding farmers’ behaviour and their different responses to environmental change, institutional change and policy interventions is important to facilitate the understanding of the drivers of environmental degradation. Identification of behavioural types can be very useful in informing the design of targeted instruments to support transformation towards sustainable agriculture and facilitating the transferability of findings between contexts, while also pointing out limits to the generalization of behavioural patterns detected in individual studies. However, typologies of European farmers are quite scattered geographically, among contexts and disciplines. Here, we present results from a literature review of empirically derived European farmer typologies from 36 academic studies. We investigate the underlying methodologies for determining the types, the purposes of developing typologies and whether there are recurring farmer types across contexts and locations. Our results show that (i) the field is quite diverse in terms of purposes, methods and variables used to develop typologies; (ii) there is surprisingly little awareness of the broader literature; (iii) while there are recurring types, they are still diverse and difficult to compare across studies. We recommend a stronger embedding of new typologies in the existing literature and improvements in the transpare</w:t>
      </w:r>
    </w:p>
    <w:p>
      <w:pPr/>
      <w:r>
        <w:rPr>
          <w:b/>
        </w:rPr>
        <w:t>POSSIBLE 2022:</w:t>
      </w:r>
      <w:r>
        <w:t xml:space="preserve"> Finding the ecological farmer: A farmer typology to understand ecological practice adoption within Europe — https://doi.org/10.1016/j.crsust.2022.100125</w:t>
      </w:r>
    </w:p>
    <w:p>
      <w:pPr/>
      <w:r>
        <w:rPr>
          <w:b/>
        </w:rPr>
        <w:t>Shared claim-specific concepts:</w:t>
      </w:r>
      <w:r>
        <w:t xml:space="preserve"> industry, farmers, climate, policies, chain; EU scope visible. This is a provisional connection, not an outcome finding.</w:t>
      </w:r>
    </w:p>
    <w:p>
      <w:pPr>
        <w:pStyle w:val="SourceNote"/>
      </w:pPr>
      <w:r>
        <w:rPr>
          <w:b/>
        </w:rPr>
        <w:t>Available abstract (not full text):</w:t>
      </w:r>
      <w:r>
        <w:t xml:space="preserve"> Agricultural policies are now orientated towards sustainable food production which integrate climate and biodiversity targets. Increasing the uptake of ecological approaches is intrinsic to the success of these policies. but this is contingent on farmer acceptability of these practices. We employ a cross-European farmer survey to explore the perspectives of producers and to derive a typology based on their ecological self-identities.Using a one stage latent class model we find four types and examine common factors which may correlate to farmer membership of a particular group. We find two types which are positive towards uptake of ecological approaches but are mainly differentiated by their responses to social pressure and the acceptance of ecological practices within their supply chains. A further group reveals a multifunctional identity, which balances ecological with food productivity goals, whereas a final group show indifference towards ecological approaches and may align with previous work identifying productivist farming identities. As Governments are seeking to promote transition within the industry we argue for clear policy intent inmessaging, as well as approaches which support supply chain dialogue to target particular groups of farmers for real behavioural change.</w:t>
      </w:r>
    </w:p>
    <w:p>
      <w:pPr/>
      <w:r>
        <w:rPr>
          <w:b/>
        </w:rPr>
        <w:t>POSSIBLE 2022:</w:t>
      </w:r>
      <w:r>
        <w:t xml:space="preserve"> European Farmer Perspectives and their Adoption of Ecological Practices — https://doi.org/10.1111/1746-692x.12371</w:t>
      </w:r>
    </w:p>
    <w:p>
      <w:pPr/>
      <w:r>
        <w:rPr>
          <w:b/>
        </w:rPr>
        <w:t>Shared claim-specific concepts:</w:t>
      </w:r>
      <w:r>
        <w:t xml:space="preserve"> farmers, forces, environmental; EU scope visible. This is a provisional connection, not an outcome finding.</w:t>
      </w:r>
    </w:p>
    <w:p>
      <w:pPr>
        <w:pStyle w:val="SourceNote"/>
      </w:pPr>
      <w:r>
        <w:rPr>
          <w:b/>
        </w:rPr>
        <w:t>Available abstract (not full text):</w:t>
      </w:r>
      <w:r>
        <w:t xml:space="preserve"> Summary Delivering an agricultural policy which meets ecosystem and climatic pressures and addresses weaknesses in our current food system presents complex challenges for food producers. Adoption of ecological practices will reduce the dependence on imports into the farm and is one way to meet some of these policy ambitions. Understanding why farmers do or don’t adopt these practices is key to enabling this transition. This study outlines a series of investigations into the key barriers, values and perceptions towards ecological practice adoption across European farming. We find that personal, technical and institutional forces influence the adoption of more sustainable practices but these forces have varying levels of influence. The tensions between environmental, compared to purely production orientated motivations, may be a key barrier to ecological practice adoption. We also find a strong influence of commodity supply chains which may either encourage or limit adoption of these approaches. Promoting efforts for co‐ordinated approaches between the public and private sectors may mitigate some of the dissonance in messaging towards these practices and alleviate these tensions. We also identify a great deal of heterogeneity within the European farming community and argue for a more targeted approach that would encourage adoption of ecological approaches and promote the scaling </w:t>
      </w:r>
    </w:p>
    <w:p>
      <w:pPr>
        <w:pStyle w:val="Heading2"/>
      </w:pPr>
      <w:r>
        <w:t>741.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pStyle w:val="Heading2"/>
      </w:pPr>
      <w:r>
        <w:t>742.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health, discuss, trends;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Exploring the Need for Medical Futures Studies: Insights From a Scoping Review of Health Care Foresight — https://doi.org/10.2196/57148</w:t>
      </w:r>
    </w:p>
    <w:p>
      <w:pPr/>
      <w:r>
        <w:rPr>
          <w:b/>
        </w:rPr>
        <w:t>Shared claim-specific concepts:</w:t>
      </w:r>
      <w:r>
        <w:t xml:space="preserve"> foresight, health, care, trends; EU scope not established. This is a provisional connection, not an outcome finding.</w:t>
      </w:r>
    </w:p>
    <w:p>
      <w:pPr>
        <w:pStyle w:val="SourceNote"/>
      </w:pPr>
      <w:r>
        <w:rPr>
          <w:b/>
        </w:rPr>
        <w:t>Available abstract (not full text):</w:t>
      </w:r>
      <w:r>
        <w:t xml:space="preserve"> BACKGROUND: The historical development and contemporary instances of futures studies, an interdisciplinary field that focuses on exploring and formulating alternative futures, exemplify the increasing significance of using futures methods in shaping the health care domain. Despite the wide array of these methodologies, there have been limited endeavors to employ them within the medical community thus far. OBJECTIVE: We undertook the first scoping review to date about the application of futures methodologies and published foresight projects in health care. METHODS: Through the use of the PRISMA-ScR (Preferred Reporting Items for Systematic Reviews and Meta-Analyses extension for Scoping Reviews) method, we identified 59 studies that were subsequently categorized into the following 5 distinct themes: national strategies (n=19), strategic health care foresight (n=15), health care policy and workforce dynamics (n=6), pandemic preparedness and response (n=7), and specialized medical domains (n=12). RESULTS: Our scoping review revealed that the application of futures methods and foresight has been successfully demonstrated in a wide range of fields, including national strategies, policy formulation, global threat preparedness, and technological advancements. The results of our review indicate that a total of 8 futures methods have already been used in medicine and health care, while </w:t>
      </w:r>
    </w:p>
    <w:p>
      <w:pPr/>
      <w:r>
        <w:rPr>
          <w:b/>
        </w:rPr>
        <w:t>POSSIBLE 2024:</w:t>
      </w:r>
      <w:r>
        <w:t xml:space="preserve"> Emerging Biotechnologies in Europe: Foresight for Policy — https://doi.org/10.2760/4814109</w:t>
      </w:r>
    </w:p>
    <w:p>
      <w:pPr/>
      <w:r>
        <w:rPr>
          <w:b/>
        </w:rPr>
        <w:t>Shared claim-specific concepts:</w:t>
      </w:r>
      <w:r>
        <w:t xml:space="preserve"> foresight, affect;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approaches for future health shocks: integration into policy making and accompanying research priorities — https://doi.org/10.1136/bmj-2023-078647</w:t>
      </w:r>
    </w:p>
    <w:p>
      <w:pPr/>
      <w:r>
        <w:rPr>
          <w:b/>
        </w:rPr>
        <w:t>Shared claim-specific concepts:</w:t>
      </w:r>
      <w:r>
        <w:t xml:space="preserve"> foresight, health; EU scope not established. This is a provisional connection, not an outcome finding.</w:t>
      </w:r>
    </w:p>
    <w:p>
      <w:pPr>
        <w:pStyle w:val="SourceNote"/>
      </w:pPr>
      <w:r>
        <w:rPr>
          <w:b/>
        </w:rPr>
        <w:t>Available abstract (not full text):</w:t>
      </w:r>
      <w:r>
        <w:t xml:space="preserve"> Christina Pagel and colleagues argue that foresight approaches are key to preparedness for emergencies such as covid-19 and that these must be integrated within policy making at all levels</w:t>
      </w:r>
    </w:p>
    <w:p>
      <w:pPr/>
      <w:r>
        <w:rPr>
          <w:b/>
        </w:rPr>
        <w:t>POSSIBLE 2023:</w:t>
      </w:r>
      <w:r>
        <w:t xml:space="preserve"> Scenario Development Using Foresight Studies — https://doi.org/10.5281/zenodo.7944509</w:t>
      </w:r>
    </w:p>
    <w:p>
      <w:pPr/>
      <w:r>
        <w:rPr>
          <w:b/>
        </w:rPr>
        <w:t>Shared claim-specific concepts:</w:t>
      </w:r>
      <w:r>
        <w:t xml:space="preserve"> foresight, project, modelling, health, stakeholders, trends; EU scope visible. This is a provisional connection, not an outcome finding.</w:t>
      </w:r>
    </w:p>
    <w:p>
      <w:pPr>
        <w:pStyle w:val="SourceNote"/>
      </w:pPr>
      <w:r>
        <w:rPr>
          <w:b/>
        </w:rPr>
        <w:t>Available abstract (not full text):</w:t>
      </w:r>
      <w:r>
        <w:t xml:space="preserve">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pPr/>
      <w:r>
        <w:rPr>
          <w:b/>
        </w:rPr>
        <w:t>POSSIBLE 2023:</w:t>
      </w:r>
      <w:r>
        <w:t xml:space="preserve"> Foresight in public health: application and challenges — https://doi.org/10.1093/eurpub/ckad160.1000</w:t>
      </w:r>
    </w:p>
    <w:p>
      <w:pPr/>
      <w:r>
        <w:rPr>
          <w:b/>
        </w:rPr>
        <w:t>Shared claim-specific concepts:</w:t>
      </w:r>
      <w:r>
        <w:t xml:space="preserve"> foresight, project, health, discuss, stakeholders, trends; EU scope not established. This is a provisional connection, not an outcome finding.</w:t>
      </w:r>
    </w:p>
    <w:p>
      <w:pPr>
        <w:pStyle w:val="SourceNote"/>
      </w:pPr>
      <w:r>
        <w:rPr>
          <w:b/>
        </w:rPr>
        <w:t>Available abstract (not full text):</w:t>
      </w:r>
      <w:r>
        <w:t xml:space="preserve"> Abstract Background Foresight studies in the field of public health are limited. However, in the context of increasing uncertainty and complexity, such as with the COVID-19 pandemic, there is growing need to anticipate future trends and to plan for them. Foresight provides the tools to explore possible futures and develop policy strategies. Despite its value, foresight is an underused methodology. Hence, the aim of this study is to illustrate how foresight can be applied in public health, and how to deal with the associated challenges. Methods We describe the six-steps that are part of foresight methodology. In step 1 we discuss how to formulate study objectives. We illustrate in step 2, the application of the conceptual model and the DESTEP tool to identify and rank driving forces. We then discuss time horizon and spatial distribution, in step 3. In step 4, we discuss scenario logics. Finally in steps 5 and 6, we discuss the types of scenarios and tools for analyses. Possible challenges encountered when applying foresight methodology are drawn from the experiences and lessons learnt from the PHIRI project. Results Challenges during application of the foresight six-steps approach included difficulties in formulating research objectives, developing a conceptual model, identifying most important future trends, developing systematic, consistent and plausible scenarios with clear m</w:t>
      </w:r>
    </w:p>
    <w:p>
      <w:pPr/>
      <w:r>
        <w:rPr>
          <w:b/>
        </w:rPr>
        <w:t>POSSIBLE 2023:</w:t>
      </w:r>
      <w:r>
        <w:t xml:space="preserve"> Foresight for policy making to be better prepared for the future — https://doi.org/10.1093/eurpub/ckad160.236</w:t>
      </w:r>
    </w:p>
    <w:p>
      <w:pPr/>
      <w:r>
        <w:rPr>
          <w:b/>
        </w:rPr>
        <w:t>Shared claim-specific concepts:</w:t>
      </w:r>
      <w:r>
        <w:t xml:space="preserve"> foresight, health, discuss, stakeholders, trends; EU scope not established. This is a provisional connection, not an outcome finding.</w:t>
      </w:r>
    </w:p>
    <w:p>
      <w:pPr>
        <w:pStyle w:val="SourceNote"/>
      </w:pPr>
      <w:r>
        <w:rPr>
          <w:b/>
        </w:rPr>
        <w:t>Available abstract (not full text):</w:t>
      </w:r>
      <w:r>
        <w:t xml:space="preserve"> Abstract Background The COVID-19 pandemic showed that we were not prepared for unexpected and uncertain events. Foresight provides a process that explores the future to anticipate such events and be better prepared. However, in public health, foresight is underdeveloped and underused. It is necessary that policy makers and stakeholders realize the potential and benefits of including foresight into the policy cycle and advocate towards its implementation. Methods Foresight provides a systematic, participatory, and vision-building process that explores the future to anticipate trends and support present-day actions. It provides a participatory platform to discuss such trends and explore different scenarios to get insights into possible challenges and how to address them. Results Foresight studies can allow policy makers to discuss trends, build scenarios, and anticipate future challenges while also exploring desirable futures. We propose several recommendations to professionals and policy makers to include foresight into the policy cycle to promote sustainable and resilient health systems. Conclusions Foresight does not predict the future, it rather explores it through plausible scenarios that consider uncertainty. It provides an overview into possible future challenges to allow present-day policies that anticipate and address these challenges. Implementing foresight into the pol</w:t>
      </w:r>
    </w:p>
    <w:p>
      <w:pPr>
        <w:pStyle w:val="Heading2"/>
      </w:pPr>
      <w:r>
        <w:t>743.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r>
        <w:rPr>
          <w:b/>
        </w:rPr>
        <w:t>POSSIBLE 2023:</w:t>
      </w:r>
      <w:r>
        <w:t xml:space="preserve"> NEW WEATHER FORECASTING APPLICATIONS — https://doi.org/10.21608/ajmris.2023.317449</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Most state-of-the-art approaches for weather and climate modelling are based on physics informed numerical models of the atmosphere. These approaches aim to model the non-linear dynamics and complex interactions between multiple variables, which are challenging to approximate. Additionally, many such numerical models are computationally intensive, especially when modelling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In this research, the data available on Google for research objectives was used in two different algorithms through neural networks (ANN) and by controlling the design of these networks and training them hard, with the aim of obtaining results with a high degree of accuracy for weather forecasting for a period of up to 365 days in the first proposed model of neural networks and in case of the second algorithm the weather forecasted period is of up to four years (1460 days). All the facilities available in the fifty most used and downloaded weather forecasting applicati</w:t>
      </w:r>
    </w:p>
    <w:p>
      <w:pPr/>
      <w:r>
        <w:rPr>
          <w:b/>
        </w:rPr>
        <w:t>POSSIBLE 2022:</w:t>
      </w:r>
      <w:r>
        <w:t xml:space="preserve"> Implementation of European Drone Regulations - Status Quo and Assessment — https://doi.org/10.1007/s10846-022-01714-0</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The fast evolution of drone technology as well as the ubiquitous adoption from private and commercial users lead to the necessity to introduce new regulations covering the operations of Unmanned Aircraft Systems (UAS) in European Member states. The regulations implemented rules for multiple scenarios of normal and complex UAS operations as well as the collection of registration data from remote pilots and Operators. This research project tried for the first time to determine the status quo of the adoption of the novel EASA regulations of drones within the European members states. Data from National Aviation Authorities has been collected, accumulated, and analyzed towards qualitative and quantitative features.</w:t>
      </w:r>
    </w:p>
    <w:p>
      <w:pPr/>
      <w:r>
        <w:rPr>
          <w:b/>
        </w:rPr>
        <w:t>POSSIBLE 2022:</w:t>
      </w:r>
      <w:r>
        <w:t xml:space="preserve"> 7.L. Workshop: New roles and innovative skill-mix in nursing across Europe: trends and lessons for implementation — https://doi.org/10.1093/eurpub/ckac129.446</w:t>
      </w:r>
    </w:p>
    <w:p>
      <w:pPr/>
      <w:r>
        <w:rPr>
          <w:b/>
        </w:rPr>
        <w:t>Shared claim-specific concepts:</w:t>
      </w:r>
      <w:r>
        <w:t xml:space="preserve"> implementation, first, presented; EU scope visible. This is a provisional connection, not an outcome finding.</w:t>
      </w:r>
    </w:p>
    <w:p>
      <w:pPr>
        <w:pStyle w:val="SourceNote"/>
      </w:pPr>
      <w:r>
        <w:rPr>
          <w:b/>
        </w:rPr>
        <w:t>Available abstract (not full text):</w:t>
      </w:r>
      <w:r>
        <w:t xml:space="preserve"> Abstract Many countries in Europe are changing the roles and skill-mix of their nursing workforce. A sufficient and well-skilled nursing workforce has shown to be key for population health, most recently demonstrated during the Covid-19 pandemic. An increasing number of countries have introduced Master-level education for nurses to work in advanced practice nursing (APN) roles. These changes in the educational systems have implications on patients, clinical practice, teams and health systems. Moreover, many countries are re-orienting their health services from hospital to primary health care and prevention, driving new roles for nurses. The relevance of high-quality education and upskilling has been exemplified during the Covid-19 pandemic, where nurses had to quickly adapt to new treatment and caregiving situations in challenging work environments. Objectives of the workshop. This workshop will provide an overview of research and policy developments in Europe, drawing on recent research. First, an overview of innovative skill-mix changes in nursing will be presented and evidence on health outcomes, based on a study from the European Observatory on Health Systems and Policies. Second, research from Germany in five innovator hospitals will be presented, a country which is still at an early stage with integrating nurses in advanced roles. The panel discussion will address innovat</w:t>
      </w:r>
    </w:p>
    <w:p>
      <w:pPr/>
      <w:r>
        <w:rPr>
          <w:b/>
        </w:rPr>
        <w:t>POSSIBLE 2022:</w:t>
      </w:r>
      <w:r>
        <w:t xml:space="preserve"> Advancing Weather and Climate Forecasting for Our Changing World — https://doi.org/10.1175/bams-d-21-0262.1</w:t>
      </w:r>
    </w:p>
    <w:p>
      <w:pPr/>
      <w:r>
        <w:rPr>
          <w:b/>
        </w:rPr>
        <w:t>Shared claim-specific concepts:</w:t>
      </w:r>
      <w:r>
        <w:t xml:space="preserve"> weather, information; EU scope not established. This is a provisional connection, not an outcome finding.</w:t>
      </w:r>
    </w:p>
    <w:p>
      <w:pPr>
        <w:pStyle w:val="SourceNote"/>
      </w:pPr>
      <w:r>
        <w:rPr>
          <w:b/>
        </w:rPr>
        <w:t>Available abstract (not full text):</w:t>
      </w:r>
      <w:r>
        <w:t xml:space="preserve"> Abstract Our world is rapidly changing. Societies are facing an increase in the frequency and intensity of high-impact and extreme weather and climate events. These extremes together with exponential population growth and demographic shifts (e.g., urbanization, increase in coastal populations) are increasing the detrimental societal and economic impact of hazardous weather and climate events. Urbanization and our changing global economy have also increased the need for accurate projections of climate change and improved predictions of disruptive and potentially beneficial weather events on kilometer scales. Technological innovations are also leading to an evolving and growing role of the private sector in the weather and climate enterprise. This article discusses the challenges faced in accelerating advances in weather and climate forecasting and proposes a vision for key actions needed across the private, public, and academic sectors. Actions span (i) utilizing the new observational and computing ecosystems; (ii) strategies to advance Earth system models; (iii) ways to benefit from the growing role of artificial intelligence; (iv) practices to improve the communication of forecast information and decision support in our age of internet and social media; and (v) addressing the need to reduce the relatively large, detrimental impacts of weather and climate on all nations and esp</w:t>
      </w:r>
    </w:p>
    <w:p>
      <w:pPr/>
      <w:r>
        <w:rPr>
          <w:b/>
        </w:rPr>
        <w:t>POSSIBLE 2022:</w:t>
      </w:r>
      <w:r>
        <w:t xml:space="preserve"> Assessment of stochastic weather forecast of precipitation near European cities, based on analogs of circulation — https://doi.org/10.5194/gmd-15-4941-2022</w:t>
      </w:r>
    </w:p>
    <w:p>
      <w:pPr/>
      <w:r>
        <w:rPr>
          <w:b/>
        </w:rPr>
        <w:t>Shared claim-specific concepts:</w:t>
      </w:r>
      <w:r>
        <w:t xml:space="preserve"> weather, good; EU scope visible. This is a provisional connection, not an outcome finding.</w:t>
      </w:r>
    </w:p>
    <w:p>
      <w:pPr>
        <w:pStyle w:val="SourceNote"/>
      </w:pPr>
      <w:r>
        <w:rPr>
          <w:b/>
        </w:rPr>
        <w:t>Available abstract (not full text):</w:t>
      </w:r>
      <w:r>
        <w:t xml:space="preserve"> Abstract. In this study, we aim to assess the skill of a stochastic weather generator (SWG) to forecast precipitation in several cities of Western Europe. The SWG is based on random sampling of analogs of the geopotential height at 500 hPa. The SWG is evaluated for two reanalyses (NCEP and ERA5). We simulate 100-member ensemble forecasts on a daily time increment. We evaluate the performance of SWG with forecast skill scores and we compare it to ECMWF forecasts. Results show significant positive skill scores (continuous rank probability skill score and correlation) for lead times of 5 and 10 days for different areas in Europe. We found that the low predictability of our model is related to specific weather regimes, depending on the European region. Comparing SWG forecasts to ECMWF forecasts, we found that the SWG shows a good performance for 5 days. This performance varies from one region to another. This paper is a proof of concept for a stochastic regional ensemble precipitation forecast. Its parameters (e.g. region for analogs) must be tuned for each region in order to optimize its performance.</w:t>
      </w:r>
    </w:p>
    <w:p>
      <w:pPr/>
      <w:r>
        <w:rPr>
          <w:b/>
        </w:rPr>
        <w:t>POSSIBLE 2021:</w:t>
      </w:r>
      <w:r>
        <w:t xml:space="preserve"> First Draft of Crypto-Asset Regulation (MiCA) with the European Union and Potential Implementation — https://doi.org/10.4467/22996834flr.21.011.13979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This article focuses on the very first working draft of new crypto-asset regulation within the European Union. The primary aim of this article is to evaluate the newly defined institutes in the draft and confirm or disprove the hypothesis that this new system of crypto-assets may be implemented to the actual regulation of capital markets as well as payment system, in effect within the European Union. As mentioned above, hypothesis will count on an ideal adoption of the MiCA regulation into the existing legal framework of both, capital markets as well as payments regulation in the European Union, not interfering with existing laws or regulations. Within the first part of this article, synthesis will be used as well as compilation for the description of crypto-asset categories and of the issuers of crypto-assets or crypto-asset service providers. Subsequently, analysis will be applied for the specification of missing elements for the purpose of finding the right connection and implementation into the existing regulation of capital markets and payments industry.</w:t>
      </w:r>
    </w:p>
    <w:p>
      <w:pPr/>
      <w:r>
        <w:rPr>
          <w:b/>
        </w:rPr>
        <w:t>POSSIBLE 2021:</w:t>
      </w:r>
      <w:r>
        <w:t xml:space="preserve"> Implementation of the New European Bauhaus Principles as a Context for Teaching Sustainable Architecture — https://doi.org/10.3390/su131910715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Due to the presentation of the European Green Deal (EGD) on 11 December 2019, it is important to introduce a new context for the education of architects corresponding to the objectives set by the European Union. These include reducing greenhouse gas emissions, increasing the energy efficiency of buildings, designing buildings in accordance with the principles of the circular economy, using renewable energy, as well as promoting ecological food and protecting biodiversity. As part of the design course Environmentally Friendly Housing Architecture, inspired by, among others, the design of the New European Bauhaus and the former Bauhaus art school, both of which are compared in the first part of this article, we identify a number of new, assessed design indicators related to the achievement of the above objectives, in line with the trend of sustainable architecture. The indicators are divided into four main categories: energy, environment, indoor climate, and society, where, for example, the environmental category includes the following criteria: embodied energy (MJ/m2), embodied carbon footprint (CO2eq/m2), use of rainwater and gray water (% of demand), use of mains water (% of demand), local production of vegetables and fruit (% of demand). During the design process, changes were made to achieve better indicators, and the final designs were described using radar charts. The pape</w:t>
      </w:r>
    </w:p>
    <w:p>
      <w:pPr/>
      <w:r>
        <w:rPr>
          <w:b/>
        </w:rPr>
        <w:t>POSSIBLE 2021:</w:t>
      </w:r>
      <w:r>
        <w:t xml:space="preserve"> Implementation of circular economy on the basis of European experience — https://doi.org/10.23939/smeu2021.02.280</w:t>
      </w:r>
    </w:p>
    <w:p>
      <w:pPr/>
      <w:r>
        <w:rPr>
          <w:b/>
        </w:rPr>
        <w:t>Shared claim-specific concepts:</w:t>
      </w:r>
      <w:r>
        <w:t xml:space="preserve"> implementation, first, agreement; EU scope visible. This is a provisional connection, not an outcome finding.</w:t>
      </w:r>
    </w:p>
    <w:p>
      <w:pPr>
        <w:pStyle w:val="SourceNote"/>
      </w:pPr>
      <w:r>
        <w:rPr>
          <w:b/>
        </w:rPr>
        <w:t>Available abstract (not full text):</w:t>
      </w:r>
      <w:r>
        <w:t xml:space="preserve"> Accelerated population growth, depletion of natural resources, excessive pollution of the environment, which threatens the existence of mankind, was a prerequisite for the emergence of the concept of circular economy and the principles of sustainable development, ie doing business without harm to the environment. The model of circular (circular) economy is aimed at energy saving, regenerative environmentally friendly consumption and production. The article presents the results of the study of the concept of circular economy and the benefits of its implementation based on the experience of the European Union - a global leader in this field. The main goals, priorities and measures of the EU in the implementation of the circular economy are revealed. The basic principles of the circular economy are highlighted, examples of successful use of its business models are given. The two most acute global problems that can be solved only by a closed-loop economy are identified, and forecasts of the results of its global use are given. Closed-loop economics is a concept of resource management that is rapidly gaining global popularity and is recognized in the scientific literature as one of the key drivers for achieving objectives of the Paris Agreement. 30 years have passed since the first mention of the "circularity" of the economy, however only after its official introduction in the EU it</w:t>
      </w:r>
    </w:p>
    <w:p>
      <w:pPr/>
      <w:r>
        <w:rPr>
          <w:b/>
        </w:rPr>
        <w:t>POSSIBLE 2021:</w:t>
      </w:r>
      <w:r>
        <w:t xml:space="preserve"> RURAL ECONOMY: DIRECTIONS OF NEW THEORIZATION AND IMPLEMENTATION OF BEST EUROPEAN FINANCIAL REGULATION PRACTICES — https://doi.org/10.18371/fcaptp.v5i40.245198</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A Ukrainian intellectual-expert community is at the initial stage of forming a methodological basis of the rural economy ontogenesis that is determined, first of all, by the ongoing decentralization reform, a new role of the rural economy from the national perspective of a new (both coronavirus and post-COVID) economic reality in ensuring food sovereignty, economic recovery of the economy, in general, and rural territorial communities, in particular, with regard to new challenges associated with the ageing of the rural community, de-population, predominance of the rural employment in the rural area and financivization of relationships within the rural economic agents, ultimately creating a new normality of the operation and development of the rural economy. Taking into account that Ukraine has strategically outlined its aspiration for integrating into the European Community having successfully passed a forming phase of group dynamics (according to Bruce Tuckman), has moved to a conflict phase having enlarged its orthodox understanding to the absence of proper parity in the development of socioeconomic, financial-institutional processes inside the rural economy, having created the threats to its transition to comprehensive digitalization and «greening» of finances applied for it. In the European Union, this problematics has been studied and an analysis of searches of d</w:t>
      </w:r>
    </w:p>
    <w:p>
      <w:pPr>
        <w:pStyle w:val="Heading2"/>
      </w:pPr>
      <w:r>
        <w:t>744.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2025:</w:t>
      </w:r>
      <w:r>
        <w:t xml:space="preserve"> Approximating Fixed‐Horizon Forecasts Using Fixed‐Event Forecasts — https://doi.org/10.1002/jae.3114</w:t>
      </w:r>
    </w:p>
    <w:p>
      <w:pPr/>
      <w:r>
        <w:rPr>
          <w:b/>
        </w:rPr>
        <w:t>Shared claim-specific concepts:</w:t>
      </w:r>
      <w:r>
        <w:t xml:space="preserve"> forecasts, horizon, empirical; EU scope not established. This is a provisional connection, not an outcome finding.</w:t>
      </w:r>
    </w:p>
    <w:p>
      <w:pPr>
        <w:pStyle w:val="SourceNote"/>
      </w:pPr>
      <w:r>
        <w:rPr>
          <w:b/>
        </w:rPr>
        <w:t>Available abstract (not full text):</w:t>
      </w:r>
      <w:r>
        <w:t xml:space="preserve"> ABSTRACT Many forecast surveys ask their participants for fixed‐event forecasts. As fixed‐event forecasts have seasonal properties, users often employ an ad hoc approach to approximate fixed‐horizon forecasts based on these fixed‐event forecasts. We derive an optimal approximation for fixed‐horizon forecasts by minimizing the mean‐squared approximation error. Like the ad hoc approach, our approximation employs a weighted average of the fixed‐event forecasts. The optimal weights tend to differ substantially from those of the ad hoc approach. In empirical applications, the gains from using optimal instead of ad hoc weights turn out to be sizeable. The approximation approach proposed can also be useful in other applications.</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horizon, all, renewable, energy, increasing, trend;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horizon, all, groups, different;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Hybrid AI-enhanced lightning flash prediction in the medium-range forecast horizon — https://doi.org/10.1038/s41467-024-44697-2</w:t>
      </w:r>
    </w:p>
    <w:p>
      <w:pPr/>
      <w:r>
        <w:rPr>
          <w:b/>
        </w:rPr>
        <w:t>Shared claim-specific concepts:</w:t>
      </w:r>
      <w:r>
        <w:t xml:space="preserve"> forecasts, horizon, obtained; EU scope visible. This is a provisional connection, not an outcome finding.</w:t>
      </w:r>
    </w:p>
    <w:p>
      <w:pPr>
        <w:pStyle w:val="SourceNote"/>
      </w:pPr>
      <w:r>
        <w:rPr>
          <w:b/>
        </w:rPr>
        <w:t>Available abstract (not full text):</w:t>
      </w:r>
      <w:r>
        <w:t xml:space="preserve"> Traditional fully-deterministic algorithms, which rely on physical equations and mathematical models, are the backbone of many scientific disciplines for decades. These algorithms are based on well-established principles and laws of physics, enabling a systematic and predictable approach to problem-solving. On the other hand, AI-based strategies emerge as a powerful tool for handling vast amounts of data and extracting patterns and relationships that might be challenging to identify through traditional algorithms. Here, we bridge these two realms by using AI to find an optimal mapping of meteorological features predicted two days ahead by the state-of-the-art numerical weather prediction model by the European Centre for Medium-range Weather Forecasts (ECMWF) into lightning flash occurrence. The prediction capability of the resulting AI-enhanced algorithm turns out to be significantly higher than that of the fully-deterministic algorithm employed in the ECMWF model. A remarkable Recall peak of about 95% within the 0-24 h forecast interval is obtained. This performance surpasses the 85% achieved by the ECMWF model at the same Precision of the AI algorithm.</w:t>
      </w:r>
    </w:p>
    <w:p>
      <w:pPr/>
      <w:r>
        <w:rPr>
          <w:b/>
        </w:rPr>
        <w:t>POSSIBLE 2023:</w:t>
      </w:r>
      <w:r>
        <w:t xml:space="preserve"> Transformers for Multi-Horizon Forecasting in an Industry 4.0 Use Case — https://doi.org/10.3390/s23073516</w:t>
      </w:r>
    </w:p>
    <w:p>
      <w:pPr/>
      <w:r>
        <w:rPr>
          <w:b/>
        </w:rPr>
        <w:t>Shared claim-specific concepts:</w:t>
      </w:r>
      <w:r>
        <w:t xml:space="preserve"> horizon, obtained, showed; EU scope not established. This is a provisional connection, not an outcome finding.</w:t>
      </w:r>
    </w:p>
    <w:p>
      <w:pPr>
        <w:pStyle w:val="SourceNote"/>
      </w:pPr>
      <w:r>
        <w:rPr>
          <w:b/>
        </w:rPr>
        <w:t>Available abstract (not full text):</w:t>
      </w:r>
      <w:r>
        <w:t xml:space="preserve"> Recently, a novel approach in the field of Industry 4.0 factory operations was proposed for a new generation of automated guided vehicles (AGVs) that are connected to a virtualized programmable logic controller (PLC) via a 5G multi-access edge-computing (MEC) platform to enable remote control. However, this approach faces a critical challenge as the 5G network may encounter communication disruptions that can lead to AGV deviations and, with this, potential safety risks and workplace issues. To mitigate this problem, several works have proposed the use of fixed-horizon forecasting techniques based on deep-learning models that can anticipate AGV trajectory deviations and take corrective maneuvers accordingly. However, these methods have limited prediction flexibility for the AGV operator and are not robust against network instability. To address this limitation, this study proposes a novel approach based on multi-horizon forecasting techniques to predict the deviation of remotely controlled AGVs. As its primary contribution, the work presents two new versions of the state-of-the-art transformer architecture that are well-suited to the multi-horizon prediction problem. We conduct a comprehensive comparison between the proposed models and traditional deep-learning models, such as the long short-term memory (LSTM) neural network, to evaluate the performance and capabilities of the p</w:t>
      </w:r>
    </w:p>
    <w:p>
      <w:pPr/>
      <w:r>
        <w:rPr>
          <w:b/>
        </w:rPr>
        <w:t>POSSIBLE 2021:</w:t>
      </w:r>
      <w:r>
        <w:t xml:space="preserve"> Machine learning for regional crop yield forecasting in Europe — https://doi.org/10.1016/j.fcr.2021.108377</w:t>
      </w:r>
    </w:p>
    <w:p>
      <w:pPr/>
      <w:r>
        <w:rPr>
          <w:b/>
        </w:rPr>
        <w:t>Shared claim-specific concepts:</w:t>
      </w:r>
      <w:r>
        <w:t xml:space="preserve"> forecasts, trend, ones; EU scope visible. This is a provisional connection, not an outcome finding.</w:t>
      </w:r>
    </w:p>
    <w:p>
      <w:pPr>
        <w:pStyle w:val="SourceNote"/>
      </w:pPr>
      <w:r>
        <w:rPr>
          <w:b/>
        </w:rPr>
        <w:t>Available abstract (not full text):</w:t>
      </w:r>
      <w:r>
        <w:t xml:space="preserve"> Crop yield forecasting at national level relies on predictors aggregated from smaller spatial units to larger ones according to harvested crop areas. Such crop areas come from land cover maps or reported statistics, both of which can have errors and uncertainties. Sub-national or regional crop yield forecasting minimizes the propagation of these errors to some extent. In addition, regional forecasts provide added value and insights to stakeholders on regional differences within a country, which would otherwise compensate each other at national level. We propose a crop yield forecasting approach for multiple spatial levels based on regional crop yield forecasts from machine learning. Machine learning, with its data-driven approach, can leverage larger data sizes and capture nonlinear relationships between predictors and yield at regional level. We designed a generic machine learning workflow to demonstrate the benefits of regional crop yield forecasting in Europe. To evaluate the quality and usefulness of regional forecasts, we predicted crop yields for 35 case studies, including nine countries that are major producers of six crops (soft wheat, spring barley, sunflower, grain maize, sugar beets and potatoes). Machine learning models at regional level had lower normalized root mean squared errors (NRMSE) and uncertainty than a linear trend model, with Wilcoxon p-values of 3e-7 an</w:t>
      </w:r>
    </w:p>
    <w:p>
      <w:pPr/>
      <w:r>
        <w:rPr>
          <w:b/>
        </w:rPr>
        <w:t>POSSIBLE 2020:</w:t>
      </w:r>
      <w:r>
        <w:t xml:space="preserve"> A Review of Electricity Demand Forecasting in Low and Middle Income Countries: The Demand Determinants and Horizons — https://doi.org/10.3390/su12155931</w:t>
      </w:r>
    </w:p>
    <w:p>
      <w:pPr/>
      <w:r>
        <w:rPr>
          <w:b/>
        </w:rPr>
        <w:t>Shared claim-specific concepts:</w:t>
      </w:r>
      <w:r>
        <w:t xml:space="preserve"> forecasts, increasing, different; EU scope not established. This is a provisional connection, not an outcome finding.</w:t>
      </w:r>
    </w:p>
    <w:p>
      <w:pPr>
        <w:pStyle w:val="SourceNote"/>
      </w:pPr>
      <w:r>
        <w:rPr>
          <w:b/>
        </w:rPr>
        <w:t>Available abstract (not full text):</w:t>
      </w:r>
      <w:r>
        <w:t xml:space="preserve"> With the globally increasing electricity demand, its related uncertainties are on the rise as well. Therefore, a deeper insight of load forecasting techniques for projecting future electricity demands becomes imperative for business entities and policy makers. The electricity demand is governed by a set of different variables or “electricity demand determinants”. These demand determinants depend on forecasting horizons (long term, medium term, and short term), the load aggregation level, climate, and socio-economic activities. In this paper, a review of different electricity demand forecasting methodologies is provided in the context of a group of low and middle income countries. The article presents a comprehensive literature review by tabulating the different demand determinants used in different countries and forecasting the trends and techniques used in these countries. A comparative review of these forecasting methodologies over different time horizons reveals that the time series modeling approach has been extensively used while forecasting for long and medium terms. For short term forecasts, artificial intelligence-based techniques remain prevalent in the literature. Furthermore, a comparative analysis of the demand determinants in these countries indicates a frequent use of determinants like the population, GDP, weather, and load data over different time horizons. Follo</w:t>
      </w:r>
    </w:p>
    <w:p>
      <w:pPr>
        <w:pStyle w:val="Heading2"/>
      </w:pPr>
      <w:r>
        <w:t>745.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2025:</w:t>
      </w:r>
      <w:r>
        <w:t xml:space="preserve"> Legislative instruments protecting freedom of expression in Europe - an overview — https://doi.org/10.1007/s12027-025-00852-w</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Freedom of expression is a foundational value shared across European nations, and this is reflected in the regulatory policy of both the European Union and of the Council of Europe. In response to the profound transformations and emerging challenges in public communication over the past decade, the European Union has adopted a comprehensive regulatory framework, which this article outlines in brief. Concurrently, the Council of Europe has contributed through the development of progressive soft law instruments. This article examines the underlying logic and structure of the evolving regulatory landscape, referencing key legal instruments, case law, and other relevant resources.</w:t>
      </w:r>
    </w:p>
    <w:p>
      <w:pPr/>
      <w:r>
        <w:rPr>
          <w:b/>
        </w:rPr>
        <w:t>POSSIBLE 2024:</w:t>
      </w:r>
      <w:r>
        <w:t xml:space="preserve"> DIGITALISED WORK OF WOMEN IN THE EUROPEAN UNION AND POLISH REGULATION AND LEGISLATIVE PROPOSALS — https://doi.org/10.31338/2544-3135.si.2024-99.4</w:t>
      </w:r>
    </w:p>
    <w:p>
      <w:pPr/>
      <w:r>
        <w:rPr>
          <w:b/>
        </w:rPr>
        <w:t>Shared claim-specific concepts:</w:t>
      </w:r>
      <w:r>
        <w:t xml:space="preserve"> however, legislative, proposals, union; EU scope visible. This is a provisional connection, not an outcome finding.</w:t>
      </w:r>
    </w:p>
    <w:p>
      <w:pPr>
        <w:pStyle w:val="SourceNote"/>
      </w:pPr>
      <w:r>
        <w:rPr>
          <w:b/>
        </w:rPr>
        <w:t>Available abstract (not full text):</w:t>
      </w:r>
      <w:r>
        <w:t xml:space="preserve"> The article aims to assess if women’s problems are specifically identified in labour legislation relating to digitalisation. Women appear in preparatory phases of legislative procedures (reports, motives), while usually they are not explicitly addressed in final drafts or acts. Digitalisation of work of women as such, referring to biological features of the gender itself is not perceived as a specific problem to be solved. Female workers are not treated as a vulnerable group which should benefit from additional guarantees in the process of digitalisation. It proves that in digitalised work, sex is not a distinctive feature: both sexes are able and skilled to work with digital devices. Criteria used to identify vulnerable groups refer to social situations rather than sex itself (e.g. education and training, caring responsibilities). However, women tend to constitute the majority of such groups. Therefore, respective ‘horizontal’ protective provisions and standards (e.g. working time, right to disconnect, work-life balance or non-discrimination) are particularly important for women.</w:t>
      </w:r>
    </w:p>
    <w:p>
      <w:pPr/>
      <w:r>
        <w:rPr>
          <w:b/>
        </w:rPr>
        <w:t>POSSIBLE 2024:</w:t>
      </w:r>
      <w:r>
        <w:t xml:space="preserve"> The Letta report: a set of proposals for revitalising the European economy — https://doi.org/10.53479/38193</w:t>
      </w:r>
    </w:p>
    <w:p>
      <w:pPr/>
      <w:r>
        <w:rPr>
          <w:b/>
        </w:rPr>
        <w:t>Shared claim-specific concepts:</w:t>
      </w:r>
      <w:r>
        <w:t xml:space="preserve"> however, legislative, proposals, number, set, union; EU scope visible. This is a provisional connection, not an outcome finding.</w:t>
      </w:r>
    </w:p>
    <w:p>
      <w:pPr>
        <w:pStyle w:val="SourceNote"/>
      </w:pPr>
      <w:r>
        <w:rPr>
          <w:b/>
        </w:rPr>
        <w:t>Available abstract (not full text):</w:t>
      </w:r>
      <w:r>
        <w:t xml:space="preserve"> Europe is facing a number of major challenges in the near future, including managing the climate transition, the effects of technological transformations and geopolitical changes. European and national authorities are aware that the tools currently in place are insufficient to address these challenges and that a determined reform drive is therefore needed. At the start of a new European institutional cycle, the set of proposals in the Letta report, aimed at completing the Single Market and adapting it to the new circumstances, constitute a major contribution to the European economic policy debate. The most important initiatives include the revitalisation of the capital markets union, the creation of a pan-European State aid scheme based on national contributions, the promulgation of a European code of commercial law as an alternative to the harmonisation of the 27 existing national systems, the incorporation into the Single Market of sectors that have so far been largely outside it (such as energy and telecommunications) or, in the legislative field, the prioritisation of the use of regulations, which are directly applicable in the Member States, over directives, which require transposition into the legal systems of each country. The report’s diagnosis is largely shared by the various national authorities, who also welcomed the main thrust of the proposals. However, it is not d</w:t>
      </w:r>
    </w:p>
    <w:p>
      <w:pPr/>
      <w:r>
        <w:rPr>
          <w:b/>
        </w:rPr>
        <w:t>POSSIBLE 2024:</w:t>
      </w:r>
      <w:r>
        <w:t xml:space="preserve"> Legislative measures to combat domestic violence: A comparison of European and Asian countries — https://doi.org/10.32518/sals4.2024.157</w:t>
      </w:r>
    </w:p>
    <w:p>
      <w:pPr/>
      <w:r>
        <w:rPr>
          <w:b/>
        </w:rPr>
        <w:t>Shared claim-specific concepts:</w:t>
      </w:r>
      <w:r>
        <w:t xml:space="preserve"> legislative, number, reduction; EU scope visible. This is a provisional connection, not an outcome finding.</w:t>
      </w:r>
    </w:p>
    <w:p>
      <w:pPr>
        <w:pStyle w:val="SourceNote"/>
      </w:pPr>
      <w:r>
        <w:rPr>
          <w:b/>
        </w:rPr>
        <w:t>Available abstract (not full text):</w:t>
      </w:r>
      <w:r>
        <w:t xml:space="preserve"> The purpose of this study was to determine the effectiveness of legislative initiatives to combat domestic violence in different cultural contexts. The study covered 10 countries: five European (Germany, France, the United Kingdom, Sweden, Spain) and five Asian (Japan, India, Turkey, Kazakhstan, Mongolia). The study included an analysis of the legislation of the respective countries, and an assessment of the effectiveness of innovative legal approaches. The study revealed substantial regional differences in the effectiveness of legislative measures. European countries have demonstrated a higher level of implementation of comprehensive protection mechanisms. The most effective were electronic monitoring of offenders in Sweden, which led to a significant reduction in the number of violations of restraining orders; the Telephone Grave Danger urgent response system in France, which provided rapid protection for high-risk victims; and specialised courts in Spain, which expedited the processing of domestic violence cases. In Asia, the greatest progress was seen in the implementation of rehabilitation programmes for perpetrators in Mongolia, which reduced recidivism rates, and the expansion of the legal definition of domestic violence in India to include economic and psychological violence. An analysis of expert assessments revealed that cultural barriers stay a considerable challenge</w:t>
      </w:r>
    </w:p>
    <w:p>
      <w:pPr/>
      <w:r>
        <w:rPr>
          <w:b/>
        </w:rPr>
        <w:t>POSSIBLE 2024:</w:t>
      </w:r>
      <w:r>
        <w:t xml:space="preserve"> Cultured meat in the European Union: Legislative context and food safety issues — https://doi.org/10.1016/j.crfs.2024.100722</w:t>
      </w:r>
    </w:p>
    <w:p>
      <w:pPr/>
      <w:r>
        <w:rPr>
          <w:b/>
        </w:rPr>
        <w:t>Shared claim-specific concepts:</w:t>
      </w:r>
      <w:r>
        <w:t xml:space="preserve"> however, legislative, goal, set, union; EU scope visible. This is a provisional connection, not an outcome finding.</w:t>
      </w:r>
    </w:p>
    <w:p>
      <w:pPr>
        <w:pStyle w:val="SourceNote"/>
      </w:pPr>
      <w:r>
        <w:rPr>
          <w:b/>
        </w:rPr>
        <w:t>Available abstract (not full text):</w:t>
      </w:r>
      <w:r>
        <w:t xml:space="preserve"> The current food system, which is responsible for about one third of all global gas emissions, is considered one of the main causes of resource depletion. For this reason, scientific research is investigating new alternatives capable of feeding an ever-growing population that is set to reach 9-11 billion by 2050. Among these, cell-based meat, also called cultured meat, is one possible solution. It is part of a larger branch of science called cellular agriculture, whose goal is to produce food from individual cells rather than whole organisms, tracing their molecular profile. To date, however, cultured meat aroused conflicting opinions. For this reason, the aim of this review was to take an in-depth look at the current European legislative framework, which reflects a 'precautionary approach' based on the assumption that these innovative foods require careful risk assessment to safeguard consumer health. In this context, the assessment of possible risks made it possible not only to identify the main critical points during each stage of the production chain (proliferation, differentiation, scaffolding, maturation and marketing), but also to identify solutions in accordance with the recommendations of the European Food Safety Authority (EFSA). Further, the main challenges related to organoleptic and nutritional properties have been reviewed.. Finally, possible future markets were s</w:t>
      </w:r>
    </w:p>
    <w:p>
      <w:pPr/>
      <w:r>
        <w:rPr>
          <w:b/>
        </w:rPr>
        <w:t>POSSIBLE 2023:</w:t>
      </w:r>
      <w:r>
        <w:t xml:space="preserve"> Workability via Platform: A Legislative Proposal and a Collective Movement for Socio-Labor Civil Integration — https://doi.org/10.24857/rgsa.v18n2-023</w:t>
      </w:r>
    </w:p>
    <w:p>
      <w:pPr/>
      <w:r>
        <w:rPr>
          <w:b/>
        </w:rPr>
        <w:t>Shared claim-specific concepts:</w:t>
      </w:r>
      <w:r>
        <w:t xml:space="preserve"> legislative, objective, union; EU scope not established. This is a provisional connection, not an outcome finding.</w:t>
      </w:r>
    </w:p>
    <w:p>
      <w:pPr>
        <w:pStyle w:val="SourceNote"/>
      </w:pPr>
      <w:r>
        <w:rPr>
          <w:b/>
        </w:rPr>
        <w:t>Available abstract (not full text):</w:t>
      </w:r>
      <w:r>
        <w:t xml:space="preserve"> Introduction: The legal integration of work via technological platforms (applications) in the Brazilian legal system. Contextualization/concept: Under the terms of articles 7 and 114 of the Constitution of the Federative Republic of Brazil of 1988, it is work and work relations that gain grammaticality and literality in the constitutional text, which inaugurate the concept of workability, when the tone of employment (industrial sector) would be giving way to work (services sector). Objective: The historical and normative broth induces a perspective of reflexivity in the midst of resisted change, which will impose on workers via the platform (as mostly urban workers) and labor institutions renewed forms of collective union political, legislative and organizational action, whether at a national or international level, to overcome obstacles that impede the effectiveness of constitutional labor standards. Methodology: The methodology follows comprehensive (Weberian) and extensive interpretative and constitutional historical analysis connected to excerpts from current reality, centered on the theoretical-normative method. Theoretical framework: For Weber (2000), legal norms have the function of disciplining and ordering actions and social relations, constituting maxims and, therefore, creating the conditions of administration and obedience of society's participants to the law. Concl</w:t>
      </w:r>
    </w:p>
    <w:p>
      <w:pPr/>
      <w:r>
        <w:rPr>
          <w:b/>
        </w:rPr>
        <w:t>POSSIBLE 2022:</w:t>
      </w:r>
      <w:r>
        <w:t xml:space="preserve"> Metrics, Explainability and the European AI Act Proposal — https://doi.org/10.3390/j5010010</w:t>
      </w:r>
    </w:p>
    <w:p>
      <w:pPr/>
      <w:r>
        <w:rPr>
          <w:b/>
        </w:rPr>
        <w:t>Shared claim-specific concepts:</w:t>
      </w:r>
      <w:r>
        <w:t xml:space="preserve"> expected, goal, set; EU scope visible. This is a provisional connection, not an outcome finding.</w:t>
      </w:r>
    </w:p>
    <w:p>
      <w:pPr>
        <w:pStyle w:val="SourceNote"/>
      </w:pPr>
      <w:r>
        <w:rPr>
          <w:b/>
        </w:rPr>
        <w:t>Available abstract (not full text):</w:t>
      </w:r>
      <w:r>
        <w:t xml:space="preserve"> On 21 April 2021, the European Commission proposed the first legal framework on Artificial Intelligence (AI) to address the risks posed by this emerging method of computation. The Commission proposed a Regulation known as the AI Act. The proposed AI Act considers not only machine learning, but expert systems and statistical models long in place. Under the proposed AI Act, new obligations are set to ensure transparency, lawfulness, and fairness. Their goal is to establish mechanisms to ensure quality at launch and throughout the whole life cycle of AI-based systems, thus ensuring legal certainty that encourages innovation and investments on AI systems while preserving fundamental rights and values. A standardisation process is ongoing: several entities (e.g., ISO) and scholars are discussing how to design systems that are compliant with the forthcoming Act, and explainability metrics play a significant role. Specifically, the AI Act sets some new minimum requirements of explicability (transparency and explainability) for a list of AI systems labelled as “high-risk” listed in Annex III. These requirements include a plethora of technical explanations capable of covering the right amount of information, in a meaningful way. This paper aims to investigate how such technical explanations can be deemed to meet the minimum requirements set by the law and expected by society. To answer </w:t>
      </w:r>
    </w:p>
    <w:p>
      <w:pPr/>
      <w:r>
        <w:rPr>
          <w:b/>
        </w:rPr>
        <w:t>POSSIBLE 2021:</w:t>
      </w:r>
      <w:r>
        <w:t xml:space="preserve"> Evaluating the Tax Veto in a Digital Age: Legislative Efficiency and National Sovereignty in the European Union — https://openalex.org/W3175327905</w:t>
      </w:r>
    </w:p>
    <w:p>
      <w:pPr/>
      <w:r>
        <w:rPr>
          <w:b/>
        </w:rPr>
        <w:t>Shared claim-specific concepts:</w:t>
      </w:r>
      <w:r>
        <w:t xml:space="preserve"> however, legislative, proposals, council, union; EU scope visible. This is a provisional connection, not an outcome finding.</w:t>
      </w:r>
    </w:p>
    <w:p>
      <w:pPr>
        <w:pStyle w:val="SourceNote"/>
      </w:pPr>
      <w:r>
        <w:rPr>
          <w:b/>
        </w:rPr>
        <w:t>Available abstract (not full text):</w:t>
      </w:r>
      <w:r>
        <w:t xml:space="preserve"> The total market capitalization of the six largest US-headquartered tech companies now tops $4.5 trillion; yet, much of the revenues from these largest tech companies legally escapes taxation every year. Recognizing the challenges of taxing the digital economy, the international community joined forces to reform the outdated global tax framework. In 2018, however, the United States (US) hesitated to commit to reform and international negotiations stalled. The European Commission (Commission) subsequently proposed an interim Digital Service Tax for the European Union (EU), in part, to incentivize stronger US involvement in negotiations. Because the European Council requires unanimity when voting on tax proposals, however, the proposal failed when three Member States exercised their tax veto. Defeated by veto, EU leaders could have pursued Enhanced Cooperation to revive the legislation. Instead, the Commission proposed permanent elimination of tax unanimity through the obscure and never-used Passerelle Clauses that allow legislators to utilize majority voting without amending any treaties. In doing so, the Commission signaled its desire for the European Union to emerge as a global tax leader, unencumbered by the need to obtain unanimity. However, the Commission’s proposal also raises serious EU state sovereignty concerns. This Note explores the costs and benefits of abandoning th</w:t>
      </w:r>
    </w:p>
    <w:p>
      <w:pPr>
        <w:pStyle w:val="Heading2"/>
      </w:pPr>
      <w:r>
        <w:t>746.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r>
        <w:rPr>
          <w:b/>
        </w:rPr>
        <w:t>POSSIBLE 2019:</w:t>
      </w:r>
      <w:r>
        <w:t xml:space="preserve"> European Union Litigation — https://doi.org/10.1515/ercl-2019-0020</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February and the end of June 2019.</w:t>
      </w:r>
    </w:p>
    <w:p>
      <w:pPr/>
      <w:r>
        <w:rPr>
          <w:b/>
        </w:rPr>
        <w:t>POSSIBLE 2019:</w:t>
      </w:r>
      <w:r>
        <w:t xml:space="preserve"> European Union Litigation — https://doi.org/10.1515/ercl-2019-0005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mid-July 2018 and the end of January 2019.</w:t>
      </w:r>
    </w:p>
    <w:p>
      <w:pPr>
        <w:pStyle w:val="Heading2"/>
      </w:pPr>
      <w:r>
        <w:t>747.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2025:</w:t>
      </w:r>
      <w:r>
        <w:t xml:space="preserve"> Shariah-Integrated Early Warning Framework for Financial Distress in Indonesian Islamic Banks — https://doi.org/10.37641/jiakes.v13i4.3868</w:t>
      </w:r>
    </w:p>
    <w:p>
      <w:pPr/>
      <w:r>
        <w:rPr>
          <w:b/>
        </w:rPr>
        <w:t>Shared claim-specific concepts:</w:t>
      </w:r>
      <w:r>
        <w:t xml:space="preserve"> early, warning, system, proposed, factors; EU scope not established. This is a provisional connection, not an outcome finding.</w:t>
      </w:r>
    </w:p>
    <w:p>
      <w:pPr>
        <w:pStyle w:val="SourceNote"/>
      </w:pPr>
      <w:r>
        <w:rPr>
          <w:b/>
        </w:rPr>
        <w:t>Available abstract (not full text):</w:t>
      </w:r>
      <w:r>
        <w:t xml:space="preserve"> Indonesia’s Islamic banking sector has grown rapidly, driven by Shariah-compliant operations, but faces vulnerabilities from complex governance and regulatory demands. Ensuring financial stability requires effective predictive tools tailored to these unique operational and regulatory conditions. This study aims to develop a structural Early Warning System (EWS) to predict financial distress in Islamic banks, integrating macroeconomic indicators, bank-specific performance variables, and a Shariah Compliance Index, with Islamic corporate governance and risk management as mediators. Data from 14 Islamic commercial banks over 2015–2024 were analyzed using Partial Least Squares Structural Equation Modeling (PLS-SEM) via SmartPLS 4. The results show that internal bank factors and Shariah compliance significantly strengthen governance and risk management, which in turn reduces financial distress, while macroeconomic variables have no direct effect. The findings highlight the central role of internal governance and compliance in resilience. The proposed framework provides a unified, Shariah-aligned predictive system, enabling regulators, Shariah Supervisory Boards, and bank executives to implement evidence-based strategies. This study also lays the groundwork for a Shariah-based Financial Distress Index, enhancing the sector’s ability to manage operational and regulatory complexities e</w:t>
      </w:r>
    </w:p>
    <w:p>
      <w:pPr/>
      <w:r>
        <w:rPr>
          <w:b/>
        </w:rPr>
        <w:t>POSSIBLE 2025:</w:t>
      </w:r>
      <w:r>
        <w:t xml:space="preserve"> Early warning of regime switching in a complex financial system from a spillover network dynamic perspective — https://doi.org/10.1016/j.isci.2025.111924</w:t>
      </w:r>
    </w:p>
    <w:p>
      <w:pPr/>
      <w:r>
        <w:rPr>
          <w:b/>
        </w:rPr>
        <w:t>Shared claim-specific concepts:</w:t>
      </w:r>
      <w:r>
        <w:t xml:space="preserve"> early, warning, system, stock, selected; EU scope not established. This is a provisional connection, not an outcome finding.</w:t>
      </w:r>
    </w:p>
    <w:p>
      <w:pPr>
        <w:pStyle w:val="SourceNote"/>
      </w:pPr>
      <w:r>
        <w:rPr>
          <w:b/>
        </w:rPr>
        <w:t>Available abstract (not full text):</w:t>
      </w:r>
      <w:r>
        <w:t xml:space="preserve"> Early warning of regime switching in a complex financial system is a critical and challenging issue in risk management. Previous research has examined regime switching through analyzing the fluctuation features in a single point in time series; however, it has rarely examined the dynamic spillovers across multivariable time series. This paper develops an early warning model of regime switching that incorporates a spillover network model and a machine learning model. Typical energy prices and stock market indices are selected as the sample data. The key spillover networks can be detected according to the distribution of the network indicators. The early warning signals can be captured by six typical machine learning models, and the random forest model has better performance. The robustness of the model is also discussed. Our study enriches regime switching research and provides important early warning signals for policymakers and market investors.</w:t>
      </w:r>
    </w:p>
    <w:p>
      <w:pPr/>
      <w:r>
        <w:rPr>
          <w:b/>
        </w:rPr>
        <w:t>POSSIBLE 2023:</w:t>
      </w:r>
      <w:r>
        <w:t xml:space="preserve"> Real-Time High-Resolution Prediction of Orographic Rainfall for Early Warning of Landslides — https://doi.org/10.1007/978-3-031-16898-7_17</w:t>
      </w:r>
    </w:p>
    <w:p>
      <w:pPr/>
      <w:r>
        <w:rPr>
          <w:b/>
        </w:rPr>
        <w:t>Shared claim-specific concepts:</w:t>
      </w:r>
      <w:r>
        <w:t xml:space="preserve"> early, warning; EU scope not established. This is a provisional connection, not an outcome finding.</w:t>
      </w:r>
    </w:p>
    <w:p>
      <w:pPr>
        <w:pStyle w:val="SourceNote"/>
      </w:pPr>
      <w:r>
        <w:rPr>
          <w:b/>
        </w:rPr>
        <w:t>Available abstract (not full text):</w:t>
      </w:r>
      <w:r>
        <w:t xml:space="preserve"> Abstract Heavy rainfall often causes devastating landslides. Early warning based on reliable rainfall prediction can help reduce human and economic damages. This paper describes a recent development of reliable high-resolution prediction of orographic (topographic) rainfall using our next-generation numerical weather prediction model, the Multi-Scale Simulator for the Geoenvironment (MSSG). High-resolution computing is required for reliable rainfall prediction, and the MSSG can run with very high resolutions. Robust cloud microphysics is another key to realizing reliable predictions of orographic clouds, where the atmospheric boundary turbulence can affect. This paper clarifies that in-cloud turbulence can enhance cloud development. The recent cloud microphysics model that can consider turbulence enhancement is newly implemented in the MSSG. The emerging machine-learning technology is also coupled with the MSSG for reliable operational predictions. We show the recent development towards reliable predictions of orographic rainfall for realizing early warning of landslides.</w:t>
      </w:r>
    </w:p>
    <w:p>
      <w:pPr/>
      <w:r>
        <w:rPr>
          <w:b/>
        </w:rPr>
        <w:t>POSSIBLE 2023:</w:t>
      </w:r>
      <w:r>
        <w:t xml:space="preserve"> Volatility Spillovers and Contagion During Major Crises: An Early Warning Approach Based on a Deep Learning Model — https://doi.org/10.1007/s10614-023-10412-4</w:t>
      </w:r>
    </w:p>
    <w:p>
      <w:pPr/>
      <w:r>
        <w:rPr>
          <w:b/>
        </w:rPr>
        <w:t>Shared claim-specific concepts:</w:t>
      </w:r>
      <w:r>
        <w:t xml:space="preserve"> early, warning, system, asian, stock; EU scope not established. This is a provisional connection, not an outcome finding.</w:t>
      </w:r>
    </w:p>
    <w:p>
      <w:pPr>
        <w:pStyle w:val="SourceNote"/>
      </w:pPr>
      <w:r>
        <w:rPr>
          <w:b/>
        </w:rPr>
        <w:t>Available abstract (not full text):</w:t>
      </w:r>
      <w:r>
        <w:t xml:space="preserve"> Abstract This paper contributes to the ongoing debate on the nature and characteristics of the volatility transmission channels of major crash events in international stock markets between 03 July 1997 and 09 March 2021. Using dynamic conditional correlations (DCC) for conditional correlations and volatility clustering, GARCH-BEKK for the direction of transmission of disturbances, and the Diebold-Yilmaz spillover index for the level of volatility contagion, the paper finds that the climbs in external shock transmissions have long-lasting impacts in domestic markets due to the contagion effect during crisis periods. The findings also reveal that the heavier magnitude of financial stress is transmitted between Asian countries via the Hong Kong stock market. Additionally, the degree of volatility spillovers between advanced and emerging equity markets is smaller compared to the pure spillovers between advanced markets or emerging markets, offering a window of opportunity for international market participants in terms of portfolio diversification and risk management applications. Furthermore, the study introduces a novel early warning system created by integrating DCC correlations with a state-of-the-art deep learning model to predict the global financial crisis and COVID-19 crisis. The experimental analysis of long short-term memory network finds evidence of contagion risk by veri</w:t>
      </w:r>
    </w:p>
    <w:p>
      <w:pPr/>
      <w:r>
        <w:rPr>
          <w:b/>
        </w:rPr>
        <w:t>POSSIBLE 2022:</w:t>
      </w:r>
      <w:r>
        <w:t xml:space="preserve"> Early Warning System for the European Insurance Sector — https://doi.org/10.31577/ekoncas.2022.01.01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study proposes an Early Warning System model composed of macrofinancial and company-specific indicators that could help to anticipate a potential market distress in the European insurance sector.A distress is defined as periods in which insurance companies' equity prices crash and CDS spreads spike simultaneously.The model is estimated using a sample of 36 insurance companies that are listed.Based on a fixed-effects panel binomial logit specification, empirical evidence shows that economic overheating that could be manifested by high economic growth, inflation and interest rates have negative impact on insurance sector stability.At the company level, a drop in return on assets and price-to-book value or raising operating expenses increase the likelihood of distress occurrence.</w:t>
      </w:r>
    </w:p>
    <w:p>
      <w:pPr/>
      <w:r>
        <w:rPr>
          <w:b/>
        </w:rPr>
        <w:t>POSSIBLE 2022:</w:t>
      </w:r>
      <w:r>
        <w:t xml:space="preserve"> Early Warning Systems for Small Business: Insights from Across Europe — https://doi.org/10.1142/s0218495822500157</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In this paper we propose that a crisis can be avoided by taking countermeasures, which are informed by an Early Warning System. An Early Warning System can help lessen the impact of crisis episodes and provide a systematic approach to the response of small business owners to challenges in their business environment. Following a review of the literature, we undertook data collection in two stages. In stage one, focus groups were conducted with small business owners in four European countries. In stage two we worked with an expert panel to refine and develop a set of indicators for an Early Warning System. It is envisaged that the set of indicators will serve as the basis for further thought and empiricism. We argue that a delay in crisis recognition curtails the scope and time for corrective action.</w:t>
      </w:r>
    </w:p>
    <w:p>
      <w:pPr/>
      <w:r>
        <w:rPr>
          <w:b/>
        </w:rPr>
        <w:t>POSSIBLE 2022:</w:t>
      </w:r>
      <w:r>
        <w:t xml:space="preserve"> New psychoactive substances: 25 years of early warning and response in Europe. An update from the EU Early Warning System — https://doi.org/10.1016/j.toxac.2022.06.022</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Unavailable</w:t>
      </w:r>
    </w:p>
    <w:p>
      <w:pPr>
        <w:pStyle w:val="Heading2"/>
      </w:pPr>
      <w:r>
        <w:t>748.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r>
        <w:rPr>
          <w:b/>
        </w:rPr>
        <w:t>POSSIBLE 2025:</w:t>
      </w:r>
      <w:r>
        <w:t xml:space="preserve"> Practical Application of Surface Complexation Models: Evolution, Approaches, and Examples — https://doi.org/10.2138/rmg.2025.91a.13</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EXAMPLES FROM THE QURAN AND HUMAN NATURE: PRACTICAL APPLICATION IN THE MODERN ERA — https://openalex.org/W7220088003</w:t>
      </w:r>
    </w:p>
    <w:p>
      <w:pPr/>
      <w:r>
        <w:rPr>
          <w:b/>
        </w:rPr>
        <w:t>Shared claim-specific concepts:</w:t>
      </w:r>
      <w:r>
        <w:t xml:space="preserve"> examples, practical, application, individual; EU scope not established. This is a provisional connection, not an outcome finding.</w:t>
      </w:r>
    </w:p>
    <w:p>
      <w:pPr>
        <w:pStyle w:val="SourceNote"/>
      </w:pPr>
      <w:r>
        <w:rPr>
          <w:b/>
        </w:rPr>
        <w:t>Available abstract (not full text):</w:t>
      </w:r>
      <w:r>
        <w:t xml:space="preserve"> The parables of the Quran, known as Amthal ul-Quran, are integral elements of divine wisdom, crafted to guide humanity toward spiritual enlightenment and moral rectitude. These parables employ vivid and relatable analogies to elucidate complex spiritual, ethical, and social truths, making them accessible to people of all intellectual capacities and cultural backgrounds. By bridging abstract ideas with tangible realities, they address universal human experiences and dilemmas, offering solutions rooted in timeless principles. This study delves into the profound relevance of Quranic parables in understanding human nature, reflecting on their alignment with contemporary societal challenges, such as rampant materialism, ethical deterioration, and spiritual crises. It examines how these narratives resonate with the human psyche, transcending historical and cultural barriers to provide enduring guidance. The analysis highlights their practical applications in promoting values such as justice, compassion, and self-awareness, which are essential for individual and collective well-being. Key recommendations include incorporating Quranic parables into educational curricula to enhance moral and ethical understanding among students, fostering their practical application through structured community training programs, and encouraging interdisciplinary research to explore their relevance in a</w:t>
      </w:r>
    </w:p>
    <w:p>
      <w:pPr/>
      <w:r>
        <w:rPr>
          <w:b/>
        </w:rPr>
        <w:t>POSSIBLE 2025:</w:t>
      </w:r>
      <w:r>
        <w:t xml:space="preserve"> A Practical Example of How to Apply Constructivist Grounded Theory Methodology: Exploring Patient Experiences During Paramedic Led Healthcare — https://doi.org/10.1002/nur.22468</w:t>
      </w:r>
    </w:p>
    <w:p>
      <w:pPr/>
      <w:r>
        <w:rPr>
          <w:b/>
        </w:rPr>
        <w:t>Shared claim-specific concepts:</w:t>
      </w:r>
      <w:r>
        <w:t xml:space="preserve"> practical, application, methodology, individual, knowledge; EU scope not established. This is a provisional connection, not an outcome finding.</w:t>
      </w:r>
    </w:p>
    <w:p>
      <w:pPr>
        <w:pStyle w:val="SourceNote"/>
      </w:pPr>
      <w:r>
        <w:rPr>
          <w:b/>
        </w:rPr>
        <w:t>Available abstract (not full text):</w:t>
      </w:r>
      <w:r>
        <w:t xml:space="preserve"> Application of qualitative enquiry is necessary to improve the understanding of patient experience during paramedic-led healthcare. Grounded Theory (GT) is acknowledged as a rigorous qualitative methodology useful for exploring social processes present during healthcare, particularly when little existing knowledge or theory exists. Despite wide use of GT in other health disciplines there are few studies that have used this methodology to guide research in paramedicine. This may be due to GT methods appearing complex and disorientating for both novice and experienced researchers. This methodological article provides a practical example of how Kathy Charmaz's "constructivist" approach to grounded theory (GTc) was applied during research that explored how patients experience paramedic-led healthcare during non-conveyance situations. It explains the fundamental tenets required of GTc research and describes how they were employed during the example research. The article aims to demystify the GTc process and improve the rigour of qualitative GTc research in paramedicine and health disciplines. How to apply Constructivist Grounded Theory methodology is described by providing a practical example of research into patient experience. This article informs researchers how to maintain trustworthiness and credibility when applying GTc methodology. This article describes research that explore</w:t>
      </w:r>
    </w:p>
    <w:p>
      <w:pPr/>
      <w:r>
        <w:rPr>
          <w:b/>
        </w:rPr>
        <w:t>POSSIBLE 2025:</w:t>
      </w:r>
      <w:r>
        <w:t xml:space="preserve"> Case Studies and Practical Examples — https://doi.org/10.1201/9781003587545-7</w:t>
      </w:r>
    </w:p>
    <w:p>
      <w:pPr/>
      <w:r>
        <w:rPr>
          <w:b/>
        </w:rPr>
        <w:t>Shared claim-specific concepts:</w:t>
      </w:r>
      <w:r>
        <w:t xml:space="preserve"> examples, practical, application, technologies, field; EU scope not established. This is a provisional connection, not an outcome finding.</w:t>
      </w:r>
    </w:p>
    <w:p>
      <w:pPr>
        <w:pStyle w:val="SourceNote"/>
      </w:pPr>
      <w:r>
        <w:rPr>
          <w:b/>
        </w:rPr>
        <w:t>Available abstract (not full text):</w:t>
      </w:r>
      <w:r>
        <w:t xml:space="preserve"> This chapter explores the practical applications of Brain-Computer Interface (BCI) technologies through detailed case studies that illustrate the challenges and innovations within this dynamic field. Each case study provides a comprehensive analysis of specific BCI projects, from their conception and methodological frameworks to the practical challenges they address and the solutions they employ. These real-world examples span various applications, including assistive technologies for individuals with disabilities, cognitive monitoring, and interaction enhancements through EEG signal processing and classification. The case studies highlight the use of advanced signal processing techniques, machine learning models, and adaptive algorithms that improve the accuracy, usability, and personalization of BCI systems. By examining these specific instances of BCI application, the chapter sheds light on the broader implications of BCI technologies, their potential for future development, and their impact on both clinical and everyday settings. This exploration not only demonstrates the current capabilities of BCIs but also paves the way for future innovations, underlining the importance of interdisciplinary collaboration and ethical considerations in advancing BCI technologies.</w:t>
      </w:r>
    </w:p>
    <w:p>
      <w:pPr/>
      <w:r>
        <w:rPr>
          <w:b/>
        </w:rPr>
        <w:t>POSSIBLE 2024:</w:t>
      </w:r>
      <w:r>
        <w:t xml:space="preserve"> Design rules applied to silver nanoparticles synthesis: A practical example of machine learning application. — https://doi.org/10.1016/j.csbj.2024.02.010</w:t>
      </w:r>
    </w:p>
    <w:p>
      <w:pPr/>
      <w:r>
        <w:rPr>
          <w:b/>
        </w:rPr>
        <w:t>Shared claim-specific concepts:</w:t>
      </w:r>
      <w:r>
        <w:t xml:space="preserve"> practical, application, field; EU scope not established. This is a provisional connection, not an outcome finding.</w:t>
      </w:r>
    </w:p>
    <w:p>
      <w:pPr>
        <w:pStyle w:val="SourceNote"/>
      </w:pPr>
      <w:r>
        <w:rPr>
          <w:b/>
        </w:rPr>
        <w:t>Available abstract (not full text):</w:t>
      </w:r>
      <w:r>
        <w:t xml:space="preserve"> The synthesis of silver nanoparticles with controlled physicochemical properties is essential for governing their intended functionalities and safety profiles. However, synthesis process involves multiple parameters that could influence the resulting properties. This challenge could be addressed with the development of predictive models that forecast endpoints based on key synthesis parameters. In this study, we manually extracted synthesis-related data from the literature and leveraged various machine learning algorithms. Data extraction included parameters such as reactant concentrations, experimental conditions, as well as physicochemical properties. The antibacterial efficiencies and toxicological profiles of the synthesized nanoparticles were also extracted. In a second step, based on data completeness, we employed regression algorithms to establish relationships between synthesis parameters and desired endpoints and to build predictive models. The models for core size and antibacterial efficiency were trained and validated using a cross-validation approach. Finally, the features' impact was evaluated via Shapley values to provide insights into the contribution of features to the predictions. Factors such as synthesis duration, scale of synthesis and the choice of capping agents emerged as the most significant predictors. This study demonstrated the potential of machine le</w:t>
      </w:r>
    </w:p>
    <w:p>
      <w:pPr/>
      <w:r>
        <w:rPr>
          <w:b/>
        </w:rPr>
        <w:t>POSSIBLE 2023:</w:t>
      </w:r>
      <w:r>
        <w:t xml:space="preserve"> What Is Machine Learning, Artificial Neural Networks and Deep Learning?—Examples of Practical Applications in Medicine — https://doi.org/10.3390/diagnostics13152582</w:t>
      </w:r>
    </w:p>
    <w:p>
      <w:pPr/>
      <w:r>
        <w:rPr>
          <w:b/>
        </w:rPr>
        <w:t>Shared claim-specific concepts:</w:t>
      </w:r>
      <w:r>
        <w:t xml:space="preserve"> examples, practical, application, given; EU scope not established. This is a provisional connection, not an outcome finding.</w:t>
      </w:r>
    </w:p>
    <w:p>
      <w:pPr>
        <w:pStyle w:val="SourceNote"/>
      </w:pPr>
      <w:r>
        <w:rPr>
          <w:b/>
        </w:rPr>
        <w:t>Available abstract (not full text):</w:t>
      </w:r>
      <w:r>
        <w:t xml:space="preserve"> Machine learning (ML), artificial neural networks (ANNs), and deep learning (DL) are all topics that fall under the heading of artificial intelligence (AI) and have gained popularity in recent years. ML involves the application of algorithms to automate decision-making processes using models that have not been manually programmed but have been trained on data. ANNs that are a part of ML aim to simulate the structure and function of the human brain. DL, on the other hand, uses multiple layers of interconnected neurons. This enables the processing and analysis of large and complex databases. In medicine, these techniques are being introduced to improve the speed and efficiency of disease diagnosis and treatment. Each of the AI techniques presented in the paper is supported with an example of a possible medical application. Given the rapid development of technology, the use of AI in medicine shows promising results in the context of patient care. It is particularly important to keep a close eye on this issue and conduct further research in order to fully explore the potential of ML, ANNs, and DL, and bring further applications into clinical use in the future.</w:t>
      </w:r>
    </w:p>
    <w:p>
      <w:pPr>
        <w:pStyle w:val="Heading2"/>
      </w:pPr>
      <w:r>
        <w:t>749. Future Scenarios of European Forests</w:t>
      </w:r>
    </w:p>
    <w:p>
      <w:pPr>
        <w:pStyle w:val="SourceNote"/>
      </w:pPr>
      <w:r>
        <w:rPr>
          <w:b/>
        </w:rPr>
        <w:t>Original source (2018):</w:t>
      </w:r>
      <w:r>
        <w:t xml:space="preserve"> https://doi.org/10.2478/jlecol-2018-0020</w:t>
      </w:r>
    </w:p>
    <w:p>
      <w:pPr/>
      <w:r>
        <w:t>Original wording (abstract; indexed_source_text_not_full_document_verified):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2024:</w:t>
      </w:r>
      <w:r>
        <w:t xml:space="preserve"> A Climatology of Convective Precipitation over Europe — https://doi.org/10.1175/mwr-d-23-0156.1</w:t>
      </w:r>
    </w:p>
    <w:p>
      <w:pPr/>
      <w:r>
        <w:rPr>
          <w:b/>
        </w:rPr>
        <w:t>Shared claim-specific concepts:</w:t>
      </w:r>
      <w:r>
        <w:t xml:space="preserve"> abstract, used, large; EU scope visible. This is a provisional connection, not an outcome finding.</w:t>
      </w:r>
    </w:p>
    <w:p>
      <w:pPr>
        <w:pStyle w:val="SourceNote"/>
      </w:pPr>
      <w:r>
        <w:rPr>
          <w:b/>
        </w:rPr>
        <w:t>Available abstract (not full text):</w:t>
      </w:r>
      <w:r>
        <w:t xml:space="preserve"> Abstract The annual, seasonal, and diurnal spatiotemporal heavy convective precipitation patterns over a pan-European domain are analyzed in this study using a combination of datasets, including the Integrated Multi-satellitE Retrievals for Global Precipitation Measurement (GPM) (IMERG) precipitation rate product, E-OBS ground-based precipitation gauge data, European climatological gauge-adjusted radar precipitation dataset (EURADCLIM), Operational Programme for the Exchange of Weather Radar Information (OPERA) ground-based radar-derived precipitation rates, and fifth major global reanalysis produced by ECMWF (ERA5) total and convective precipitation products. Arrival Time Difference Network (ATDnet) lightning data are used in conjunction with IMERG and EURADCLIM precipitation rates, with an imposed threshold of 10 mm h−1 to classify precipitation as convective. Annually, the largest convective precipitation accumulations are over the European seas and coastlines. In summer, convective precipitation is more common over the European continent, though relatively large accumulations exist over the northern coastal waters and the southern seas, with a seasonal localized maximum over the northern Adriatic Sea. Activity shifts southward to the Mediterranean and its coastlines in autumn and winter, with maxima over the Ionian Sea, the eastern Adriatic Sea, and the adjacent coastline. </w:t>
      </w:r>
    </w:p>
    <w:p>
      <w:pPr/>
      <w:r>
        <w:rPr>
          <w:b/>
        </w:rPr>
        <w:t>POSSIBLE 2024:</w:t>
      </w:r>
      <w:r>
        <w:t xml:space="preserve"> Use of synanthropic roosts by bats in Europe and North America — https://doi.org/10.1111/mam.12380</w:t>
      </w:r>
    </w:p>
    <w:p>
      <w:pPr/>
      <w:r>
        <w:rPr>
          <w:b/>
        </w:rPr>
        <w:t>Shared claim-specific concepts:</w:t>
      </w:r>
      <w:r>
        <w:t xml:space="preserve"> abstract, based, contrasting, used, ways; EU scope visible. This is a provisional connection, not an outcome finding.</w:t>
      </w:r>
    </w:p>
    <w:p>
      <w:pPr>
        <w:pStyle w:val="SourceNote"/>
      </w:pPr>
      <w:r>
        <w:rPr>
          <w:b/>
        </w:rPr>
        <w:t>Available abstract (not full text):</w:t>
      </w:r>
      <w:r>
        <w:t xml:space="preserve"> ABSTRACT Diurnal roosts are vital to bats and growing evidence suggests that bats increasingly exploit synanthropic structures, such as buildings. The use of synanthropic roosts (SRs) has been explained as a consequence of the decreased availability of natural roosts imposed by habitat destruction, although growing evidence suggests that the use of SRs may be beneficial to bats in many ways, including enabling the expansion of distributional ranges. Based on data from Europe and North America, our study aimed to (1) analyse the proportion of use of synanthropic vs. natural roosts, (2) test the hypothesis that bats are forced to use SRs in response to the destruction of natural habitats, (3) analyse latitudinal variation of the proportion of use of SRs and (4) address the highly contrasting pattern in the proportion of use of SRs between the two continents in the light of historical aspects of coexistence between bats and humans. We compiled published data on day roosts obtained by means of radio‐telemetry, providing unbiased evidence of the proportion of synanthropic and natural roosts. We compared the obtained patterns between the two continents, analysed the relationship between the proportion of use of SRs, land cover and latitude and analysed historical reconstruction of anthropogenic land use. In Europe (n = 3385 roosts), SRs were used by twice more (26) bat species and we</w:t>
      </w:r>
    </w:p>
    <w:p>
      <w:pPr/>
      <w:r>
        <w:rPr>
          <w:b/>
        </w:rPr>
        <w:t>POSSIBLE 2023:</w:t>
      </w:r>
      <w:r>
        <w:t xml:space="preserve"> Performance-based sub-selection of CMIP6 models for impact assessments in Europe — https://doi.org/10.5194/esd-14-457-2023</w:t>
      </w:r>
    </w:p>
    <w:p>
      <w:pPr/>
      <w:r>
        <w:rPr>
          <w:b/>
        </w:rPr>
        <w:t>Shared claim-specific concepts:</w:t>
      </w:r>
      <w:r>
        <w:t xml:space="preserve"> abstract, based, used, trends; EU scope visible. This is a provisional connection, not an outcome finding.</w:t>
      </w:r>
    </w:p>
    <w:p>
      <w:pPr>
        <w:pStyle w:val="SourceNote"/>
      </w:pPr>
      <w:r>
        <w:rPr>
          <w:b/>
        </w:rPr>
        <w:t>Available abstract (not full text):</w:t>
      </w:r>
      <w:r>
        <w:t xml:space="preserve"> Abstract. We have created a performance-based assessment of CMIP6 models for Europe that can be used to inform the sub-selection of models for this region. Our assessment covers criteria indicative of the ability of individual models to capture a range of large-scale processes that are important for the representation of present-day European climate. We use this study to provide examples of how this performance-based assessment may be applied to multi-model ensemble of CMIP6 models to a) filter the ensemble for performance against these climatological/ processed-based criteria and, b) create a smaller sub-set of models based on performance, that also maintains model diversity and the filtered projection range as far as possible. Filtering by excluding the least realistic models leads to higher sensitivity models remaining in the ensemble as an emergent consequence of the assessment. This results in both the 25th percentile and the median of the projected temperature range being shifted toward greater warming for the filtered set of models. We also weight the unfiltered ensemble against global trends. In contrast this shifts both the distribution of towards less warming. This highlights a tension for regional model selection in terms of selection based on regional climate processes versus the global mean warming trend.</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based, used, explore, develop;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2022:</w:t>
      </w:r>
      <w:r>
        <w:t xml:space="preserve"> Contrasting future lightning stories across Europe — https://doi.org/10.1088/1748-9326/ac9b78</w:t>
      </w:r>
    </w:p>
    <w:p>
      <w:pPr/>
      <w:r>
        <w:rPr>
          <w:b/>
        </w:rPr>
        <w:t>Shared claim-specific concepts:</w:t>
      </w:r>
      <w:r>
        <w:t xml:space="preserve"> abstract, contrasting, here, general; EU scope visible. This is a provisional connection, not an outcome finding.</w:t>
      </w:r>
    </w:p>
    <w:p>
      <w:pPr>
        <w:pStyle w:val="SourceNote"/>
      </w:pPr>
      <w:r>
        <w:rPr>
          <w:b/>
        </w:rPr>
        <w:t>Available abstract (not full text):</w:t>
      </w:r>
      <w:r>
        <w:t xml:space="preserve"> Abstract Thunderstorms are the most common source of hazardous weather at local scales, but are poorly represented in conventional climate models, resulting in high uncertainty in future changes. How these changes manifest in terms of lightning is even more uncertain, with previous studies giving conflicting projections. Here, for the first time, we use a km-scale model that explicitly resolves convection across Europe; suggesting more convection by 2100 under RCP8.5. Our ice-based lightning scheme indicates a highly altered lightning climatology-the consequence of general increases in instability, partly limited by convective inhibition, along with huge increases in melting level height and less cloud ice. A northward shift in favourable weather regimes increases lightning frequency at higher latitudes, and favours more thunderstorms over the Alps, but lightning decreases over lower terrain elsewhere and over the sea. Our results suggest the need to re-evaluate lightning risk to wildfires, properties, and human life across Europe.</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abstract, based, different, impacts, large, recent;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2021:</w:t>
      </w:r>
      <w:r>
        <w:t xml:space="preserve"> Keeping Up or Giving Up? Income Inequality and Materialism in Europe and the United States — https://doi.org/10.1007/s11205-021-02760-1</w:t>
      </w:r>
    </w:p>
    <w:p>
      <w:pPr/>
      <w:r>
        <w:rPr>
          <w:b/>
        </w:rPr>
        <w:t>Shared claim-specific concepts:</w:t>
      </w:r>
      <w:r>
        <w:t xml:space="preserve"> abstract, based, used, different, trends; EU scope visible. This is a provisional connection, not an outcome finding.</w:t>
      </w:r>
    </w:p>
    <w:p>
      <w:pPr>
        <w:pStyle w:val="SourceNote"/>
      </w:pPr>
      <w:r>
        <w:rPr>
          <w:b/>
        </w:rPr>
        <w:t>Available abstract (not full text):</w:t>
      </w:r>
      <w:r>
        <w:t xml:space="preserve"> Abstract We examine the extent to which income inequality is associated with materialistic values and behavior in Europe and the United States (US). In the US, existing research on materialistic behavior is largely focused on the study of shopping behavior and shows that, when income inequality is higher, individuals search for and buy products that are more luxury. In Europe, the evidence for this phenomenon is mainly based on survey questions on people’s values, and results are mixed. To determine whether these conflicting findings are rooted in methodology or reflect structural differences between the situation of Americans and Europeans, we measure materialistic behavior and values in both the US and Europe. Different types of data are used to test our arguments. In study 1, we use information on materialistic values from the European Social Survey (ESS) and the World Values Survey (WVS) to study the relationship between income inequality and materialistic values, examining the same research question in the contexts of Europe and the United States. In study 2, we use information from Google Trends to examine the relationship between income inequality and internet searching behavior both in Europe and in the United States. Hybrid multilevel models analyzing the variation in these relationships both over time and across regions show that in Europe as well as in the US, income</w:t>
      </w:r>
    </w:p>
    <w:p>
      <w:pPr/>
      <w:r>
        <w:rPr>
          <w:b/>
        </w:rPr>
        <w:t>POSSIBLE 2020:</w:t>
      </w:r>
      <w:r>
        <w:t xml:space="preserve"> Diverging hydrological drought traits over Europe with global warming — https://doi.org/10.5194/hess-24-5919-2020</w:t>
      </w:r>
    </w:p>
    <w:p>
      <w:pPr/>
      <w:r>
        <w:rPr>
          <w:b/>
        </w:rPr>
        <w:t>Shared claim-specific concepts:</w:t>
      </w:r>
      <w:r>
        <w:t xml:space="preserve"> abstract, different, develop, impacts, large; EU scope visible. This is a provisional connection, not an outcome finding.</w:t>
      </w:r>
    </w:p>
    <w:p>
      <w:pPr>
        <w:pStyle w:val="SourceNote"/>
      </w:pPr>
      <w:r>
        <w:rPr>
          <w:b/>
        </w:rPr>
        <w:t>Available abstract (not full text):</w:t>
      </w:r>
      <w:r>
        <w:t xml:space="preserve">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pPr/>
      <w:r>
        <w:rPr>
          <w:b/>
        </w:rPr>
        <w:t>POSSIBLE 2020:</w:t>
      </w:r>
      <w:r>
        <w:t xml:space="preserve"> Is There a Crisis of Democracy in Europe? — https://doi.org/10.1007/s11615-020-00231-9</w:t>
      </w:r>
    </w:p>
    <w:p>
      <w:pPr/>
      <w:r>
        <w:rPr>
          <w:b/>
        </w:rPr>
        <w:t>Shared claim-specific concepts:</w:t>
      </w:r>
      <w:r>
        <w:t xml:space="preserve"> abstract, large, trends;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2020:</w:t>
      </w:r>
      <w:r>
        <w:t xml:space="preserve"> Biogeophysical impacts of forestation in Europe: first results from the LUCAS (Land Use and Climate Across Scales) regional climate model intercomparison — https://doi.org/10.5194/esd-11-183-2020</w:t>
      </w:r>
    </w:p>
    <w:p>
      <w:pPr/>
      <w:r>
        <w:rPr>
          <w:b/>
        </w:rPr>
        <w:t>Shared claim-specific concepts:</w:t>
      </w:r>
      <w:r>
        <w:t xml:space="preserve"> abstract, based, used, explore, impacts, here; EU scope visible. This is a provisional connection, not an outcome finding.</w:t>
      </w:r>
    </w:p>
    <w:p>
      <w:pPr>
        <w:pStyle w:val="SourceNote"/>
      </w:pPr>
      <w:r>
        <w:rPr>
          <w:b/>
        </w:rPr>
        <w:t>Available abstract (not full text):</w:t>
      </w:r>
      <w:r>
        <w:t xml:space="preserve">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pPr/>
      <w:r>
        <w:rPr>
          <w:b/>
        </w:rPr>
        <w:t>POSSIBLE 2020:</w:t>
      </w:r>
      <w:r>
        <w:t xml:space="preserve"> Attribution of precipitation to cyclones and fronts over Europe in a kilometer-scale regional climate simulation — https://doi.org/10.5194/wcd-1-675-2020</w:t>
      </w:r>
    </w:p>
    <w:p>
      <w:pPr/>
      <w:r>
        <w:rPr>
          <w:b/>
        </w:rPr>
        <w:t>Shared claim-specific concepts:</w:t>
      </w:r>
      <w:r>
        <w:t xml:space="preserve"> abstract, based, contrasting, characteristics; EU scope visible. This is a provisional connection, not an outcome finding.</w:t>
      </w:r>
    </w:p>
    <w:p>
      <w:pPr>
        <w:pStyle w:val="SourceNote"/>
      </w:pPr>
      <w:r>
        <w:rPr>
          <w:b/>
        </w:rPr>
        <w:t>Available abstract (not full text):</w:t>
      </w:r>
      <w:r>
        <w:t xml:space="preserve"> Abstract. This study presents a detailed analysis of the climatological distribution of precipitation in relation to cyclones and fronts over Europe for the nine-year period 2000–2008. The analysis uses hourly output of a COSMO (Consortium for Small-scale Modeling) model simulation with 2.2 km grid spacing and resolved deep convection. Cyclones and fronts are identified as two-dimensional features in 850 hPa geopotential, equivalent potential temperature, and wind fields, and subsequently tracked over time based on feature overlap and size. Thermal heat lows and local thermal fronts are removed based on track properties. This data set then serves to define seven mutually exclusive precipitation components: high-pressure (e.g., summer convection), cyclonic (near cyclone center), cold-frontal, warm-frontal, collocated (e.g., occlusion area), far-frontal, and residual. The approach is illustrated with two case studies with contrasting precipitation characteristics. The climatological analysis for the nine-year period shows that frontal precipitation peaks in fall and winter over the eastern North Atlantic, with cold frontal precipitation also being crucial year-round near the Alps; cyclonic precipitation is largest over the North Atlantic (especially in summer) and in the northern Mediterranean (except in summer); high-pressure precipitation occurs almost exclusively over land and</w:t>
      </w:r>
    </w:p>
    <w:p>
      <w:pPr>
        <w:pStyle w:val="Heading2"/>
      </w:pPr>
      <w:r>
        <w:t>750.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r>
        <w:rPr>
          <w:b/>
        </w:rPr>
        <w:t>POSSIBLE 2024:</w:t>
      </w:r>
      <w:r>
        <w:t xml:space="preserve"> The Legal Governance of Geothermal Energy in Europe: A Historical Review and an Indicator Analysis — https://doi.org/10.4236/blr.2024.152048</w:t>
      </w:r>
    </w:p>
    <w:p>
      <w:pPr/>
      <w:r>
        <w:rPr>
          <w:b/>
        </w:rPr>
        <w:t>Shared claim-specific concepts:</w:t>
      </w:r>
      <w:r>
        <w:t xml:space="preserve"> historical, database, energy; EU scope visible. This is a provisional connection, not an outcome finding.</w:t>
      </w:r>
    </w:p>
    <w:p>
      <w:pPr>
        <w:pStyle w:val="SourceNote"/>
      </w:pPr>
      <w:r>
        <w:rPr>
          <w:b/>
        </w:rPr>
        <w:t>Available abstract (not full text):</w:t>
      </w:r>
      <w:r>
        <w:t xml:space="preserve"> Along with decarbonization, the importance of renewable energy has increased significantly in the European Union (EU) since the turn of the century, and even more during the war in Ukraine. This study is an indication of how legislation making can be more a driver than an obstacle for innovation. The applied methodology includes an in-depth review of ca. 200 pieces of the EU legislation of the last half century, and a text mining exercise in the EU EUR-LEX database to provide a quantitative set of scores independent of the subjective expert judgment. The historical review of the EU law (“acquis”) reveals that many aspects of the geothermal value chain are covered by the acquis. The quantitative text search of EU policy documents and legal pieces indicates how the intensity of policy making correlates with major drivers on energy and on renewable energy. The regulatory environment of exploration and extraction of high enthalpy geothermal energy is similar to that for hydrocarbons, so some EU member states apply the Hydrocarbons Directive (Annex 32) voluntarily. The legislation on low enthalpy geothermal projects is more detailed regarding technical safety, water management, environment and energy efficiency. Because of conflicts with other emerging subsurface resource uses, such as groundwater/gas/carbon storage and urban underground infrastructure, there is a need for coherent </w:t>
      </w:r>
    </w:p>
    <w:p>
      <w:pPr/>
      <w:r>
        <w:rPr>
          <w:b/>
        </w:rPr>
        <w:t>POSSIBLE 2023:</w:t>
      </w:r>
      <w:r>
        <w:t xml:space="preserve"> HANZE database of historical flood impacts in Europe, 1870-2020 — https://doi.org/10.5281/zenodo.8221453</w:t>
      </w:r>
    </w:p>
    <w:p>
      <w:pPr/>
      <w:r>
        <w:rPr>
          <w:b/>
        </w:rPr>
        <w:t>Shared claim-specific concepts:</w:t>
      </w:r>
      <w:r>
        <w:t xml:space="preserve"> historical, data, database, gross; EU scope visible. This is a provisional connection, not an outcome finding.</w:t>
      </w:r>
    </w:p>
    <w:p>
      <w:pPr>
        <w:pStyle w:val="SourceNote"/>
      </w:pPr>
      <w:r>
        <w:rPr>
          <w:b/>
        </w:rPr>
        <w:t>Available abstract (not full text):</w:t>
      </w:r>
      <w:r>
        <w:t xml:space="preserve"> The HANZE dataset covers riverine, pluvial, coastal and compound floods that have occurred in 42 European countries between 1870 and 2020. The data was collected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the database can be viewed, filtered and visualized online: https://naturalhazards.eu. The dataset is designed to be complimentary to HANZE-Exposure, a high-resolution model of historical exposure changes (such as population and asset value), and be easily usable in statistical and spatial analyses. The dataset contains the following file</w:t>
      </w:r>
    </w:p>
    <w:p>
      <w:pPr/>
      <w:r>
        <w:rPr>
          <w:b/>
        </w:rPr>
        <w:t>POSSIBLE 2023:</w:t>
      </w:r>
      <w:r>
        <w:t xml:space="preserve"> Predicting the Past: Imputation of Historical Data — https://doi.org/10.31234/osf.io/9gpwf</w:t>
      </w:r>
    </w:p>
    <w:p>
      <w:pPr/>
      <w:r>
        <w:rPr>
          <w:b/>
        </w:rPr>
        <w:t>Shared claim-specific concepts:</w:t>
      </w:r>
      <w:r>
        <w:t xml:space="preserve"> historical, data, database; EU scope not established. This is a provisional connection, not an outcome finding.</w:t>
      </w:r>
    </w:p>
    <w:p>
      <w:pPr>
        <w:pStyle w:val="SourceNote"/>
      </w:pPr>
      <w:r>
        <w:rPr>
          <w:b/>
        </w:rPr>
        <w:t>Available abstract (not full text):</w:t>
      </w:r>
      <w:r>
        <w:t xml:space="preserve"> Research using historical data is becoming more common across the social sciences. However, approaches using historical data suffer from a more acute missing data problem than approaches using contemporary data. Complete datasets are required to use many common statistical and machine learning techniques, the majority of which cannot handle missing data. One approach to handling missing data is to impute the missing values. Using the Database of Religious History (DRH), a large historical database, comprised of both quantitative and qualitative data, this research compares the accuracy and bias of 10 imputation methods. k-nearest neighbors (k-NN), missForest, Generalized low rank models (GLRM), Factorial analysis for mixed data (FAMD), DataWig, and five methods implemented in the R package mice (multiple imputation by chained equations). On average, a missForest approach had higher imputation accuracy and among the lowest bias compared to the other methods. The accuracy and bias of different methods implemented in mice were highly variable, highlighting the importance of researchers stating the precise method used for imputation, rather than general phrases such as ‘data were imputed using mice’.</w:t>
      </w:r>
    </w:p>
    <w:p>
      <w:pPr/>
      <w:r>
        <w:rPr>
          <w:b/>
        </w:rPr>
        <w:t>POSSIBLE 2023:</w:t>
      </w:r>
      <w:r>
        <w:t xml:space="preserve"> Normalized power priors always discount historical data — https://doi.org/10.1002/sta4.591</w:t>
      </w:r>
    </w:p>
    <w:p>
      <w:pPr/>
      <w:r>
        <w:rPr>
          <w:b/>
        </w:rPr>
        <w:t>Shared claim-specific concepts:</w:t>
      </w:r>
      <w:r>
        <w:t xml:space="preserve"> historical, data; EU scope not established. This is a provisional connection, not an outcome finding.</w:t>
      </w:r>
    </w:p>
    <w:p>
      <w:pPr>
        <w:pStyle w:val="SourceNote"/>
      </w:pPr>
      <w:r>
        <w:rPr>
          <w:b/>
        </w:rPr>
        <w:t>Available abstract (not full text):</w:t>
      </w:r>
      <w:r>
        <w:t xml:space="preserve"> Power priors are used for incorporating historical data in Bayesian analyses by taking the likelihood of the historical data raised to the power as the prior distribution for the model parameters. The power parameter is typically unknown and assigned a prior distribution, most commonly a beta distribution. Here, we give a novel theoretical result on the resulting marginal posterior distribution of in case of the normal and binomial model. Counterintuitively, when the current data perfectly mirror the historical data and the sample sizes from both data sets become arbitrarily large, the marginal posterior of does not converge to a point mass at but approaches a distribution that hardly differs from the prior. The result implies that a complete pooling of historical and current data is impossible if a power prior with beta prior for is used.</w:t>
      </w:r>
    </w:p>
    <w:p>
      <w:pPr/>
      <w:r>
        <w:rPr>
          <w:b/>
        </w:rPr>
        <w:t>POSSIBLE 2023:</w:t>
      </w:r>
      <w:r>
        <w:t xml:space="preserve"> Historical Population Database of Transylvania. — https://doi.org/10.2307/jj.6445824.16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The Historical Population Database of Transylvania (HPDT) is a research tool for population studies developed since 2014 at the Centre for Population Studies in Cluj-Napoca, financed by an SEE-Norway Grant. HPDT employs a source-oriented approach for recording data from the parish registers kept by the Transylvanian churches, focusing primarily on the main vital events such as births, marriages, and deaths. The data entry process was followed by the standardization of various information, such as names, occupations, locations and causes of death, thus allowing the initiation of a linkage process. The database has already been employed in a wide-ranging series of analyses conducted on datasets extracted from HPDT, which include infant and adult mortality, nuptiality and age at first marriage, social mobility, and the medicalization of childbirth. The wealth of information it includes will enable many more scientific investigations.</w:t>
      </w:r>
    </w:p>
    <w:p>
      <w:pPr/>
      <w:r>
        <w:rPr>
          <w:b/>
        </w:rPr>
        <w:t>POSSIBLE 2023:</w:t>
      </w:r>
      <w:r>
        <w:t xml:space="preserve"> Techno-economic analysis of underground hydrogen storage in Europe — https://doi.org/10.1016/j.isci.2023.108771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Hydrogen storage is crucial to developing secure renewable energy systems to meet the European Union's 2050 carbon neutrality objectives. However, a knowledge gap exists concerning the site-specific performance and economic viability of utilizing underground gas storage (UGS) sites for hydrogen storage in Europe. We compile information on European UGS sites to assess potential hydrogen storage capacity and evaluate the associated current and future costs. The total hydrogen storage potential in Europe is 349 TWh of working gas energy (WGE), with site-specific capital costs ranging from $10 million to $1 billion. Porous media and salt caverns, boasting a minimum storage capacity of 0.5 TWh WGE, exhibit levelized costs of $1.5 and $0.8 per kilogram of hydrogen, respectively. It is estimated that future levelized costs associated with hydrogen storage can potentially decrease to as low as $0.4 per kilogram after three experience cycles. Leveraging these techno-economic considerations, we identify suitable storage sites.</w:t>
      </w:r>
    </w:p>
    <w:p>
      <w:pPr/>
      <w:r>
        <w:rPr>
          <w:b/>
        </w:rPr>
        <w:t>POSSIBLE 2022:</w:t>
      </w:r>
      <w:r>
        <w:t xml:space="preserve"> Historical reconstruction of soil erosion in Europe — https://doi.org/10.2905/jrc.c2803r8</w:t>
      </w:r>
    </w:p>
    <w:p>
      <w:pPr/>
      <w:r>
        <w:rPr>
          <w:b/>
        </w:rPr>
        <w:t>Shared claim-specific concepts:</w:t>
      </w:r>
      <w:r>
        <w:t xml:space="preserve"> starting, historical, data; EU scope visible. This is a provisional connection, not an outcome finding.</w:t>
      </w:r>
    </w:p>
    <w:p>
      <w:pPr>
        <w:pStyle w:val="SourceNote"/>
      </w:pPr>
      <w:r>
        <w:rPr>
          <w:b/>
        </w:rPr>
        <w:t>Available abstract (not full text):</w:t>
      </w:r>
      <w:r>
        <w:t xml:space="preserve"> This dataset includes the past reconstruction of soil erosion rates in Europe (incuding UK, Switzerland and Western balkans). The data provided have are aggregated per decade starting from 1860. The soil erosion change is driven by changes in land use and rainfall erosivity. The simulations have been done using the CE-DYNAM model. We also make available the annual histrorical soil loss by water erosion rates (per year for the period 1860 - 2018). Advanced users may also download the monthly files (12 bands per file). The annual and monthly soil erosion reconstruction data (1860-2018) can be useful inputs for Earth System Models.</w:t>
      </w:r>
    </w:p>
    <w:p>
      <w:pPr/>
      <w:r>
        <w:rPr>
          <w:b/>
        </w:rPr>
        <w:t>POSSIBLE 2022:</w:t>
      </w:r>
      <w:r>
        <w:t xml:space="preserve"> Historical Spruce Abundance in Central Europe: A Combined Dendrochronological and Palynological Approach — https://doi.org/10.3389/fevo.2022.909453</w:t>
      </w:r>
    </w:p>
    <w:p>
      <w:pPr/>
      <w:r>
        <w:rPr>
          <w:b/>
        </w:rPr>
        <w:t>Shared claim-specific concepts:</w:t>
      </w:r>
      <w:r>
        <w:t xml:space="preserve"> starting, historical, data, consumption, varies; EU scope visible. This is a provisional connection, not an outcome finding.</w:t>
      </w:r>
    </w:p>
    <w:p>
      <w:pPr>
        <w:pStyle w:val="SourceNote"/>
      </w:pPr>
      <w:r>
        <w:rPr>
          <w:b/>
        </w:rPr>
        <w:t>Available abstract (not full text):</w:t>
      </w:r>
      <w:r>
        <w:t xml:space="preserve"> Spruce is the most cultivated tree species in modern forestry in Central Europe, since it has the ability to grow on many soil types with profitable biomass accumulation. However, even-aged and uniform spruce forests are affected by recurring droughts and associated biotic stressors leading to large-scale diebacks across Central Europe causing controversies among foresters and nature conservationists. We investigate the role of spruce in historical woodlands by using 15666 spruce timbers from historical buildings and on the basis of pollen-based land cover estimates using the REVEALS model from 157 pollen sites in southern Central Europe. Start and end dates of the spruce timber samples and their dendrological characteristics (age, growth rates and stem diameters) were used to obtain information on past forest structures. Tree rings and REVEALS estimates are combined at a spatial scale of 1° × 1° resolution, grouped in four sub-regions, and a temporal resolution of 100-year time windows starting from 1150 to 1850 CE. We found that spruce dominates the species assemblage of construction timber with almost 41% and that the harvest age varies little through time, whereas a declining trend in growth rates and stem diameters are observed toward times before modern forestry. Temporal and regional differences in spruce abundance and building activity were found highlighting periods of</w:t>
      </w:r>
    </w:p>
    <w:p>
      <w:pPr/>
      <w:r>
        <w:rPr>
          <w:b/>
        </w:rPr>
        <w:t>POSSIBLE 2022:</w:t>
      </w:r>
      <w:r>
        <w:t xml:space="preserve"> Historical Population Database of Transylvania. Sources, Particularities, Challenges, and Early Findings — https://doi.org/10.51964/hlcs12038</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The Historical Population Database of Transylvania (HPDT) is a research tool for population studies developed since 2014 at the Centre for Population Studies in Cluj-Napoca, financed by an SEE-Norway Grant. HPDT employs a source-oriented approach for recording data from the parish registers kept by the Transylvanian churches, focusing primarily on the main vital events such as births, marriages, and deaths. The data entry process was followed by the standardization of various information, such as names, occupations, locations and causes of death, thus allowing the initiation of a linkage process. The database has already been employed in a wide-ranging series of analyses conducted on datasets extracted from HPDT, which include infant and adult mortality, nuptiality and age at first marriage, social mobility, and the medicalization of childbirth. The wealth of information it includes will enable many more scientific investigations.</w:t>
      </w:r>
    </w:p>
    <w:p>
      <w:pPr>
        <w:pStyle w:val="Heading2"/>
      </w:pPr>
      <w:r>
        <w:t>751.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2024:</w:t>
      </w:r>
      <w:r>
        <w:t xml:space="preserve"> Effects of climate change on fungal infections — https://doi.org/10.1371/journal.ppat.1012219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Climate change significantly impacts atmospheric, ecological, agricultural, and societal systems.Documented increases in global temperature, extreme precipitation, and the frequency and intensity of severe weather events have been linked to a variety of adverse health outcomes, and conditions are expected to worsen [1].Fungi are particularly susceptible to the effects of climate change because the highest diversity and biomass of fungi are found in the top layer of soil, at the forefront of environmental changes.Fungal diseases cause a wide spectrum of illness, ranging from mild skin and mucosal infections to severe respiratory illness and lifethreatening disseminated disease.Evidence suggests that evolving weather patterns have contributed to expanded geographic ranges of endemic fungi, emergence of new pathogens, and increased antifungal resistance [2,3].This review presents an introduction to and discussion of some of the most important potential climate-related mechanisms associated with the proliferation of pathogenic fungi and associated fungal diseases (Fig 1) that could impact human and animal health.</w:t>
      </w:r>
    </w:p>
    <w:p>
      <w:pPr/>
      <w:r>
        <w:rPr>
          <w:b/>
        </w:rPr>
        <w:t>POSSIBLE 2024:</w:t>
      </w:r>
      <w:r>
        <w:t xml:space="preserve"> Understsanding the Effects of UV Radiation on Climate Change: A Comprehensive Review — https://doi.org/10.70436/nuijb.v3i02.303</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‌This review paper explores the intricate relationship between ultraviolet (UV) radiation and climate change, delving into its multifaceted effects on atmospheric processes, global temperature dynamics, biological entities, and the intricate feedback mechanisms that shape the Earth's climate. Beginning with an examination of UV radiation's interaction with the atmosphere, we uncover its role in ozone layer dynamics and its potential to influence atmospheric circulation patterns.The discussion extends to the impact of UV radiation on global temperature patterns, emphasizing its contribution to the Earth's energy balance and its interaction with greenhouse gases. Moving beyond climatic elements, we explore the biological impacts of UV radiation, encompassing its effects on human health, plant productivity, and aquatic ecosystems. We unveil the intricate feedback loops, revealing how changes induced by UV radiation can cascade through the atmosphere, ecosystems, and human societies.The technological and policy implications are scrutinized, highlighting innovations in monitoring and mitigation strategies alongside international policies crafted to address UV radiation's impact on climate change. Looking toward the future, the paper offers insights into potential advancements, challenges, and opportunities, emphasizing the need for ongoing research, global collaboration, and sustain</w:t>
      </w:r>
    </w:p>
    <w:p>
      <w:pPr/>
      <w:r>
        <w:rPr>
          <w:b/>
        </w:rPr>
        <w:t>POSSIBLE 2024:</w:t>
      </w:r>
      <w:r>
        <w:t xml:space="preserve"> CHARGED PARTICLES IN ATMOSPHERIC AIR: SIGNIFICANCE, PROPERTIES, AND IMPLICATIONS — https://openalex.org/W7219286878</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The study of charged particles, or ions, in atmospheric air is of paramount importance in contemporary atmospheric science. These charged particles play a crucial role in various atmospheric processes, influencing cloud formation, precipitation patterns, and even the propagation of lightning. Understanding their properties and interactions is essential for gaining insights into weather phenomena, climate change dynamics, and strategies for mitigating environmental impacts. Charged particles also have significant implications for human activities, technological systems, and public health, making it imperative to examine their effects comprehensively. Moreover, exploring the realm of charged particles in atmospheric air offers opportunities for scientific advancements, providing valuable insights into the Earth's electrical environment and its relationship with solar and cosmic radiation. This manuscript delves into the complexities of charged particles in atmospheric air, highlighting their significance in advancing atmospheric science, weather prediction, climate change mitigation, technological innovations, and public health preservation.</w:t>
      </w:r>
    </w:p>
    <w:p>
      <w:pPr/>
      <w:r>
        <w:rPr>
          <w:b/>
        </w:rPr>
        <w:t>POSSIBLE 2023:</w:t>
      </w:r>
      <w:r>
        <w:t xml:space="preserve"> The effects of climate change on mental health — https://doi.org/10.3238/arztebl.m2022.0403</w:t>
      </w:r>
    </w:p>
    <w:p>
      <w:pPr/>
      <w:r>
        <w:rPr>
          <w:b/>
        </w:rPr>
        <w:t>Shared claim-specific concepts:</w:t>
      </w:r>
      <w:r>
        <w:t xml:space="preserve"> climate, estimate, increase, not; EU scope not established. This is a provisional connection, not an outcome finding.</w:t>
      </w:r>
    </w:p>
    <w:p>
      <w:pPr>
        <w:pStyle w:val="SourceNote"/>
      </w:pPr>
      <w:r>
        <w:rPr>
          <w:b/>
        </w:rPr>
        <w:t>Available abstract (not full text):</w:t>
      </w:r>
      <w:r>
        <w:t xml:space="preserve"> BACKGROUND: All over the world, climate change is exerting negative and complex effects on human living conditions and health. In this narrative review, we summarize the current global evidence regarding the effects of climate change on mental health. METHODS: A systematic literature search concerning the direct effects of acute extreme weather events (floods, storms, fires) and chronic stresses (heat, drought) due to climate change, as well as the indirect effects of climate change (food insecurity, migration), on the diagnoses of mental disorders, psychological distress, and psychiatric emergency admissions was carried out in PubMed and PsychInfo, and supplemented by expert selection. 1017 studies were identified, and 128 were included. RESULTS: The heterogeneity of study methods does not permit any overall estimate of effect strength. The available evidence shows that traumatic experiences due to extreme weather events increase the risk of affective and anxiety disorders, especially the risk of post-traumatic stress disorder. Heat significantly increases the morbidity and mortality attributable to mental illness, as well as the frequency of psychiatric emergencies. Persistent stressors such as drought, food insecurity, and migration owing to climate change can also be major risk factors for mental illness. CONCLUSION: The consequences of climate change are stress factors for</w:t>
      </w:r>
    </w:p>
    <w:p>
      <w:pPr/>
      <w:r>
        <w:rPr>
          <w:b/>
        </w:rPr>
        <w:t>POSSIBLE 2023:</w:t>
      </w:r>
      <w:r>
        <w:t xml:space="preserve"> Effects of Climate Change and Drought Tolerance on Maize Growth — https://doi.org/10.3390/plants12203548</w:t>
      </w:r>
    </w:p>
    <w:p>
      <w:pPr/>
      <w:r>
        <w:rPr>
          <w:b/>
        </w:rPr>
        <w:t>Shared claim-specific concepts:</w:t>
      </w:r>
      <w:r>
        <w:t xml:space="preserve"> climate, increase; EU scope not established. This is a provisional connection, not an outcome finding.</w:t>
      </w:r>
    </w:p>
    <w:p>
      <w:pPr>
        <w:pStyle w:val="SourceNote"/>
      </w:pPr>
      <w:r>
        <w:rPr>
          <w:b/>
        </w:rPr>
        <w:t>Available abstract (not full text):</w:t>
      </w:r>
      <w:r>
        <w:t xml:space="preserve"> Climate change is affecting all regions of the world with different climates, and the scale of damage is increasing due to the occurrence of various natural disasters. In particular, maize production is highly affected by abnormal climate events such as heat waves and droughts. Increasing temperatures can accelerate growth and shorten the growing season, potentially reducing productivity. Additionally, enhanced temperatures during the ripening period can accelerate the process, reducing crop yields. In addition, drought stress due to water deficit can greatly affect seedling formation, early plant growth, photosynthesis, reproductive growth, and yield, so proper water management is critical to maize growth. Maize, in particular, is tall and broad-leaved, so extreme drought stress at planting can cause leaves to curl and stunt growth. It is important to understand that severe drought can have a detrimental effect on the growth and reproduction of maize. In addition, high temperatures caused by drought stress can inhibit the induction of flowering in male flowers and cause factors that interfere with pollen development. It is therefore important to increase the productivity of all food crops, including maize, while maintaining them in the face of persistent drought caused by climate change. This requires a strategy to develop genetically modified crops and drought-tolerant maize </w:t>
      </w:r>
    </w:p>
    <w:p>
      <w:pPr/>
      <w:r>
        <w:rPr>
          <w:b/>
        </w:rPr>
        <w:t>POSSIBLE 2023:</w:t>
      </w:r>
      <w:r>
        <w:t xml:space="preserve"> The effects of climate change on the ecology of fishes — https://doi.org/10.1371/journal.pclm.0000258</w:t>
      </w:r>
    </w:p>
    <w:p>
      <w:pPr/>
      <w:r>
        <w:rPr>
          <w:b/>
        </w:rPr>
        <w:t>Shared claim-specific concepts:</w:t>
      </w:r>
      <w:r>
        <w:t xml:space="preserve"> climate, not; EU scope not established. This is a provisional connection, not an outcome finding.</w:t>
      </w:r>
    </w:p>
    <w:p>
      <w:pPr>
        <w:pStyle w:val="SourceNote"/>
      </w:pPr>
      <w:r>
        <w:rPr>
          <w:b/>
        </w:rPr>
        <w:t>Available abstract (not full text):</w:t>
      </w:r>
      <w:r>
        <w:t xml:space="preserve"> Ocean warming and acidification are set to reshuffle life on Earth and alter ecological processes that underpin the biodiversity, health, productivity, and resilience of ecosystems. Fishes contribute significantly to marine, estuarine, and freshwater species diversity and the functioning of marine ecosystems, and are not immune to climate change impacts. Whilst considerable effort has been placed on studying the effects of climate change on fishes, much emphasis has been placed on their (eco)physiology and at the organismal level. Fishes are affected by climate change through impacts at various levels of biological organisation and through a large variety of traits, making it difficult to make generalisations regarding fish responses to climate change. Here, we briefly review the current state of knowledge of climate change effects on fishes across a wide range of subfields of fish ecology and evaluate these effects at various scales of biological organisation (from genes to ecosystems). We argue that a more holistic synthesis of the various interconnected subfields of fish ecology and integration of responses at different levels of biological organisation are needed for a better understanding of how fishes and their populations and communities might respond or adapt to the multi-stressor effects of climate change. We postulate that studies using natural analogues of climate ch</w:t>
      </w:r>
    </w:p>
    <w:p>
      <w:pPr/>
      <w:r>
        <w:rPr>
          <w:b/>
        </w:rPr>
        <w:t>POSSIBLE 2023:</w:t>
      </w:r>
      <w:r>
        <w:t xml:space="preserve"> Climate change, airborne allergens, and three translational mitigation approaches — https://doi.org/10.1016/j.ebiom.2023.104478</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One of the important adverse impacts of climate change on human health is increases in allergic respiratory diseases such as allergic rhinitis and asthma. This impact is via the effects of increases in atmospheric carbon dioxide concentration and air temperature on sources of airborne allergens such as pollen and fungal spores. This review describes these effects and then explores three translational mitigation approaches that may lead to improved health outcomes, with recent examples and developments highlighted. Impacts have already been observed on the seasonality, production and atmospheric concentration, allergenicity, and geographic distribution of airborne allergens, and these are projected to continue into the future. A technological revolution is underway that has the potential to advance patient management by better avoiding associated increased exposures, including automated real-time airborne allergen monitoring, airborne allergen forecasting and modelling, and smartphone apps for mitigating the health impacts of airborne allergens.</w:t>
      </w:r>
    </w:p>
    <w:p>
      <w:pPr>
        <w:pStyle w:val="Heading2"/>
      </w:pPr>
      <w:r>
        <w:t>752.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2023:</w:t>
      </w:r>
      <w:r>
        <w:t xml:space="preserve"> Additional substitutions in elite European football — https://doi.org/10.1177/17479541231164090</w:t>
      </w:r>
    </w:p>
    <w:p>
      <w:pPr/>
      <w:r>
        <w:rPr>
          <w:b/>
        </w:rPr>
        <w:t>Shared claim-specific concepts:</w:t>
      </w:r>
      <w:r>
        <w:t xml:space="preserve"> additional, show; EU scope visible. This is a provisional connection, not an outcome finding.</w:t>
      </w:r>
    </w:p>
    <w:p>
      <w:pPr>
        <w:pStyle w:val="SourceNote"/>
      </w:pPr>
      <w:r>
        <w:rPr>
          <w:b/>
        </w:rPr>
        <w:t>Available abstract (not full text):</w:t>
      </w:r>
      <w:r>
        <w:t xml:space="preserve"> In 2020, the International Football Association Board (IFAB) introduced a temporary rule amendment of two additional substitutions in regular time. In this study, we assess the impact of this rule change with regard to player relief, tactical influence by the coaches and the development of young players. Data were collected from 3652 matches from the top 5 leagues in the Union of European Football Associations (UEFA) rankings and 659 UEFA club competition matches (Champions League and Europa League) in 2 different seasons (pre-rule amendment: 2018/2019 vs. post-rule amendment: 2020/2021), comparing leagues that introduced two additional substitutions with those that did not. The results show that with two additional substitutions, the reduction in player load was increased by 46%. Despite being used infrequently, the rule change resulted in 45% more substitutions and, therefore, greater tactical influence by the coaches. Furthermore, two additional substitutions benefit young players’ development with an 81% increase in playing time. While the aim of the temporary amendment to the laws of the game was achieved with the additional substitutions by compensating for the increased load on the players, coaches’ substitution behaviour shows potential for improvement.</w:t>
      </w:r>
    </w:p>
    <w:p>
      <w:pPr/>
      <w:r>
        <w:rPr>
          <w:b/>
        </w:rPr>
        <w:t>POSSIBLE 2023:</w:t>
      </w:r>
      <w:r>
        <w:t xml:space="preserve"> Can sediments play a role in river flood risk mapping? Learning from selected European examples — https://doi.org/10.1186/s40677-023-00250-9</w:t>
      </w:r>
    </w:p>
    <w:p>
      <w:pPr/>
      <w:r>
        <w:rPr>
          <w:b/>
        </w:rPr>
        <w:t>Shared claim-specific concepts:</w:t>
      </w:r>
      <w:r>
        <w:t xml:space="preserve"> additional, show, approach, climate, perspective; EU scope visible. This is a provisional connection, not an outcome finding.</w:t>
      </w:r>
    </w:p>
    <w:p>
      <w:pPr>
        <w:pStyle w:val="SourceNote"/>
      </w:pPr>
      <w:r>
        <w:rPr>
          <w:b/>
        </w:rPr>
        <w:t>Available abstract (not full text):</w:t>
      </w:r>
      <w:r>
        <w:t xml:space="preserve"> Abstract Background Climate change and increasing anthropogenic pressure are two of the major drivers of increasing extreme events like droughts and floods. To deal with the increasing number of flooding events hitting Europe in the last few decades, around twenty years ago the European Commission started to develop ad-hoc legislation to reduce flood risk by mapping flood hazard and risk areas, such as the Directive 2007/60/EC on the Assessment and Management of Flood Risk. This Directive looks to identify regions where flood management strategies should be prioritized. Despite this holistic approach, flaws connected to the consideration of sediment transport and morphological changes in rivers exist, leading to potential underestimations of the impact of floods affecting active watercourses or areas subjected to frequent morphological changes. Results By discussing six examples related to European lowland and mountain watercourses affected by significant floods in the last 20 years, the present mini-review aims to provide additional evidence on the need for a rethinking of flood risk mapping, moving from a “clear water” perspective to a more integrated approach, where the interactions between all the fluvial components (water, sediment, biota, and humans) are adequately considered. Conclusions The examples reported here show the importance of considering sediment and wood in f</w:t>
      </w:r>
    </w:p>
    <w:p>
      <w:pPr/>
      <w:r>
        <w:rPr>
          <w:b/>
        </w:rPr>
        <w:t>POSSIBLE 2023:</w:t>
      </w:r>
      <w:r>
        <w:t xml:space="preserve"> Quantifying the effects of nature-based solutions in reducing risks from hydrometeorological hazards: Examples from Europe — https://doi.org/10.1016/j.ijdrr.2023.103771</w:t>
      </w:r>
    </w:p>
    <w:p>
      <w:pPr/>
      <w:r>
        <w:rPr>
          <w:b/>
        </w:rPr>
        <w:t>Shared claim-specific concepts:</w:t>
      </w:r>
      <w:r>
        <w:t xml:space="preserve"> show, approach, climate; EU scope visible. This is a provisional connection, not an outcome finding.</w:t>
      </w:r>
    </w:p>
    <w:p>
      <w:pPr>
        <w:pStyle w:val="SourceNote"/>
      </w:pPr>
      <w:r>
        <w:rPr>
          <w:b/>
        </w:rPr>
        <w:t>Available abstract (not full text):</w:t>
      </w:r>
      <w:r>
        <w:t xml:space="preserve"> The combination of climate change and social and ecological factors will increase risks societies face from hydrometeorological hazards (HMH). Reducing these risks is typically achieved through the deployment of engineered (or grey) infrastructure but increasingly, nature-based solutions (NBS) are being considered. Most risk assessment frameworks do not allow capturing well the role NBS can play in addressing all components of risk, i.e., the hazard characteristics and the exposure and vulnerability of social-ecological systems. Recently, the Vulnerability and Risk assessment framework developed to allow the assessment of risks in the context of NBS implementation (VR-NBS framework) was proposed. Here, we carry out the first implementation of this framework using five case study areas in Europe which are exposed to various HMH. Our results show that we can demonstrate the effect NBS have in terms of risk reduction and that this can be achieved by using a flexible library of indicators that allows to capture the specificities of each case study hazard, social and ecological circumstances. The approach appears to be more effective for larger case study areas, but further testing is required in a broader variety of contexts.</w:t>
      </w:r>
    </w:p>
    <w:p>
      <w:pPr/>
      <w:r>
        <w:rPr>
          <w:b/>
        </w:rPr>
        <w:t>POSSIBLE 2023:</w:t>
      </w:r>
      <w:r>
        <w:t xml:space="preserve"> The role of shared mobility in reducing perceived private car dependency — https://doi.org/10.1016/j.trd.2023.104023</w:t>
      </w:r>
    </w:p>
    <w:p>
      <w:pPr/>
      <w:r>
        <w:rPr>
          <w:b/>
        </w:rPr>
        <w:t>Shared claim-specific concepts:</w:t>
      </w:r>
      <w:r>
        <w:t xml:space="preserve"> show, dependency, existing; EU scope not established. This is a provisional connection, not an outcome finding.</w:t>
      </w:r>
    </w:p>
    <w:p>
      <w:pPr>
        <w:pStyle w:val="SourceNote"/>
      </w:pPr>
      <w:r>
        <w:rPr>
          <w:b/>
        </w:rPr>
        <w:t>Available abstract (not full text):</w:t>
      </w:r>
      <w:r>
        <w:t xml:space="preserve"> Existing contributions have explored the effect of specific shared-mobility services on car ownership reduction, but there is still a lack of analysis regarding the impact of shared-mobility, understood as new mobility concept. To fill this gap, a survey gathering 15,666 responses from residents in the Region of Madrid was conducted. A Multilevel Ordered Logit explored the individual and spatial dimensions of the potential of shared mobility to reduce car ownership. The results show that frequent car users and individuals owning more cars are less likely to believe they could give them up, but the adoption of moped-sharing or carsharing moderates this effect. For those who do not own a car, shared-mobility seems to be effective reducing their perceived need to own one in the future. Finally, the potential reduction of car ownership is more evident in dense urban areas, but a considerable spatial heterogeneity is observed throughout the metropolitan area.</w:t>
      </w:r>
    </w:p>
    <w:p>
      <w:pPr/>
      <w:r>
        <w:rPr>
          <w:b/>
        </w:rPr>
        <w:t>POSSIBLE 2022:</w:t>
      </w:r>
      <w:r>
        <w:t xml:space="preserve"> Models for analysing the dependencies between indicators for bioeconomy in the European Union — https://doi.org/10.1080/1331677x.2021.1997623</w:t>
      </w:r>
    </w:p>
    <w:p>
      <w:pPr/>
      <w:r>
        <w:rPr>
          <w:b/>
        </w:rPr>
        <w:t>Shared claim-specific concepts:</w:t>
      </w:r>
      <w:r>
        <w:t xml:space="preserve"> dependency, higher; EU scope visible. This is a provisional connection, not an outcome finding.</w:t>
      </w:r>
    </w:p>
    <w:p>
      <w:pPr>
        <w:pStyle w:val="SourceNote"/>
      </w:pPr>
      <w:r>
        <w:rPr>
          <w:b/>
        </w:rPr>
        <w:t>Available abstract (not full text):</w:t>
      </w:r>
      <w:r>
        <w:t xml:space="preserve"> In the past decade, bioeconomy has become a main field of interest, especially in terms of innovation, as it was often considered a potential solution to several global sustainability issues, such as environmental challenges. Through the conversion of biomass into value-added products for a full reintegration of used renewable biological resources, this sector has played a significant role in the efforts to transfer from petroleum-based economies to bio-based economies. The present article has the objective of developing panel regression models for determining the dependency between some of the main indicators of the bioeconomy development and sustainability for the European Union in the period 2008–2013. One main interesting finding of the study emphasised that higher gas emissions from agriculture are associated positively with higher turnover in the bioeconomy, implying the fact that the development of the bioeconomy is surprisingly not necessarily associated with sustainability. The relevance of the present study lies in the novelty of the subject, as bioeconomy was mainly researched in terms of theoretical knowledge, but less in terms of statistical analysis. Thus, the article offers a comprehensive research regarding the connection of the bioeconomy quantifying indicators and other selected economic influence factors of the European Union.</w:t>
      </w:r>
    </w:p>
    <w:p>
      <w:pPr/>
      <w:r>
        <w:rPr>
          <w:b/>
        </w:rPr>
        <w:t>POSSIBLE 2021:</w:t>
      </w:r>
      <w:r>
        <w:t xml:space="preserve"> How to reduce the degree of dependency on natural resources? — https://doi.org/10.1016/j.resourpol.2021.102047</w:t>
      </w:r>
    </w:p>
    <w:p>
      <w:pPr/>
      <w:r>
        <w:rPr>
          <w:b/>
        </w:rPr>
        <w:t>Shared claim-specific concepts:</w:t>
      </w:r>
      <w:r>
        <w:t xml:space="preserve"> dependency, reduced, degree; EU scope not established. This is a provisional connection, not an outcome finding.</w:t>
      </w:r>
    </w:p>
    <w:p>
      <w:pPr>
        <w:pStyle w:val="SourceNote"/>
      </w:pPr>
      <w:r>
        <w:rPr>
          <w:b/>
        </w:rPr>
        <w:t>Available abstract (not full text):</w:t>
      </w:r>
      <w:r>
        <w:t xml:space="preserve"> Many natural resources rich countries are characterized by natural resource dependency and lack of economic diversification. They experience lower economic growth due to excessive exploitation of natural resources, high resource price volatility, undermining the competitiveness of the non-natural resources sectors, and weak institutional quality. Economic diversification is viewed as a long-term solution to high economic dependency on natural resources. Although this diversification can take place in every sector of the economy, economic dependency on natural resources can be reduced through both private sector development and public sector reforms. This empirical research examines the factors that may affect a country's degree of dependency on natural resources. A dynamic flexible adjustment model is employed om an unbalanced panel data for 110 countries from 1990 to 2017, to estimate the relationship between private sector development, public sector reforms, taxation systems, and dependency on natural. The findings reveal that the degree of dependency on natural resource revenue will reduce with the development of the public sector including privatization and development of national taxation systems. Institutional quality and human development are crucial for reducing this dependency and the speed at which countries transition towards an optimal level of diversification.</w:t>
      </w:r>
    </w:p>
    <w:p>
      <w:pPr>
        <w:pStyle w:val="Heading2"/>
      </w:pPr>
      <w:r>
        <w:t>753.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2023:</w:t>
      </w:r>
      <w:r>
        <w:t xml:space="preserve"> Biological Deterioration and Natural Durability of Wood in Europe — https://doi.org/10.3390/f14020283</w:t>
      </w:r>
    </w:p>
    <w:p>
      <w:pPr/>
      <w:r>
        <w:rPr>
          <w:b/>
        </w:rPr>
        <w:t>Shared claim-specific concepts:</w:t>
      </w:r>
      <w:r>
        <w:t xml:space="preserve"> natural, climate, key, recent; EU scope visible. This is a provisional connection, not an outcome finding.</w:t>
      </w:r>
    </w:p>
    <w:p>
      <w:pPr>
        <w:pStyle w:val="SourceNote"/>
      </w:pPr>
      <w:r>
        <w:rPr>
          <w:b/>
        </w:rPr>
        <w:t>Available abstract (not full text):</w:t>
      </w:r>
      <w:r>
        <w:t xml:space="preserve"> In recent years, the use of wood has gained social interest, leading to a global increase in its demand. Yet, this demand is often covered by the production of woods of low natural durability against biological deterioration. The main biological agents with the potential to attack the structural integrity of wood are wood-decay fungi, saproxylic beetles, termites, and marine molluscs and crustaceans. In most circumstances, fungi are the main wood-deteriorating agents. To attack the cell wall, wood-decay fungi combine a complex enzymatic mechanism with non-enzymatic mechanisms based on low-molecular-weight compounds. In some cases, the larvae of saproxylic beetles can also digest cell wood components, causing serious deterioration to wooden structures. The impact of subterranean termites in Europe is concentrated in the Southern countries, causing important economic losses. However, alien invasive species of voracious subterranean termites are expanding their presence in Europe. Wooden elements in permanent contact with marine water can be readily deteriorated by mollusc and crustacean borers, for which current preservatives lack efficacy. The natural durability of wood is defined as the inherent resistance of wood to catastrophic action by wood-destroying organisms. Besides exposure to the climate, product design and use conditions, the natural durability of wood is key to the </w:t>
      </w:r>
    </w:p>
    <w:p>
      <w:pPr/>
      <w:r>
        <w:rPr>
          <w:b/>
        </w:rPr>
        <w:t>POSSIBLE 2023:</w:t>
      </w:r>
      <w:r>
        <w:t xml:space="preserve"> Costs and benefits of climate services for heat-health adaptation in Europe — https://doi.org/10.1093/eurpub/ckad160.371</w:t>
      </w:r>
    </w:p>
    <w:p>
      <w:pPr/>
      <w:r>
        <w:rPr>
          <w:b/>
        </w:rPr>
        <w:t>Shared claim-specific concepts:</w:t>
      </w:r>
      <w:r>
        <w:t xml:space="preserve"> knowledge, climate, information, adaptation, work;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Does climate change drive up government healthcare costs in the European Union? — https://doi.org/10.3389/fenvs.2023.1286099</w:t>
      </w:r>
    </w:p>
    <w:p>
      <w:pPr/>
      <w:r>
        <w:rPr>
          <w:b/>
        </w:rPr>
        <w:t>Shared claim-specific concepts:</w:t>
      </w:r>
      <w:r>
        <w:t xml:space="preserve"> climate, warming; EU scope visible. This is a provisional connection, not an outcome finding.</w:t>
      </w:r>
    </w:p>
    <w:p>
      <w:pPr>
        <w:pStyle w:val="SourceNote"/>
      </w:pPr>
      <w:r>
        <w:rPr>
          <w:b/>
        </w:rPr>
        <w:t>Available abstract (not full text):</w:t>
      </w:r>
      <w:r>
        <w:t xml:space="preserve"> The continuous growth in average temperature around the world, caused especially by CO2 emissions, generates climate changes significantly impacts not only economic or social domains, but also human health. The previous literature provides evidence of degradation of human health due to climate change and emphasizes pressure on governments to increase government spending on health. The aim of this study is to analyze the impact of climate change, expressed by temperature and CO2 emissions, on healthcare spending in the European Union member states using available data from 2000 to 2020. In addition to prior research, this paper incorporates supplementary control variables such as governance, macroeconomic factors (GDP and inflation) and human development index. To capture the dynamic impact of climate change on healthcare expenditure, we use the Generalized Method of Moments (GMM) technique and the panel VAR Granger causality method. Empirical findings suggest that an increase in temperature and CO2 emissions levels, along with improvements in governance, economic growth, inflation, and human development, contribute to higher healthcare expenditures. Rising temperature and CO2 emissions are directly increasing the health burden on individuals’ health and force governments to enhance health spending. The paper is notable for its comprehensive approach, filling a significant gap i</w:t>
      </w:r>
    </w:p>
    <w:p>
      <w:pPr/>
      <w:r>
        <w:rPr>
          <w:b/>
        </w:rPr>
        <w:t>POSSIBLE 2022:</w:t>
      </w:r>
      <w:r>
        <w:t xml:space="preserve"> Global economic costs and knowledge gaps of invasive gastropods — https://doi.org/10.1016/j.ecolind.2022.109614</w:t>
      </w:r>
    </w:p>
    <w:p>
      <w:pPr/>
      <w:r>
        <w:rPr>
          <w:b/>
        </w:rPr>
        <w:t>Shared claim-specific concepts:</w:t>
      </w:r>
      <w:r>
        <w:t xml:space="preserve"> knowledge, information; EU scope visible. This is a provisional connection, not an outcome finding.</w:t>
      </w:r>
    </w:p>
    <w:p>
      <w:pPr>
        <w:pStyle w:val="SourceNote"/>
      </w:pPr>
      <w:r>
        <w:rPr>
          <w:b/>
        </w:rPr>
        <w:t>Available abstract (not full text):</w:t>
      </w:r>
      <w:r>
        <w:t xml:space="preserve"> Invasive alien gastropods are a particularly pervasive taxonomic group worldwide, often causing substantial impacts on aquatic and terrestrial ecosystems. Yet, much remains unknown about this invasive group’s economic costs to human society. Here, we used the InvaCost database to evaluate the taxonomic, spatial, and temporal patterns of economic costs associated with invasive gastropods on the global scale. In total, 13 species of invasive gastropods caused a cumulative global cost of US$ 3.94 billion over the period 1966–2020, with a majority being attributed to aquatic species ($ 3.72 billion, 94.4 %, concentrated mostly in Asia) and only $ 0.22 billion (5.6 %, concentrated mostly in Europe) to terrestrial species. Among different regions, Asia (3.71 billion) reported the greatest costs, compared to far lower costs reported in Europe (214.50 million), North America (13.80 million), Oceania (2.69 million), South America (&lt;1 million) and Africa (&lt;1 million). The vast majority (94.2 %) of these costs were due to the family Ampullariidae and the genus Pomacea (apple snails) which were largely reported in Asia. Furthermore, 88.4 % of total gastropod-related costs resulted from direct resource damages and losses, being one order of magnitude higher than management related costs (9.0 %). A majority (81.5 %) of total gastropod costs was incurred by agriculture, and relatively little </w:t>
      </w:r>
    </w:p>
    <w:p>
      <w:pPr/>
      <w:r>
        <w:rPr>
          <w:b/>
        </w:rPr>
        <w:t>POSSIBLE 2022:</w:t>
      </w:r>
      <w:r>
        <w:t xml:space="preserve"> Closing the loop on plastics in Europe: The role of data, information and knowledge — https://doi.org/10.1016/j.spc.2022.08.019</w:t>
      </w:r>
    </w:p>
    <w:p>
      <w:pPr/>
      <w:r>
        <w:rPr>
          <w:b/>
        </w:rPr>
        <w:t>Shared claim-specific concepts:</w:t>
      </w:r>
      <w:r>
        <w:t xml:space="preserve"> knowledge, key, information, policies, work, recent; EU scope visible. This is a provisional connection, not an outcome finding.</w:t>
      </w:r>
    </w:p>
    <w:p>
      <w:pPr>
        <w:pStyle w:val="SourceNote"/>
      </w:pPr>
      <w:r>
        <w:rPr>
          <w:b/>
        </w:rPr>
        <w:t>Available abstract (not full text):</w:t>
      </w:r>
      <w:r>
        <w:t xml:space="preserve"> Concerns over plastic waste and support for a plastic circular economy have been growing in recent years. Specific needs to promote re-circulation of plastics in terms of data, information and knowledge are poorly understood. Based on the multi-level perspective on socio-technical transitions and semi-structured interviews with key stakeholders, this paper aims to understand how information and knowledge issues may inhibit or foster the development of secondary plastics markets in Europe. Results highlight that key barriers associated with data-information-knowledge map across, and interact with, policies and standards, market and technology, socio-cultural norms, networks and business models. The packaging sector has drawn more policy attention, and institutions to support information sharing such as labelling and certification are more mature. The automotive and EEE sectors have illustrated knowledge diffusion through supply chain collaboration, while the construction sector appears to have slower practical progress on industry-level knowledge diffusion. This paper contributes to the multi-level perspective on transition studies by focusing the empirical work on a new area of plastic circular economy. The cases playing out across the whole value chain and four different application areas provide insights that are potentially more widely applicable to the circular economy tran</w:t>
      </w:r>
    </w:p>
    <w:p>
      <w:pPr/>
      <w:r>
        <w:rPr>
          <w:b/>
        </w:rPr>
        <w:t>POSSIBLE 2022:</w:t>
      </w:r>
      <w:r>
        <w:t xml:space="preserve"> Global economic costs of mammal invasions — https://doi.org/10.1016/j.scitotenv.2022.159479</w:t>
      </w:r>
    </w:p>
    <w:p>
      <w:pPr/>
      <w:r>
        <w:rPr>
          <w:b/>
        </w:rPr>
        <w:t>Shared claim-specific concepts:</w:t>
      </w:r>
      <w:r>
        <w:t xml:space="preserve"> knowledge, natural; EU scope visible. This is a provisional connection, not an outcome finding.</w:t>
      </w:r>
    </w:p>
    <w:p>
      <w:pPr>
        <w:pStyle w:val="SourceNote"/>
      </w:pPr>
      <w:r>
        <w:rPr>
          <w:b/>
        </w:rPr>
        <w:t>Available abstract (not full text):</w:t>
      </w:r>
      <w:r>
        <w:t xml:space="preserve"> Invasive alien mammals cause huge adverse ecological impact on human society and natural ecosystems. Although studies have estimated economic costs of mammal invasions at regional scales, there is lacking the large-scale comprehensive assessment of currency costs for this taxon. Here, we estimated the economic cost of invasive alien mammals on a global scale using the most comprehensive global database compiling economic costs of invasive species (InvaCost). From 1960 to 2021, mammal invasions caused costs (summing damage costs and management costs) of US$ 462.49 billion to the global economy, while the total amount of robust costs reached US$ 52.49 billion. The majority of the total economic costs corresponded to damage costs (90.27 %), while only 7.43 % were related to management cost. Economic costs showed an increasing trend over time. The distribution of costs was uneven among taxonomic groups and regions, with the global total cost highly biasing toward to 5 species (European rabbit, Domestic cat, Black rat, Wild boar and Coypu), and North America reporting much higher costs (60.78 % of total economic costs) than other regions. The total costs were borne by agriculture, environment, authorities stakeholders and other sectors. Geographic and taxonomic biases suggested that total economic costs caused by invasive alien mammals were underestimated. Integrated research effort</w:t>
      </w:r>
    </w:p>
    <w:p>
      <w:pPr/>
      <w:r>
        <w:rPr>
          <w:b/>
        </w:rPr>
        <w:t>POSSIBLE 2022:</w:t>
      </w:r>
      <w:r>
        <w:t xml:space="preserve"> Psychology of Climate Change — https://doi.org/10.1146/annurev-psych-032720-042905</w:t>
      </w:r>
    </w:p>
    <w:p>
      <w:pPr/>
      <w:r>
        <w:rPr>
          <w:b/>
        </w:rPr>
        <w:t>Shared claim-specific concepts:</w:t>
      </w:r>
      <w:r>
        <w:t xml:space="preserve"> climate, key; EU scope not established. This is a provisional connection, not an outcome finding.</w:t>
      </w:r>
    </w:p>
    <w:p>
      <w:pPr>
        <w:pStyle w:val="SourceNote"/>
      </w:pPr>
      <w:r>
        <w:rPr>
          <w:b/>
        </w:rPr>
        <w:t>Available abstract (not full text):</w:t>
      </w:r>
      <w:r>
        <w:t xml:space="preserve"> Human behavior plays a critical role in causing global climate change as well as in responding to it. In this article, I review important insights on the psychology of climate change. I first discuss factors that affect the likelihood that individuals engage in a wide range of climate actions. Next, I review the processes through which values affect climate actions and reflect on how to motivate climate actions among people who do not strongly care about nature, the environment, and climate change. Then I explain that even people who may be motivated to engage in climate actions may not do so when they face major barriers to act. This implies that to promote wide-scale climate actions, broader system changes are needed. I discuss relevant factors that affect public support for system changes that facilitate and enable climate action. Finally, I summarize key lessons learned and identify important questions for future research.</w:t>
      </w:r>
    </w:p>
    <w:p>
      <w:pPr/>
      <w:r>
        <w:rPr>
          <w:b/>
        </w:rPr>
        <w:t>POSSIBLE 2022:</w:t>
      </w:r>
      <w:r>
        <w:t xml:space="preserve"> Forest-based climate change mitigation and adaptation in Europe — https://doi.org/10.36333/fs14</w:t>
      </w:r>
    </w:p>
    <w:p>
      <w:pPr/>
      <w:r>
        <w:rPr>
          <w:b/>
        </w:rPr>
        <w:t>Shared claim-specific concepts:</w:t>
      </w:r>
      <w:r>
        <w:t xml:space="preserve"> natural, climate, adaptation, mitigation, case;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natural, climate, adaptation, mitigation, policies;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pStyle w:val="Heading2"/>
      </w:pPr>
      <w:r>
        <w:t>754.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qualitative;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2021:</w:t>
      </w:r>
      <w:r>
        <w:t xml:space="preserve"> Logo as a Tool of European Union Countries’ Destination Branding — https://doi.org/10.4467/23540214zm.21.033.14576</w:t>
      </w:r>
    </w:p>
    <w:p>
      <w:pPr/>
      <w:r>
        <w:rPr>
          <w:b/>
        </w:rPr>
        <w:t>Shared claim-specific concepts:</w:t>
      </w:r>
      <w:r>
        <w:t xml:space="preserve"> tool, method; EU scope visible. This is a provisional connection, not an outcome finding.</w:t>
      </w:r>
    </w:p>
    <w:p>
      <w:pPr>
        <w:pStyle w:val="SourceNote"/>
      </w:pPr>
      <w:r>
        <w:rPr>
          <w:b/>
        </w:rPr>
        <w:t>Available abstract (not full text):</w:t>
      </w:r>
      <w:r>
        <w:t xml:space="preserve"> Developing a coherent and comprehensive brand of a country is of vital importance for a destination in the contemporary global world. There seems to be a recognizable gap in the literature regarding the application of visual signs practiced in country branding. The subject of the study: The research identifies the logos of the European Union countries used in place branding. The purpose of the study is the exploration of the logo content from the senders’ perspective, i.e., the structures and organizations responsible for the country branding. There are many reasons why logos are used in place branding practice. The authors decided to focus on the logo as a form of controlled and projected message communicated via media and ICT. Cognitive gap: The research conducted so far has focused on the reception of logos by the recipients. The presented research attempts to examine the visual message contained in logos from the senders’ perspective. Research methods and data collection techniques: The content analysis method was used to study the visual identity of the countries. The authors collected logos and scrutinised them using Beyrow and Vogt as well as Mollerup’s taxonomy. The results of the study illustrate how governmental institutions, which are responsible for country branding, portray countries using visual identity on the Internet, social media, and their own media.</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increase, present, set;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2020:</w:t>
      </w:r>
      <w:r>
        <w:t xml:space="preserve"> Professional Wargaming: A Flawed but Useful Tool — https://doi.org/10.1177/1046878120901852</w:t>
      </w:r>
    </w:p>
    <w:p>
      <w:pPr/>
      <w:r>
        <w:rPr>
          <w:b/>
        </w:rPr>
        <w:t>Shared claim-specific concepts:</w:t>
      </w:r>
      <w:r>
        <w:t xml:space="preserve"> useful, tool, planning, set, develop; EU scope not established. This is a provisional connection, not an outcome finding.</w:t>
      </w:r>
    </w:p>
    <w:p>
      <w:pPr>
        <w:pStyle w:val="SourceNote"/>
      </w:pPr>
      <w:r>
        <w:rPr>
          <w:b/>
        </w:rPr>
        <w:t>Available abstract (not full text):</w:t>
      </w:r>
      <w:r>
        <w:t xml:space="preserve"> Rationale for the Article. Professional wargames have long been an integral part of the tool set used by the military. The literature includes many examples of wargames that have been successful in terms of training, military education, procurement, operational analysis and planning for war. However, retrospective examination demonstrates that many of these professional wargames also had major errors in them and by implication current games about future confrontations are similarly flawed. Nevertheless, the academic evidence is clear that such games are still invaluable tools. Methodology. Ten years of research into the development of wargames undertaken by the History of Wargaming Project has analysed and made generally available more professional wargames than ever before. Retrospective examination of a sample of these declassified games, from the British War Office Rules (1896) to more recent games about the Ukraine, shows significant errors. Value. Demonstrating that professional games had errors in the past opens challenges the overconfidence in the predictive capacity of games. It also raises the possibility for future research to identify game design bias and to develop better games in the future. Understanding the value of better games, even with their inherent issues, raise the possibility of better preparing decision makers for the future. Notes. The words wargame and</w:t>
      </w:r>
    </w:p>
    <w:p>
      <w:pPr/>
      <w:r>
        <w:rPr>
          <w:b/>
        </w:rPr>
        <w:t>POSSIBLE 2019:</w:t>
      </w:r>
      <w:r>
        <w:t xml:space="preserve"> Market survey recently recognised as a persuasive tool to solve trademark disputes in China — https://doi.org/10.4324/9780429316395-6</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This chapter focuses on the decision concerning the trademark of the Chinese characters of the transliteration of Jordan, and especially the facts and legal issues surrounding market survey. China’s Trademark Law provides for the “prior right doctrine” as one of the grounds to refuse to grant trademark registration. In some jurisdictions, such as the United States and European Union, market surveys have been recognised as useful tools to deal with trademark disputes. Market surveys have been used to measure the major issues in trademark law: likelihood of confusion, generic terms, secondary meaning, deception, fame, and likelihood of dilution. The rights and interests stipulated under the laws shall be enjoyed by entities and protected against later trademark registration that might undermine those rights and interests. China’s Trademark Law provides that an application for trademark registration shall not infringe the prior right of another person.</w:t>
      </w:r>
    </w:p>
    <w:p>
      <w:pPr>
        <w:pStyle w:val="Heading2"/>
      </w:pPr>
      <w:r>
        <w:t>755.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r>
        <w:rPr>
          <w:b/>
        </w:rPr>
        <w:t>POSSIBLE 2023:</w:t>
      </w:r>
      <w:r>
        <w:t xml:space="preserve"> A Multivariate Meta-Analysis of the Effects of Business-as-Usual Special Education Services in U.S. Schools — https://doi.org/10.31234/osf.io/fs3zg</w:t>
      </w:r>
    </w:p>
    <w:p>
      <w:pPr/>
      <w:r>
        <w:rPr>
          <w:b/>
        </w:rPr>
        <w:t>Shared claim-specific concepts:</w:t>
      </w:r>
      <w:r>
        <w:t xml:space="preserve"> business-as-usual, bau, million; EU scope not established. This is a provisional connection, not an outcome finding.</w:t>
      </w:r>
    </w:p>
    <w:p>
      <w:pPr>
        <w:pStyle w:val="SourceNote"/>
      </w:pPr>
      <w:r>
        <w:rPr>
          <w:b/>
        </w:rPr>
        <w:t>Available abstract (not full text):</w:t>
      </w:r>
      <w:r>
        <w:t xml:space="preserve"> Special education services provided in U.S. schools should be designed to enable students with disabilities (SWD) to make “appropriately ambitious” educational progress (Endrew F., 2017). Yet the field lacks consensus on whether business-as-usual (BAU) special education services effectively support outcomes for SWD. We conducted a moderated multilevel multivariate meta-analysis of 40 studies and 1,721 effect sizes from more than 14 million participants to evaluate the effectiveness of BAU special education services. Effects ranged from null-to-positive (z = -0.07 to 0.12) for achievement and negative-to-null (z = -0.13 to -0.01) for behavior. We observed positive outcomes for educational attainment including graduation outcomes (z = 0.12 to 0.24) and postsecondary outcomes (z = 0.10 to 0.23), as well as for other outcomes (z = 0.21 to 0.38). Studies that used a more rigorous research design or comparison condition reported more positive effects across outcomes. Additional casual work is needed in this field.</w:t>
      </w:r>
    </w:p>
    <w:p>
      <w:pPr/>
      <w:r>
        <w:rPr>
          <w:b/>
        </w:rPr>
        <w:t>POSSIBLE 2023:</w:t>
      </w:r>
      <w:r>
        <w:t xml:space="preserve"> Effects of Circularity Interventions in the European Plastic Packaging Sector — https://doi.org/10.1021/acs.est.2c08202</w:t>
      </w:r>
    </w:p>
    <w:p>
      <w:pPr/>
      <w:r>
        <w:rPr>
          <w:b/>
        </w:rPr>
        <w:t>Shared claim-specific concepts:</w:t>
      </w:r>
      <w:r>
        <w:t xml:space="preserve"> business-as-usual, compared, levels;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2022:</w:t>
      </w:r>
      <w:r>
        <w:t xml:space="preserve"> The joint impact of the European Union emissions trading system on carbon emissions and economic performance — https://doi.org/10.1016/j.jeem.2022.102758</w:t>
      </w:r>
    </w:p>
    <w:p>
      <w:pPr/>
      <w:r>
        <w:rPr>
          <w:b/>
        </w:rPr>
        <w:t>Shared claim-specific concepts:</w:t>
      </w:r>
      <w:r>
        <w:t xml:space="preserve"> union, increase; EU scope visible. This is a provisional connection, not an outcome finding.</w:t>
      </w:r>
    </w:p>
    <w:p>
      <w:pPr>
        <w:pStyle w:val="SourceNote"/>
      </w:pPr>
      <w:r>
        <w:rPr>
          <w:b/>
        </w:rPr>
        <w:t>Available abstract (not full text):</w:t>
      </w:r>
      <w:r>
        <w:t xml:space="preserve"> This paper investigates the impact of the European Union Emissions Trading System (EU ETS) on carbon emissions and economic performance based on a matching methodology exploiting installation-level inclusion criteria combined with difference-in-differences. Installation-level data from national Polluting Emissions Registries in France, Netherlands, Norway and the United Kingdom point to a reduction in carbon emissions in the order of −10% between 2005 and 2012, in line with existing micro and macro evidence. Meanwhile, firm-level data on the 31 ETS-regulated countries shows that the EU ETS had no significant impact on profits and employment, and led to an increase in regulated firms' revenues and fixed assets. We explore various explanations for these findings.</w:t>
      </w:r>
    </w:p>
    <w:p>
      <w:pPr/>
      <w:r>
        <w:rPr>
          <w:b/>
        </w:rPr>
        <w:t>POSSIBLE 2022:</w:t>
      </w:r>
      <w:r>
        <w:t xml:space="preserve"> Comparison of European Union and Korean Applications of the Best Available Technology (BAT) Concept to Environmental Policy Areas in Consideration of BAT Baseline Methodology in the Carbon Market — https://doi.org/10.15531/ksccr.2022.13.1.047</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Article 6.4 of the Paris Agreement introduces a baseline-and-crediting mechanism, the so-called sustainable development mechanism (SDM), which allows parties to meet their nationally determined contributions (NDCs). Currently, various options for baseline methodologies are being considered and negotiated as a part of the implementation rules of Article 6.4 of the Paris Agreement for greenhouse gas emission reduction projects. The best available technology (BAT) baseline methodology has been increasingly emphasized as an alternative to historical emission, business-as-usual (BAU), and performance-based baseline methodologies. However, the application of the BAT baseline methodology in the international carbon market remains under-explored. Also, the rise of the BAT baseline methodology had attracted attention to the concept of BAT in environmental policies and practices. Therefore, this paper attempts to examine the meaning of the BAT concept and BAT application in related environmental policies to ultimately explore strategic ways that the BAT baseline methodology can be used under the SDM in an integrated manner amongst related policy fields. First, this paper sets three policy areas where the concepts of BAT are applied, and they are the i) integrated pollution and prevention control policy, ii) cap-and-trade policy in the carbon market, and iii) baseline-and-crediting mechan</w:t>
      </w:r>
    </w:p>
    <w:p>
      <w:pPr/>
      <w:r>
        <w:rPr>
          <w:b/>
        </w:rPr>
        <w:t>POSSIBLE 2022:</w:t>
      </w:r>
      <w:r>
        <w:t xml:space="preserve"> Ecosystem-based fisheries management increases catch and carbon sequestration through recovery of exploited stocks: The western Baltic Sea case study — https://doi.org/10.3389/fmars.2022.879998</w:t>
      </w:r>
    </w:p>
    <w:p>
      <w:pPr/>
      <w:r>
        <w:rPr>
          <w:b/>
        </w:rPr>
        <w:t>Shared claim-specific concepts:</w:t>
      </w:r>
      <w:r>
        <w:t xml:space="preserve"> bau, compared, increases; EU scope visible. This is a provisional connection, not an outcome finding.</w:t>
      </w:r>
    </w:p>
    <w:p>
      <w:pPr>
        <w:pStyle w:val="SourceNote"/>
      </w:pPr>
      <w:r>
        <w:rPr>
          <w:b/>
        </w:rPr>
        <w:t>Available abstract (not full text):</w:t>
      </w:r>
      <w:r>
        <w:t xml:space="preserve"> Legal requirement in Europe asks for Ecosystem-Based Fisheries Management (EBFM) in European seas, including consideration of trophic interactions and minimization of negative impacts of fishing on food webs and ecosystem functioning. This study presents the first mass-balanced ecosystem model focused on the western Baltic Sea (WBS). Results show that heavy fishing pressure exerted on the WBS has forced top predators such as harbour porpoise and cod to cover their dietary needs by shifting from forage fish to other prey or find food outside of the model area. The model was then developed to explore the dynamics of four future fishery scenarios: (1) business as usual (BAU), (2) maximum sustainable fishing (F = F MSY ), (3) half of F MSY , and (4) EBFM with F = 0.5 F MSY for forage fish and F = 0.8 F MSY for other fish. Simulations show that BAU would perpetuate low catches from depleted stocks with a high risk of extinction for harbour porpoise. In contrast, the EBFM scenario would allow the recovery of harbour porpoise, forage fish and cod with increases in catch of herring and cod. EBFM promotes ecosystem resilience to eutrophication and ocean warming, and through the rebuilding of commercial stocks increases by more than three times carbon sequestration compared to BAU. The model provides an interrelated assessment of trophic guilds in the WBS, as required by European law to </w:t>
      </w:r>
    </w:p>
    <w:p>
      <w:pPr/>
      <w:r>
        <w:rPr>
          <w:b/>
        </w:rPr>
        <w:t>POSSIBLE 2022:</w:t>
      </w:r>
      <w:r>
        <w:t xml:space="preserve"> European primary emissions of criteria pollutants and greenhouse gases in 2020 modulated by the COVID-19 pandemic disruptions — https://doi.org/10.5194/essd-14-2521-2022</w:t>
      </w:r>
    </w:p>
    <w:p>
      <w:pPr/>
      <w:r>
        <w:rPr>
          <w:b/>
        </w:rPr>
        <w:t>Shared claim-specific concepts:</w:t>
      </w:r>
      <w:r>
        <w:t xml:space="preserve"> business-as-usual, bau, average; EU scope visible. This is a provisional connection, not an outcome finding.</w:t>
      </w:r>
    </w:p>
    <w:p>
      <w:pPr>
        <w:pStyle w:val="SourceNote"/>
      </w:pPr>
      <w:r>
        <w:rPr>
          <w:b/>
        </w:rPr>
        <w:t>Available abstract (not full text):</w:t>
      </w:r>
      <w:r>
        <w:t xml:space="preserve"> Abstract. We present a European dataset of daily-, sector-, pollutant- and country-dependent emission adjustment factors associated to the COVID-19 mobility restrictions for the year 2020. The resulting dataset covers a total of nine emission sectors, including road transport, energy industry, manufacturing industry, residential and commercial combustion, aviation, shipping, off-road transport, use of solvents, and fugitive emissions from transportation and distribution of fossil fuels. The dataset was produced to be combined with the Copernicus CAMS-REG_v5.1 2020 business-as-usual (BAU) inventory, which provides high resolution (0.1 × 0.05 deg.) emission estimates for 2020 omitting the impact of the COVID-19 restrictions. The combination of both datasets allows quantifying spatially- and temporally-resolved reductions in primary emissions from both criteria pollutants (NOx, SO2, NMVOC, NH3, CO, PM10 and PM2.5) and greenhouse gases (CO2 fossil fuel, CO2 biofuel and CH4), as well as assessing the contribution of each emission sector and European country to the overall emission changes. Estimated overall emission changes in 2020 relative to BAU emissions were as follows: −10.5 % for NOx (−602 kt), −7.8 % (−260.2 Mt) for CO2 from fossil fuels, −4.7 % (−808.5 kt) for CO, −4.6 % (−80 kt) for SO2, −3.3 % (−19.1 Mt) for CO2 from biofuels, −3.0 % (−56.3 kt) for PM10, −2.5 % (−173.3 kt)</w:t>
      </w:r>
    </w:p>
    <w:p>
      <w:pPr/>
      <w:r>
        <w:rPr>
          <w:b/>
        </w:rPr>
        <w:t>POSSIBLE 2022:</w:t>
      </w:r>
      <w:r>
        <w:t xml:space="preserve"> A high-resolution dynamic probabilistic material flow analysis of seven plastic polymers; A case study of Norway — https://doi.org/10.1016/j.envint.2022.107693</w:t>
      </w:r>
    </w:p>
    <w:p>
      <w:pPr/>
      <w:r>
        <w:rPr>
          <w:b/>
        </w:rPr>
        <w:t>Shared claim-specific concepts:</w:t>
      </w:r>
      <w:r>
        <w:t xml:space="preserve"> business-as-usual, increase, seven; EU scope visible. This is a provisional connection, not an outcome finding.</w:t>
      </w:r>
    </w:p>
    <w:p>
      <w:pPr>
        <w:pStyle w:val="SourceNote"/>
      </w:pPr>
      <w:r>
        <w:rPr>
          <w:b/>
        </w:rPr>
        <w:t>Available abstract (not full text):</w:t>
      </w:r>
      <w:r>
        <w:t xml:space="preserve"> Plastic pollution has long been identified as one of the biggest challenges of the 21st century. To tackle this problem, governments are setting stringent recycling targets to keep plastics in a closed loop. Yet, knowledge of the stocks and flows of plastic has not been well integrated into policies. This study presents a dynamic probabilistic economy-wide material flow analysis (MFA) of seven plastic polymers (HDPE, LDPE, PP, PS, PVC, EPS, and PET) in Norway from 2000 to 2050. A total of 40 individual product categories aggregated into nine industrial sectors were examined. An estimated 620 ± 23 kt or 114 kg/capita of these seven plastic polymers was put on the Norwegian market in 2020. Packaging products contributed to the largest share of plastic put on the market (∼40%). The accumulated in-use stock in 2020 was about 3400 ± 56 kt with ∼60% remaining in buildings and construction sector. In 2020, about 460 ± 22 kt of plastic waste was generated in Norway, with half originating from packaging. Although ∼50% of all plastic waste is collected separately from the waste stream, only around 25% is sorted for recycling. Overall, ∼50% of plastic waste is incinerated, ∼15% exported, and ∼10% landfilled. Under a business-as-usual scenario, the plastic put on the market, in-use stock, and waste generation will increase by 65%, 140%, and 90%, respectively by 2050. The outcomes of this w</w:t>
      </w:r>
    </w:p>
    <w:p>
      <w:pPr>
        <w:pStyle w:val="Heading2"/>
      </w:pPr>
      <w:r>
        <w:t>756.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2024:</w:t>
      </w:r>
      <w:r>
        <w:t xml:space="preserve"> Four influential recent Canadian Medical Education Journal articles presented at the International Congress for Medical Education — https://doi.org/10.36834/cmej.79278</w:t>
      </w:r>
    </w:p>
    <w:p>
      <w:pPr/>
      <w:r>
        <w:rPr>
          <w:b/>
        </w:rPr>
        <w:t>Shared claim-specific concepts:</w:t>
      </w:r>
      <w:r>
        <w:t xml:space="preserve"> article, presented, four, education; EU scope not established. This is a provisional connection, not an outcome finding.</w:t>
      </w:r>
    </w:p>
    <w:p>
      <w:pPr>
        <w:pStyle w:val="SourceNote"/>
      </w:pPr>
      <w:r>
        <w:rPr>
          <w:b/>
        </w:rPr>
        <w:t>Available abstract (not full text):</w:t>
      </w:r>
      <w:r>
        <w:t xml:space="preserve"> Four influential recent Canadian Medical Education Journal articles presented at the International Congress for Medical Education. An article from journal Canadian Medical Education Journal / Revue canadienne de l'éducation médicale (Volume 15, Number 2, 2024, pp. 1-115), on Érudit.</w:t>
      </w:r>
    </w:p>
    <w:p>
      <w:pPr/>
      <w:r>
        <w:rPr>
          <w:b/>
        </w:rPr>
        <w:t>POSSIBLE 2024:</w:t>
      </w:r>
      <w:r>
        <w:t xml:space="preserve"> Occasionalism in the general system of the language — https://doi.org/10.46727/c.v3.21-22-03-2024.p53-58</w:t>
      </w:r>
    </w:p>
    <w:p>
      <w:pPr/>
      <w:r>
        <w:rPr>
          <w:b/>
        </w:rPr>
        <w:t>Shared claim-specific concepts:</w:t>
      </w:r>
      <w:r>
        <w:t xml:space="preserve"> article, presented, system, general, content, main; EU scope not established. This is a provisional connection, not an outcome finding.</w:t>
      </w:r>
    </w:p>
    <w:p>
      <w:pPr>
        <w:pStyle w:val="SourceNote"/>
      </w:pPr>
      <w:r>
        <w:rPr>
          <w:b/>
        </w:rPr>
        <w:t>Available abstract (not full text):</w:t>
      </w:r>
      <w:r>
        <w:t xml:space="preserve"> This article deals occasionalisms as creative elements in the general system of the language and points out the main process of their formation by derivation with suffixes. Occasionalisms are not derogatory words that jeopardize communication, but new words that demonstrate the language's ability to create new lexemes. The process of forming these new words, created by speakers, is not new and refers to most languages being determined by the linguistic system, demonstrates and develops semantic lexeme creation and grammatical capabilities of the system, coming with its development tendencies. These occasional units are aimed at restoring the connection between the semantic, cognitive and content elements that are the basis of the integrity of the text, outlining the involvement of certain subjects in some events, delimiting the periods of manifestation of some political formations or presenting the consequences of some processes that the society went through. Being presented as a reflection of lived events, the article highlights the meaning and role of occasional units in journalistic and artistic texts, their application in various contexts and at different stages of the lesson.</w:t>
      </w:r>
    </w:p>
    <w:p>
      <w:pPr/>
      <w:r>
        <w:rPr>
          <w:b/>
        </w:rPr>
        <w:t>POSSIBLE 2024:</w:t>
      </w:r>
      <w:r>
        <w:t xml:space="preserve"> Masonry systems: Past, present and future — https://doi.org/10.1051/matecconf/202440301003</w:t>
      </w:r>
    </w:p>
    <w:p>
      <w:pPr/>
      <w:r>
        <w:rPr>
          <w:b/>
        </w:rPr>
        <w:t>Shared claim-specific concepts:</w:t>
      </w:r>
      <w:r>
        <w:t xml:space="preserve"> article, presented, general; EU scope visible. This is a provisional connection, not an outcome finding.</w:t>
      </w:r>
    </w:p>
    <w:p>
      <w:pPr>
        <w:pStyle w:val="SourceNote"/>
      </w:pPr>
      <w:r>
        <w:rPr>
          <w:b/>
        </w:rPr>
        <w:t>Available abstract (not full text):</w:t>
      </w:r>
      <w:r>
        <w:t xml:space="preserve"> The article presents construction systems and material solutions used in masonry construction, both in European countries and in a broader geographical context covering other continents. Due to the very wide scope of this problem, is presented in necessity in an abbreviated form, the general directions of development and changes in the systems of masonry structures in historical terms, depending on the climatic conditions prevailing in given areas and the development of societies and the level of their economy. Referring to the current state, i.e. the end of the 20th and the beginning of the 21st century, the material and construction solutions most frequently used in various countries with variable climatic requirements and various dominant loads, including seismic ones, were presented. An attempt was also made, to the extent possible, to outline future directions of changes and development of masonry construction in the coming decades, taking into account the principles of the circular economy and sustainable development, as well as reduction of CO2 emissions and maximum use of natural (bio-based materials) and recycled raw materials.</w:t>
      </w:r>
    </w:p>
    <w:p>
      <w:pPr/>
      <w:r>
        <w:rPr>
          <w:b/>
        </w:rPr>
        <w:t>POSSIBLE 2023:</w:t>
      </w:r>
      <w:r>
        <w:t xml:space="preserve"> PAST AND PRESENT PERIOD OF PRESCHOOL EDUCATION SYSTEM — https://openalex.org/W7215196589</w:t>
      </w:r>
    </w:p>
    <w:p>
      <w:pPr/>
      <w:r>
        <w:rPr>
          <w:b/>
        </w:rPr>
        <w:t>Shared claim-specific concepts:</w:t>
      </w:r>
      <w:r>
        <w:t xml:space="preserve"> article, system, general, education, first, second; EU scope not established. This is a provisional connection, not an outcome finding.</w:t>
      </w:r>
    </w:p>
    <w:p>
      <w:pPr>
        <w:pStyle w:val="SourceNote"/>
      </w:pPr>
      <w:r>
        <w:rPr>
          <w:b/>
        </w:rPr>
        <w:t>Available abstract (not full text):</w:t>
      </w:r>
      <w:r>
        <w:t xml:space="preserve"> In this article, the third paragraph entitled "Past and Present of the Preschool Education System" provides general information about the topics discussed throughout the article. First, it illuminates the historical background of preschool education, explaining how it emerged in response to a changing social and economic landscape. Second, various approaches and theories that shaped the development of preschool education, such as Montessori, Froebel, and Reggio Emilia, are discussed.</w:t>
      </w:r>
    </w:p>
    <w:p>
      <w:pPr/>
      <w:r>
        <w:rPr>
          <w:b/>
        </w:rPr>
        <w:t>POSSIBLE 2023:</w:t>
      </w:r>
      <w:r>
        <w:t xml:space="preserve"> GENERAL PRINCIPLES OF LAW FORMED WITHIN THE INTERNATIONAL LEGAL SYSTEM — https://doi.org/10.1017/s0020589323000362</w:t>
      </w:r>
    </w:p>
    <w:p>
      <w:pPr/>
      <w:r>
        <w:rPr>
          <w:b/>
        </w:rPr>
        <w:t>Shared claim-specific concepts:</w:t>
      </w:r>
      <w:r>
        <w:t xml:space="preserve"> article, system, general, first; EU scope not established. This is a provisional connection, not an outcome finding.</w:t>
      </w:r>
    </w:p>
    <w:p>
      <w:pPr>
        <w:pStyle w:val="SourceNote"/>
      </w:pPr>
      <w:r>
        <w:rPr>
          <w:b/>
        </w:rPr>
        <w:t>Available abstract (not full text):</w:t>
      </w:r>
      <w:r>
        <w:t xml:space="preserve"> Abstract In the work of the International Law Commission (ILC) on ‘the general principles of law’ in Article 38(1)(c) of the Statute of the International Court of Justice, one question has given rise to an inordinate amount of controversy: does this category of principles include principles formed within the international legal system or does it embrace only principles derived from national legal systems? In the draft conclusions adopted on first reading in 2023, the ILC accepts the existence of general principles of law formed within the international legal system, but only in a very narrow manner. Prominent commentators have argued that such a narrow approach is correct. It has been contended, furthermore, that the category of general principles of law formed within the international legal system is an innovation of the ILC's, and one that lacks any real support in State practice. These views are based on assumptions to the effect that the traditional view concerning the meaning of Article 38(1)(c) was that it referred only to general principles of law derived from national legal systems. The present article takes issue with these assumptions. It seeks to prove, by an analysis of the position in 1920 when the Statute was drafted, of the practice of States, both before and after 1920, and the writings of leading commentators, that general principles of law formed within the in</w:t>
      </w:r>
    </w:p>
    <w:p>
      <w:pPr/>
      <w:r>
        <w:rPr>
          <w:b/>
        </w:rPr>
        <w:t>POSSIBLE 2022:</w:t>
      </w:r>
      <w:r>
        <w:t xml:space="preserve"> Dynamic Quantized Consensus of General Linear Multiagent Systems Under Denial-of-Service Attacks — https://doi.org/10.1109/tcns.2022.3140684</w:t>
      </w:r>
    </w:p>
    <w:p>
      <w:pPr/>
      <w:r>
        <w:rPr>
          <w:b/>
        </w:rPr>
        <w:t>Shared claim-specific concepts:</w:t>
      </w:r>
      <w:r>
        <w:t xml:space="preserve"> article, general, first, main; EU scope not established. This is a provisional connection, not an outcome finding.</w:t>
      </w:r>
    </w:p>
    <w:p>
      <w:pPr>
        <w:pStyle w:val="SourceNote"/>
      </w:pPr>
      <w:r>
        <w:rPr>
          <w:b/>
        </w:rPr>
        <w:t>Available abstract (not full text):</w:t>
      </w:r>
      <w:r>
        <w:t xml:space="preserve"> In this article, we study multiagent consensus problems under Denial-of-Service (DoS) attacks with data rate constraints. We first consider the leaderless consensus problem and after that we briefly present the analysis of leader–follower consensus. The dynamics of the agents take general forms modeled as homogeneous linear time-invariant systems. In our analysis, we derive lower bounds on the data rate for the multiagent systems to achieve leaderless and leader–follower consensus in the presence of DoS attacks, under which the issue of overflow of quantizer is prevented. The main contribution of the article is the characterization of the tradeoff between the tolerable DoS attack levels for leaderless and leader–follower consensus and the required data rates for the quantizers during the communication attempts among the agents. To mitigate the influence of DoS attacks, we employ dynamic quantization with zooming-in and zooming-out capabilities for avoiding quantizer saturation.</w:t>
      </w:r>
    </w:p>
    <w:p>
      <w:pPr/>
      <w:r>
        <w:rPr>
          <w:b/>
        </w:rPr>
        <w:t>POSSIBLE 2022:</w:t>
      </w:r>
      <w:r>
        <w:t xml:space="preserve"> System Stability of Learning-Based Linear Optimal Control With General Discounted Value Iteration — https://doi.org/10.1109/tnnls.2021.3137524</w:t>
      </w:r>
    </w:p>
    <w:p>
      <w:pPr/>
      <w:r>
        <w:rPr>
          <w:b/>
        </w:rPr>
        <w:t>Shared claim-specific concepts:</w:t>
      </w:r>
      <w:r>
        <w:t xml:space="preserve"> article, system, general; EU scope not established. This is a provisional connection, not an outcome finding.</w:t>
      </w:r>
    </w:p>
    <w:p>
      <w:pPr>
        <w:pStyle w:val="SourceNote"/>
      </w:pPr>
      <w:r>
        <w:rPr>
          <w:b/>
        </w:rPr>
        <w:t>Available abstract (not full text):</w:t>
      </w:r>
      <w:r>
        <w:t xml:space="preserve"> For discounted optimal regulation design, the stability of the controlled system is affected by the discount factor. If an inappropriate discount factor is employed, the optimal control policy might be unstabilizing. Therefore, in this article, the effect of the discount factor on the stabilization of control strategies is discussed. We develop the system stability criterion and the selection rules of the discount factor with respect to the linear quadratic regulator problem under the general discounted value iteration algorithm. Based on the monotonicity of the value function sequence, the method to judge the stability of the controlled system is established during the iteration process. In addition, once some stability conditions are satisfied at a certain iteration step, all control policies after this iteration step are stabilizing. Furthermore, combined with the undiscounted optimal control problem, the practical rule of how to select an appropriate discount factor is constructed. Finally, several simulation examples with physical backgrounds are conducted to demonstrate the present theoretical results.</w:t>
      </w:r>
    </w:p>
    <w:p>
      <w:pPr/>
      <w:r>
        <w:rPr>
          <w:b/>
        </w:rPr>
        <w:t>POSSIBLE 2021:</w:t>
      </w:r>
      <w:r>
        <w:t xml:space="preserve"> REVIEW ARTICLE ON THE MITIGATION OF FOUR WAVE MIXING IN OPTICAL COMMUNICATION SYSTEM — https://doi.org/10.51459/futajeet.2021.15.1.266</w:t>
      </w:r>
    </w:p>
    <w:p>
      <w:pPr/>
      <w:r>
        <w:rPr>
          <w:b/>
        </w:rPr>
        <w:t>Shared claim-specific concepts:</w:t>
      </w:r>
      <w:r>
        <w:t xml:space="preserve"> article, four, system, main; EU scope not established. This is a provisional connection, not an outcome finding.</w:t>
      </w:r>
    </w:p>
    <w:p>
      <w:pPr>
        <w:pStyle w:val="SourceNote"/>
      </w:pPr>
      <w:r>
        <w:rPr>
          <w:b/>
        </w:rPr>
        <w:t>Available abstract (not full text):</w:t>
      </w:r>
      <w:r>
        <w:t xml:space="preserve"> The main challenge faced in today's telecommunication is the ever increasing demand for bandwidth and data rates. The desire to expand the capacity of fiber optic communication to accommodate this demand accelerated the development of high capacity Dense Wavelength Division Multiplexing (DWDM) transmission equipment. However, nonlinear impairments are the fundamental limiting mechanisms to the amount of data that can be transmitted in DWDM. In DWDM, Four Wave Mixing is the most critical of nonlinear effects in fibre optics communication. This effect limits the DWDM’s channel capacity. There are numerous researches on nonlinear impairments that show the intricacy of FWM phenomena in DWDM system. This article present review of the several measures which have been carried out by researchers to overcome nonlinear effects in DWDM. Such measures include Modulation Formats, Channel Spacing, Channel Shuffling Algorithm and Electro-Optic Phase Modulation. The review provides insight into the methods, parameters and approaches used by other researchers. This will pave way for can thus lead to significant improvement in the design of DWDM system.</w:t>
      </w:r>
    </w:p>
    <w:p>
      <w:pPr/>
      <w:r>
        <w:rPr>
          <w:b/>
        </w:rPr>
        <w:t>POSSIBLE 2021:</w:t>
      </w:r>
      <w:r>
        <w:t xml:space="preserve"> Cluster Consensus Control of Linear Multiagent Systems Under Directed Topology With General Partition — https://doi.org/10.1109/tac.2021.3069398</w:t>
      </w:r>
    </w:p>
    <w:p>
      <w:pPr/>
      <w:r>
        <w:rPr>
          <w:b/>
        </w:rPr>
        <w:t>Shared claim-specific concepts:</w:t>
      </w:r>
      <w:r>
        <w:t xml:space="preserve"> article, presented, system, general, first; EU scope not established. This is a provisional connection, not an outcome finding.</w:t>
      </w:r>
    </w:p>
    <w:p>
      <w:pPr>
        <w:pStyle w:val="SourceNote"/>
      </w:pPr>
      <w:r>
        <w:rPr>
          <w:b/>
        </w:rPr>
        <w:t>Available abstract (not full text):</w:t>
      </w:r>
      <w:r>
        <w:t xml:space="preserve"> This article investigates the cluster consensus control problem for general linear multiagent systems. The focus of this article is especially to solve the following problem: in what kinds of connection scenarios can agents achieve cluster consensus regardless of the coupling strength (CCRCS). Different from existing literature, this article extends the case to general partition graphs, including both acyclic and cyclic partition cases. New analysis methods are put forward. It is proved that, under some basic assumptions, the multiagent systems can achieve CCRCS if and only if the interaction topology satisfies the nonvicious circle condition, which is proposed for the first time. An algorithm is presented which can check whether a given interaction topology satisfies the nonvicious circle condition. The result can also be extended to heterogeneous cases that agents from different clusters possess nonidentical system dynamics.</w:t>
      </w:r>
    </w:p>
    <w:p>
      <w:pPr/>
      <w:r>
        <w:rPr>
          <w:b/>
        </w:rPr>
        <w:t>POSSIBLE 2021:</w:t>
      </w:r>
      <w:r>
        <w:t xml:space="preserve"> Towards "general purpose" brain-inspired computing system — https://doi.org/10.26599/tst.2021.9010010</w:t>
      </w:r>
    </w:p>
    <w:p>
      <w:pPr/>
      <w:r>
        <w:rPr>
          <w:b/>
        </w:rPr>
        <w:t>Shared claim-specific concepts:</w:t>
      </w:r>
      <w:r>
        <w:t xml:space="preserve"> article, presented, system, general, characteristics, background; EU scope not established. This is a provisional connection, not an outcome finding.</w:t>
      </w:r>
    </w:p>
    <w:p>
      <w:pPr>
        <w:pStyle w:val="SourceNote"/>
      </w:pPr>
      <w:r>
        <w:rPr>
          <w:b/>
        </w:rPr>
        <w:t>Available abstract (not full text):</w:t>
      </w:r>
      <w:r>
        <w:t xml:space="preserve"> Brain-inspired computing refers to computational models, methods, and systems, that are mainly inspired by the processing mode or structure of brain. A recent study proposed the concept of "neuromorphic completeness" and the corresponding system hierarchy, which is helpful to determine the capability boundary of brain-inspired computing system and to judge whether hardware and software of brain-inspired computing are compatible with each other. As a position paper, this article analyzes the existing brain-inspired chips' design characteristics and the current so-called "general purpose" application development frameworks for brain-inspired computing, as well as introduces the background and the potential of this proposal. Further, some key features of this concept are presented through the comparison with the Turing completeness and approximate computation, and the analyses of the relationship with "general-purpose" brain-inspired computing systems (it means that computing systems can support all computable applications). In the end, a promising technical approach to realize such computing systems is introduced, as well as the on-going research and the work foundation. We believe that this work is conducive to the design of extensible neuromorphic complete hardware-primitives and the corresponding chips. On this basis, it is expected to gradually realize "general purpose" brain</w:t>
      </w:r>
    </w:p>
    <w:p>
      <w:pPr/>
      <w:r>
        <w:rPr>
          <w:b/>
        </w:rPr>
        <w:t>POSSIBLE 2020:</w:t>
      </w:r>
      <w:r>
        <w:t xml:space="preserve"> Four approaches to anticipatory climate governance: Different conceptions of the future and implications for the present — https://doi.org/10.1002/wcc.673</w:t>
      </w:r>
    </w:p>
    <w:p>
      <w:pPr/>
      <w:r>
        <w:rPr>
          <w:b/>
        </w:rPr>
        <w:t>Shared claim-specific concepts:</w:t>
      </w:r>
      <w:r>
        <w:t xml:space="preserve"> article, four, system, each; EU scope not established. This is a provisional connection, not an outcome finding.</w:t>
      </w:r>
    </w:p>
    <w:p>
      <w:pPr>
        <w:pStyle w:val="SourceNote"/>
      </w:pPr>
      <w:r>
        <w:rPr>
          <w:b/>
        </w:rPr>
        <w:t>Available abstract (not full text):</w:t>
      </w:r>
      <w:r>
        <w:t xml:space="preserve"> Abstract In times of accelerating earth system transformations and their potentially disruptive societal consequences, imagining and governing the future is now a core challenge for sustainability research and practice. Much social science and sustainability science scholarship increasingly engages with the future. There is, however, a lack of scrutiny of how the future is envisioned in these literatures, and with what implications for governance in the present. This article analyses these two aspects, building on the concept of “anticipatory governance.” We understand anticipatory governance to broadly mean governing in the present to adapt to or shape uncertain futures. We review perspectives within public policy, futures studies, social–ecological systems, environmental policy and governance, transition studies, science and technology studies, and responsible research and innovation literatures. All these literatures engage explicitly or implicitly with the notion of anticipatory governance, yet from distinct ontological and epistemological starting points. Through our review, we identify four approaches to anticipatory governance that differ with regard to (a) their conceptions of and engagement with the future; (b) their implications for actions to be taken in the present; and (c) the ultimate end to be realized through anticipatory governance. We then map onto these four </w:t>
      </w:r>
    </w:p>
    <w:p>
      <w:pPr/>
      <w:r>
        <w:rPr>
          <w:b/>
        </w:rPr>
        <w:t>POSSIBLE 2020:</w:t>
      </w:r>
      <w:r>
        <w:t xml:space="preserve"> The evolution of the Offshore US-Dollar System: past, present and four possible futures — https://doi.org/10.1017/s1744137420000168</w:t>
      </w:r>
    </w:p>
    <w:p>
      <w:pPr/>
      <w:r>
        <w:rPr>
          <w:b/>
        </w:rPr>
        <w:t>Shared claim-specific concepts:</w:t>
      </w:r>
      <w:r>
        <w:t xml:space="preserve"> article, four, system; EU scope not established. This is a provisional connection, not an outcome finding.</w:t>
      </w:r>
    </w:p>
    <w:p>
      <w:pPr>
        <w:pStyle w:val="SourceNote"/>
      </w:pPr>
      <w:r>
        <w:rPr>
          <w:b/>
        </w:rPr>
        <w:t>Available abstract (not full text):</w:t>
      </w:r>
      <w:r>
        <w:t xml:space="preserve"> Abstract Little has contributed more to the emergence of today's world of financial globalization than the setup of the international monetary system. In its current shape, it has a hierarchical structure with the US-Dollar (USD) at the top and various other monetary areas forming a multilayered periphery to it. A key feature of the system is the creation of USD offshore – a feature that in the 1950s and 60s developed in co-evolution with the Bretton Woods System and in the 1970s replaced it. Since the 2007–9 Financial Crisis, this ‘Offshore US-Dollar System’ has been backstopped by the Federal Reserve's network of swap lines which are extended to other key central banks. This systemic evolution may continue in the decades to come, but other systemic arrangements are possible as well and have historical precedents. This article discusses four trajectories that would lead to different setups of the international monetary system by 2040, taking into account how its hierarchical structure and the role of offshore credit money creation may evolve. In addition to a continuation of USD hegemony, we present the emergence of competing monetary blocs, the formation of an international monetary federation and the disintegration into an international monetary anarchy.</w:t>
      </w:r>
    </w:p>
    <w:p>
      <w:pPr>
        <w:pStyle w:val="Heading2"/>
      </w:pPr>
      <w:r>
        <w:t>757.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2024:</w:t>
      </w:r>
      <w:r>
        <w:t xml:space="preserve"> Presenting Work Via PowerPoint — https://doi.org/10.4324/9781003526001-13</w:t>
      </w:r>
    </w:p>
    <w:p>
      <w:pPr/>
      <w:r>
        <w:rPr>
          <w:b/>
        </w:rPr>
        <w:t>Shared claim-specific concepts:</w:t>
      </w:r>
      <w:r>
        <w:t xml:space="preserve"> work, set; EU scope not established. This is a provisional connection, not an outcome finding.</w:t>
      </w:r>
    </w:p>
    <w:p>
      <w:pPr>
        <w:pStyle w:val="SourceNote"/>
      </w:pPr>
      <w:r>
        <w:rPr>
          <w:b/>
        </w:rPr>
        <w:t>Available abstract (not full text):</w:t>
      </w:r>
      <w:r>
        <w:t xml:space="preserve"> Similar to a poster presentation, an oral presentation—with accompanying slideshow—requires a different writing style than a research paper. This chapter will focus on how to transfer thoughts from a carefully worded paper onto a presentation medium and still retain the message. The chapter author will focus on guiding the reader on how to convert ideas into bullet points and still ensure proper flow as well as being able to extract the most relevant points from the original paper. Sports medicine and kinesiology-based examples and sample problems in this chapter will mimic Chapter 12 in that they will focus on creating an effective bullet point, understanding which concepts to take from a paper, and how and when to develop new material for a presentation to better set up the concept used from the original paper.</w:t>
      </w:r>
    </w:p>
    <w:p>
      <w:pPr/>
      <w:r>
        <w:rPr>
          <w:b/>
        </w:rPr>
        <w:t>POSSIBLE 2024:</w:t>
      </w:r>
      <w:r>
        <w:t xml:space="preserve"> Axiomatization of Non-Recursive Aggregates in First-Order Answer Set Programming — https://doi.org/10.1613/jair.1.15786</w:t>
      </w:r>
    </w:p>
    <w:p>
      <w:pPr/>
      <w:r>
        <w:rPr>
          <w:b/>
        </w:rPr>
        <w:t>Shared claim-specific concepts:</w:t>
      </w:r>
      <w:r>
        <w:t xml:space="preserve"> present, work, set, answer; EU scope not established. This is a provisional connection, not an outcome finding.</w:t>
      </w:r>
    </w:p>
    <w:p>
      <w:pPr>
        <w:pStyle w:val="SourceNote"/>
      </w:pPr>
      <w:r>
        <w:rPr>
          <w:b/>
        </w:rPr>
        <w:t>Available abstract (not full text):</w:t>
      </w:r>
      <w:r>
        <w:t xml:space="preserve"> This paper contributes to the development of theoretical foundations of answer set programming. Groundbreaking work on the SM operator by Ferraris, Lee, and Lifschitz proposed a definition/semantics for logic (answer set) programs based on a syntactic transformation similar to parallel circumscription. That definition radically differed from its predecessors by using classical (second-order) logic and avoiding reference to either grounding or fixpoints. Yet, the work lacked the formalization of crucial and commonly used answer set programming language constructs called aggregates. In this paper, we present a characterization of logic programs with aggregates based on a many-sorted generalization of the SM operator. This characterization introduces new function symbols for aggregate operations and aggregate elements, whose meaning can be fixed by adding appropriate axioms to the result of the SM transformation. We prove that our characterization coincides with the ASP-Core-2 semantics for logic programs and, if we allow non-positive recursion through aggregates, it coincides with the semantics of the answer set solver CLINGO.</w:t>
      </w:r>
    </w:p>
    <w:p>
      <w:pPr/>
      <w:r>
        <w:rPr>
          <w:b/>
        </w:rPr>
        <w:t>POSSIBLE 2024:</w:t>
      </w:r>
      <w:r>
        <w:t xml:space="preserve"> Higher-Order Model Checking of Effect-Handling Programs with Answer-Type Modification — https://doi.org/10.1145/3689805</w:t>
      </w:r>
    </w:p>
    <w:p>
      <w:pPr/>
      <w:r>
        <w:rPr>
          <w:b/>
        </w:rPr>
        <w:t>Shared claim-specific concepts:</w:t>
      </w:r>
      <w:r>
        <w:t xml:space="preserve"> work, implemented, approach; EU scope not established. This is a provisional connection, not an outcome finding.</w:t>
      </w:r>
    </w:p>
    <w:p>
      <w:pPr>
        <w:pStyle w:val="SourceNote"/>
      </w:pPr>
      <w:r>
        <w:rPr>
          <w:b/>
        </w:rPr>
        <w:t>Available abstract (not full text):</w:t>
      </w:r>
      <w:r>
        <w:t xml:space="preserve"> Since the seminal work by Ong, the model checking of higher-order programs—called higher-order model checking , or HOMC for short—has gained attention. It is also crucial for making HOMC applicable to real-world software to address programs involving computational effects. Recently, Dal Lago and Ghyselen considered an extension of HOMC to algebraic effect handlers , which enable programming the semantics of effects. They showed a negative result for HOMC with algebraic effect handlers—it is undecidable. In this work, we explore a restriction on programs with algebraic effect handlers which ensures the decidability of HOMC while allowing implementations of various effects. We identify the crux of the undecidability as the use of an unbounded number of algebraic effect handlers being active at the same time. To prevent it, we introduce answer-type modification (ATM), which can bound the number of algebraic effect handlers that can be active at the same time. We prove that ATM can ensure the decidability of HOMC and show that it accommodates a wide range of effects. To evaluate our approach, we implemented an automated verifier EffCaml based on the presented techniques and confirmed that the program examples discussed in this paper can be automatically verified.</w:t>
      </w:r>
    </w:p>
    <w:p>
      <w:pPr/>
      <w:r>
        <w:rPr>
          <w:b/>
        </w:rPr>
        <w:t>POSSIBLE 2023:</w:t>
      </w:r>
      <w:r>
        <w:t xml:space="preserve"> Utilizing Innovative Project Management Technologies to Set Virtual Work Boundaries — https://doi.org/10.21428/f1f23564.6aaf45b9</w:t>
      </w:r>
    </w:p>
    <w:p>
      <w:pPr/>
      <w:r>
        <w:rPr>
          <w:b/>
        </w:rPr>
        <w:t>Shared claim-specific concepts:</w:t>
      </w:r>
      <w:r>
        <w:t xml:space="preserve"> work, set, implemented, order, technologies; EU scope not established. This is a provisional connection, not an outcome finding.</w:t>
      </w:r>
    </w:p>
    <w:p>
      <w:pPr>
        <w:pStyle w:val="SourceNote"/>
      </w:pPr>
      <w:r>
        <w:rPr>
          <w:b/>
        </w:rPr>
        <w:t>Available abstract (not full text):</w:t>
      </w:r>
      <w:r>
        <w:t xml:space="preserve"> Utilizing Innovative Project Management Technologies to Set Virtual Work Boundaries 2The unpredictability of the COVID-19 pandemic presented research teams with the opportunity to optimize collaborative approaches to project management by integrating the productivity software necessary to navigate the sudden shift to remote work.While the shift from in-person to virtual work environments was rapid and disorienting, research teams were able to alleviate this transition by taking advantage of new technologies in project management.The Italian-Canadian Foodways project is an example of this: our project managers implemented a suite of innovative software to manage task delegation in a remote work environment.However, the increased surveillance also created the risk of blurring boundaries between the office and home, potentially threatening a healthy work-life balance.As Thareja (2016) explored, the virtual environment lent itself to various new opportunities for more comprehensive employee surveillance.Our project managers stringently adhered to three pillars to minimize work surveillance in the observation of work methods: planning, implementation, and monitoring.While the pandemic provided an opportunity to re-evaluate work methods, the case study of the Foodways project reveals that innovative technologies alone cannot provide effective project management; rather, technologies </w:t>
      </w:r>
    </w:p>
    <w:p>
      <w:pPr/>
      <w:r>
        <w:rPr>
          <w:b/>
        </w:rPr>
        <w:t>POSSIBLE 2022:</w:t>
      </w:r>
      <w:r>
        <w:t xml:space="preserve"> CMOS compatible manufacturing of a hybrid SET-FET circuit — https://doi.org/10.1088/1361-6641/ac9f61</w:t>
      </w:r>
    </w:p>
    <w:p>
      <w:pPr/>
      <w:r>
        <w:rPr>
          <w:b/>
        </w:rPr>
        <w:t>Shared claim-specific concepts:</w:t>
      </w:r>
      <w:r>
        <w:t xml:space="preserve"> work, set, technology; EU scope not established. This is a provisional connection, not an outcome finding.</w:t>
      </w:r>
    </w:p>
    <w:p>
      <w:pPr>
        <w:pStyle w:val="SourceNote"/>
      </w:pPr>
      <w:r>
        <w:rPr>
          <w:b/>
        </w:rPr>
        <w:t>Available abstract (not full text):</w:t>
      </w:r>
      <w:r>
        <w:t xml:space="preserve"> Abstract This study analyzes feasibility of complementary metal–oxide–semiconductor (CMOS)-compatible manufacturing of a hybrid single electron transistor–field effect transistor (SET-FET) circuit. The fundamental element towards an operating SET at room temperature is a vertical nanopillar (NP) with embedded Si nanodot generated by ion-beam irradiation. The integration process from NPs to contacted SETs is validated by structural characterization. Then, the monolithic fabrication of planar FETs integrated with vertical SETs is presented, and its compatibility with standard CMOS technology is demonstrated. The work includes process optimization, pillar integrity validation, electrical characterization and simulations taking into account parasitic effects. The FET fabrication process is adapted to meet the requirements of the pre-fabricated NPs. Overall, this work establishes the groundwork for the realization of a hybrid SET-FET circuit operating at room temperature.</w:t>
      </w:r>
    </w:p>
    <w:p>
      <w:pPr/>
      <w:r>
        <w:rPr>
          <w:b/>
        </w:rPr>
        <w:t>POSSIBLE 2022:</w:t>
      </w:r>
      <w:r>
        <w:t xml:space="preserve"> Question Answering For Toxicological Information Extraction — https://doi.org/10.4230/oasics.slate.2022.3</w:t>
      </w:r>
    </w:p>
    <w:p>
      <w:pPr/>
      <w:r>
        <w:rPr>
          <w:b/>
        </w:rPr>
        <w:t>Shared claim-specific concepts:</w:t>
      </w:r>
      <w:r>
        <w:t xml:space="preserve"> present, work, order, question, approach; EU scope not established. This is a provisional connection, not an outcome finding.</w:t>
      </w:r>
    </w:p>
    <w:p>
      <w:pPr>
        <w:pStyle w:val="SourceNote"/>
      </w:pPr>
      <w:r>
        <w:rPr>
          <w:b/>
        </w:rPr>
        <w:t>Available abstract (not full text):</w:t>
      </w:r>
      <w:r>
        <w:t xml:space="preserve"> Working with large amounts of text data has become hectic and time-consuming. In order to reduce human effort, costs, and make the process more efficient, companies and organizations resort to intelligent algorithms to automate and assist the manual work. This problem is also present in the field of toxicological analysis of chemical substances, where information needs to be searched from multiple documents. That said, we propose an approach that relies on Question Answering for acquiring information from unstructured data, in our case, English PDF documents containing information about physicochemical and toxicological properties of chemical substances. Experimental results confirm that our approach achieves promising results which can be applicable in the business scenario, especially if further revised by humans.</w:t>
      </w:r>
    </w:p>
    <w:p>
      <w:pPr/>
      <w:r>
        <w:rPr>
          <w:b/>
        </w:rPr>
        <w:t>POSSIBLE 2021:</w:t>
      </w:r>
      <w:r>
        <w:t xml:space="preserve"> Creativity in data work: case of developing training sets for machine learning — https://openalex.org/W3200956411</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Data reuse is seen as an important practice for realizing value from data.But, as scholars have repeatedly shown, the "cooked" character of data can present great challenges for data reuse.Yet, empirical research into how organizations can reuse data despite its "cooked" character is still underresearched.To address this gap, we followed five teams as they developed ML solutions for tackling complex, agricultural challenges.Our research finds that the development teams engage in creative data work which goes beyond mere preparation of data for training a machine learning model.In doing so, the team engaged in three data work practices: problematization, creative data work, and scrutinizing datasets.Our study shows that, in what seemingly appears as a merely technical and "janitorial" work, developers iteratively learn and interlace their knowledge of available data and a phenomenon in an effort to creatively produce a representation of that phenomenon in a form of a workable training set.</w:t>
      </w:r>
    </w:p>
    <w:p>
      <w:pPr/>
      <w:r>
        <w:rPr>
          <w:b/>
        </w:rPr>
        <w:t>POSSIBLE 2021:</w:t>
      </w:r>
      <w:r>
        <w:t xml:space="preserve"> The Relation of Work to Zeus' World Order in Hesiod's Works and Days — https://openalex.org/W7135665476</w:t>
      </w:r>
    </w:p>
    <w:p>
      <w:pPr/>
      <w:r>
        <w:rPr>
          <w:b/>
        </w:rPr>
        <w:t>Shared claim-specific concepts:</w:t>
      </w:r>
      <w:r>
        <w:t xml:space="preserve"> work, set, order, answer, question, next; EU scope not established. This is a provisional connection, not an outcome finding.</w:t>
      </w:r>
    </w:p>
    <w:p>
      <w:pPr>
        <w:pStyle w:val="SourceNote"/>
      </w:pPr>
      <w:r>
        <w:rPr>
          <w:b/>
        </w:rPr>
        <w:t>Available abstract (not full text):</w:t>
      </w:r>
      <w:r>
        <w:t xml:space="preserve"> (in English) The presented thesis is dealing with the ethics of work in the world as described by ancient Greek poet Hesiod in his famous didactic epos Works and Days. In the first part of the thesis (chapters 1 and 2), it is assumed that Hesiod's ethics are anchored in a particular situation, in which he, as a Boeotian farmer, found himself due to his dispute with his brother Perses. In the next part, firstly three major myths in the Works and Days are analyzed and the importance of work is set in a wider context of Hesiod's religious and ideological beliefs (chapter 3); subsequently our analysis is supplemented by a broader reflection of work, exertion, recreation, good and evil (chapter 4). In conclusion we finally try to answer the question of the place of work in the world order as determined by Zeus' will.</w:t>
      </w:r>
    </w:p>
    <w:p>
      <w:pPr>
        <w:pStyle w:val="Heading2"/>
      </w:pPr>
      <w:r>
        <w:t>758.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2023:</w:t>
      </w:r>
      <w:r>
        <w:t xml:space="preserve"> Establishing Novel Drug Leads For Bubonic Plague Using In-Silico Approach — https://doi.org/10.2991/978-94-6463-294-1_11</w:t>
      </w:r>
    </w:p>
    <w:p>
      <w:pPr/>
      <w:r>
        <w:rPr>
          <w:b/>
        </w:rPr>
        <w:t>Shared claim-specific concepts:</w:t>
      </w:r>
      <w:r>
        <w:t xml:space="preserve"> approach, used, plants; EU scope not established. This is a provisional connection, not an outcome finding.</w:t>
      </w:r>
    </w:p>
    <w:p>
      <w:pPr>
        <w:pStyle w:val="SourceNote"/>
      </w:pPr>
      <w:r>
        <w:rPr>
          <w:b/>
        </w:rPr>
        <w:t>Available abstract (not full text):</w:t>
      </w:r>
      <w:r>
        <w:t xml:space="preserve"> Bubonic plague is an infection spread mostly to humans by infected fleas that feed on rodents which is also known as 'Black death'.It killed millions of Europeans during the middles ages.Bubonic Plague is an infectious disease caused by a specific type of bacterium called Yersinia pestis.Which is also know as Y.pestis can affect humans spread mainly by fleas.Prevention doesn't include a vaccine, but does involve reducing your exposure to mice, rats, squirrels and other animals that may be infected.The deaths exceeded 25 million people during the middle ages.The plague is rare now.Only a few thousand people around the world get it each year most of the cases are in Africa, India.The FASTA sequence of the genes-receptors of the above disease were retrieved from Genbank database.Next, we modelled the 3D structure of the FASTA protein sequence using modeller.The best model was selected using Ramachandran plot.Phytocompounds from medicinal plants is considered Emblica Officinalis, Terminalia Chebula, Terminalia Bellirica, Asphaltum Punjabianum, Azadirachta Indica as considered as novel drug leads is retrieved from PUBCHEM database.The phytocompounds are checked for drug-like properties using molinspiration software.The compounds having no violations was considered for further docking studies.Thannilignan, Ellagic acid, Quercetin, Termilignan docks best with both the receptors.Hence </w:t>
      </w:r>
    </w:p>
    <w:p>
      <w:pPr/>
      <w:r>
        <w:rPr>
          <w:b/>
        </w:rPr>
        <w:t>POSSIBLE 2023:</w:t>
      </w:r>
      <w:r>
        <w:t xml:space="preserve"> Measuring engineering culture: a preliminary approach using perceptions of meritocracy and competition — https://doi.org/10.1109/fie58773.2023.10342907</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This work in progress paper aims to present a first effort in measuring elements of engineering culture that can interact with student well-being. Engineering culture has been under significant scrutiny during the last couple of decades, especially as it has been extensively documented to be exclusionary for marginalized groups. Significant and valuable efforts exist characterizing engineering culture qualitatively, however, less of such efforts have been oriented toward generating a quantitative approach to gauge it. Therefore, studies that aim to measure engineering culture often use established measures for diversity and inclusion as the closest proxies. Derived from our own need to have a quantitative way of measuring engineering culture within a larger longitudinal and multi-institutional project, we embarked on an attempt to do so through two components that have been documented as being part of the engineering ways of thinking and doing, the perceptions of meritocratic beliefs and competitive attitudes. In this paper, we present five items that we have used to measure engineering culture as they relate to competition and meritocracy beliefs. Our research goal was to use Exploratory Factor Analysis (EFA) and Confirmatory Factor Analysis (CFA) to investigate the factorial structure of the proposed items. We report on the results from the EFA and CFA for these items using a</w:t>
      </w:r>
    </w:p>
    <w:p>
      <w:pPr/>
      <w:r>
        <w:rPr>
          <w:b/>
        </w:rPr>
        <w:t>POSSIBLE 2022:</w:t>
      </w:r>
      <w:r>
        <w:t xml:space="preserve"> Identifying Key Elements for Establishing Sustainable Conventions and Exhibitions: Use of the Delphi and AHP Approaches — https://doi.org/10.3390/su14031678</w:t>
      </w:r>
    </w:p>
    <w:p>
      <w:pPr/>
      <w:r>
        <w:rPr>
          <w:b/>
        </w:rPr>
        <w:t>Shared claim-specific concepts:</w:t>
      </w:r>
      <w:r>
        <w:t xml:space="preserve"> approach, establish, continuous; EU scope not established. This is a provisional connection, not an outcome finding.</w:t>
      </w:r>
    </w:p>
    <w:p>
      <w:pPr>
        <w:pStyle w:val="SourceNote"/>
      </w:pPr>
      <w:r>
        <w:rPr>
          <w:b/>
        </w:rPr>
        <w:t>Available abstract (not full text):</w:t>
      </w:r>
      <w:r>
        <w:t xml:space="preserve"> The purpose of this study was to explore, by employing the Delphi method, key indicators and factors for establishing sustainable conventions and exhibitions (C&amp;E) events in a destination in lieu of holding one-off events. In addition, the identified factors for establishing sustainable C&amp;E events were assessed using the analytic hierarchy process (AHP) with a multi-group approach. First, internal and external factors that impact continuous hosting of C&amp;E events in a destination were identified in previous research and reviewed. Second, three stages of Delphi surveys were conducted with three groups of experts in the C&amp;E industry (academic scholars, industry experts, and government agencies in Korea). Third, data were analyzed from 35 and 29 participants in the first and second Delphi rounds, respectively, as well as from 17 panelists in the subsequent AHP analysis. A total of 33 indicators were developed and categorized into five factors for continuity of regional C&amp;E efforts: event contents and capabilities, organizers and support/sponsorship, impacts, facilities in venues and destinations, and the local event environment. Furthermore, all three participant groups reached agreement in rating event contents and capabilities as the most important factor, with the local event environment as the second most important factor in achieving sustainable regional C&amp;E. However, the opin</w:t>
      </w:r>
    </w:p>
    <w:p>
      <w:pPr/>
      <w:r>
        <w:rPr>
          <w:b/>
        </w:rPr>
        <w:t>POSSIBLE 2022:</w:t>
      </w:r>
      <w:r>
        <w:t xml:space="preserve"> Methodological approaches to measuring quality of life — https://doi.org/10.1590/0101-31572022-3256</w:t>
      </w:r>
    </w:p>
    <w:p>
      <w:pPr/>
      <w:r>
        <w:rPr>
          <w:b/>
        </w:rPr>
        <w:t>Shared claim-specific concepts:</w:t>
      </w:r>
      <w:r>
        <w:t xml:space="preserve"> approach, used, measures, aimed; EU scope not established. This is a provisional connection, not an outcome finding.</w:t>
      </w:r>
    </w:p>
    <w:p>
      <w:pPr>
        <w:pStyle w:val="SourceNote"/>
      </w:pPr>
      <w:r>
        <w:rPr>
          <w:b/>
        </w:rPr>
        <w:t>Available abstract (not full text):</w:t>
      </w:r>
      <w:r>
        <w:t xml:space="preserve"> ABSTRACT The ultimate goal of the present work lay in creating a vector methodology for measuring QoL. Application of an integrated approach to the results of the classification analysis and SWOT analysis enabled elaborating a vector methodology of a recommendatory type aimed at improving QoL measurement approaches. It was established that this methodology should include four major updates taking into account the challenges of tomorrow. The study results may be of interest to public authorities responsible for taking measures directed at raising the country’s international ranking as well as be used for reducing contradictions on the part of QoL measuring procedures.</w:t>
      </w:r>
    </w:p>
    <w:p>
      <w:pPr/>
      <w:r>
        <w:rPr>
          <w:b/>
        </w:rPr>
        <w:t>POSSIBLE 2022:</w:t>
      </w:r>
      <w:r>
        <w:t xml:space="preserve"> Methodological approaches to measuring quality of life — https://doi.org/10.6084/m9.figshare.19965475</w:t>
      </w:r>
    </w:p>
    <w:p>
      <w:pPr/>
      <w:r>
        <w:rPr>
          <w:b/>
        </w:rPr>
        <w:t>Shared claim-specific concepts:</w:t>
      </w:r>
      <w:r>
        <w:t xml:space="preserve"> approach, used, measures, aimed; EU scope not established. This is a provisional connection, not an outcome finding.</w:t>
      </w:r>
    </w:p>
    <w:p>
      <w:pPr>
        <w:pStyle w:val="SourceNote"/>
      </w:pPr>
      <w:r>
        <w:rPr>
          <w:b/>
        </w:rPr>
        <w:t>Available abstract (not full text):</w:t>
      </w:r>
      <w:r>
        <w:t xml:space="preserve"> ABSTRACT The ultimate goal of the present work lay in creating a vector methodology for measuring QoL. Application of an integrated approach to the results of the classification analysis and SWOT analysis enabled elaborating a vector methodology of a recommendatory type aimed at improving QoL measurement approaches. It was established that this methodology should include four major updates taking into account the challenges of tomorrow. The study results may be of interest to public authorities responsible for taking measures directed at raising the country’s international ranking as well as be used for reducing contradictions on the part of QoL measuring procedures.</w:t>
      </w:r>
    </w:p>
    <w:p>
      <w:pPr/>
      <w:r>
        <w:rPr>
          <w:b/>
        </w:rPr>
        <w:t>POSSIBLE 2022:</w:t>
      </w:r>
      <w:r>
        <w:t xml:space="preserve"> Measuring human capital in South Africa across socioeconomic subgroups using a latent-variable approach — https://doi.org/10.1007/s11205-022-02973-y</w:t>
      </w:r>
    </w:p>
    <w:p>
      <w:pPr/>
      <w:r>
        <w:rPr>
          <w:b/>
        </w:rPr>
        <w:t>Shared claim-specific concepts:</w:t>
      </w:r>
      <w:r>
        <w:t xml:space="preserve"> approach, used, socioeconomic; EU scope not established. This is a provisional connection, not an outcome finding.</w:t>
      </w:r>
    </w:p>
    <w:p>
      <w:pPr>
        <w:pStyle w:val="SourceNote"/>
      </w:pPr>
      <w:r>
        <w:rPr>
          <w:b/>
        </w:rPr>
        <w:t>Available abstract (not full text):</w:t>
      </w:r>
      <w:r>
        <w:t xml:space="preserve"> Abstract Human capital is a complex concept to measure given it is an unobserved latent construct. Education is a fundamental dimension of human capital and thus an education-based approach is the one most widely used. However, the international literature recommends a latent-variable approach to measuring human capital. This study thus aims to measure human capital in South Africa, a country experiencing extreme earnings and education inequalities, using a latent-variable approach and the National Income Dynamic Study (NIDS) dataset. The findings are that parental education is associated with the largest amount of variance in (latent) human capital, while the health indicator captures the least variance. Furthermore, the (latent) human capital variable provides a valuable measure to profile the distribution of human capital by socioeconomic subgroups.</w:t>
      </w:r>
    </w:p>
    <w:p>
      <w:pPr/>
      <w:r>
        <w:rPr>
          <w:b/>
        </w:rPr>
        <w:t>POSSIBLE 2021:</w:t>
      </w:r>
      <w:r>
        <w:t xml:space="preserve"> A relative approach to the validation of surrogate measures of safety — https://doi.org/10.1016/j.aap.2021.106350</w:t>
      </w:r>
    </w:p>
    <w:p>
      <w:pPr/>
      <w:r>
        <w:rPr>
          <w:b/>
        </w:rPr>
        <w:t>Shared claim-specific concepts:</w:t>
      </w:r>
      <w:r>
        <w:t xml:space="preserve"> approach, used, measures; EU scope visible. This is a provisional connection, not an outcome finding.</w:t>
      </w:r>
    </w:p>
    <w:p>
      <w:pPr>
        <w:pStyle w:val="SourceNote"/>
      </w:pPr>
      <w:r>
        <w:rPr>
          <w:b/>
        </w:rPr>
        <w:t>Available abstract (not full text):</w:t>
      </w:r>
      <w:r>
        <w:t xml:space="preserve"> Surrogate measures of safety (SMoS) are meant to be an alternative/complement to crash data that enables a proactive approach to traffic safety. Validity is a fundamental property of SMoS that describes how well they reflect the quality of interest - traffic safety. However, typical validation studies are extremely resource demanding. Therefore, the aim of this study was to explore a relative approach to validity that uses fewer resources and does not rely on crash records from the observed locations. The core idea of a relative approach to the validation of SMoS is that while SMoS might not accurately estimate the expected number of crashes, they still work well for comparisons between different sites or between conditions at the same site. Based on this concept, we propose a method in which a ground truth based on literature can be used as a baseline that can then be compared to the safety analysis of an SMoS study. Using the proposed method, a case study of six intersections in northern Europe was conducted, focusing on bicycle infrastructure. The results indicate that the minimum time-to-collision indicator is in line with the ground truth, whereas the post-encroachment time indicator is not.</w:t>
      </w:r>
    </w:p>
    <w:p>
      <w:pPr/>
      <w:r>
        <w:rPr>
          <w:b/>
        </w:rPr>
        <w:t>POSSIBLE 2019:</w:t>
      </w:r>
      <w:r>
        <w:t xml:space="preserve"> One Approach to using Fuzzy Logic for the Establishing of Natural Gas Tariffs — https://openalex.org/W3012361343</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This paper introduces an attempt to establish natural gas tariffs based on experts’ fuzzy estimations</w:t>
        <w:br/>
        <w:br/>
        <w:t>on the example of Georgia. We consider the existent situation in tariffication processes. We discuss the</w:t>
        <w:br/>
        <w:br/>
        <w:t>necessity to use new approaches for implementation of these processes. We introduce a new approach for</w:t>
        <w:br/>
        <w:br/>
        <w:t>determination of natural gas tariffs based on fuzzy logic and its algorithm. At the end we show the example of</w:t>
        <w:br/>
        <w:br/>
        <w:t>practical application of the proposed method</w:t>
      </w:r>
    </w:p>
    <w:p>
      <w:pPr/>
      <w:r>
        <w:rPr>
          <w:b/>
        </w:rPr>
        <w:t>POSSIBLE 2019:</w:t>
      </w:r>
      <w:r>
        <w:t xml:space="preserve"> An approach for establishing correspondence between OpenStreetMap and reference datasets for land use and land cover mapping — https://doi.org/10.1111/tgis.12581</w:t>
      </w:r>
    </w:p>
    <w:p>
      <w:pPr/>
      <w:r>
        <w:rPr>
          <w:b/>
        </w:rPr>
        <w:t>Shared claim-specific concepts:</w:t>
      </w:r>
      <w:r>
        <w:t xml:space="preserve"> approach, used, establish, measures; EU scope not established. This is a provisional connection, not an outcome finding.</w:t>
      </w:r>
    </w:p>
    <w:p>
      <w:pPr>
        <w:pStyle w:val="SourceNote"/>
      </w:pPr>
      <w:r>
        <w:rPr>
          <w:b/>
        </w:rPr>
        <w:t>Available abstract (not full text):</w:t>
      </w:r>
      <w:r>
        <w:t xml:space="preserve"> Abstract OpenStreetMap (OSM) provides free source data for land use and land cover (LULC) mapping of many regions globally. Earlier work has used just manual and subjective approaches to establish correspondence between paired OSM and reference datasets, an essential step for LULC mapping. This study proposes an approach to establish correspondence via three steps: (1) convert line feature(s) into polygon feature(s); (2) merge multiple polygon feature(s) into a single layer; and (3) establish correspondence and reclassify OSM and/or reference datasets. Study areas in Sheffield, London, Rome, and Paris were used for testing, and two measures (overall accuracy, OA and kappa index) were used for evaluation. Experiments were designed to verify this approach, with each pair of OSM and reference datasets initially compared after reclassification. Correspondence from one study area was then applied to another for further validation. Results show that OA was between 70 and 90% and the kappa index varied between 0.6 and 0.8. Evaluation also indicates that the correspondence obtained from one study area is applicable to another, and we illustrate the effectiveness of this approach.</w:t>
      </w:r>
    </w:p>
    <w:p>
      <w:pPr/>
      <w:r>
        <w:rPr>
          <w:b/>
        </w:rPr>
        <w:t>POSSIBLE 2019:</w:t>
      </w:r>
      <w:r>
        <w:t xml:space="preserve"> A stochastic approach for measuring the uncertainty of claims reserves — https://doi.org/10.1590/1808-057x201907860</w:t>
      </w:r>
    </w:p>
    <w:p>
      <w:pPr/>
      <w:r>
        <w:rPr>
          <w:b/>
        </w:rPr>
        <w:t>Shared claim-specific concepts:</w:t>
      </w:r>
      <w:r>
        <w:t xml:space="preserve"> approach, measures, technical; EU scope not established. This is a provisional connection, not an outcome finding.</w:t>
      </w:r>
    </w:p>
    <w:p>
      <w:pPr>
        <w:pStyle w:val="SourceNote"/>
      </w:pPr>
      <w:r>
        <w:rPr>
          <w:b/>
        </w:rPr>
        <w:t>Available abstract (not full text):</w:t>
      </w:r>
      <w:r>
        <w:t xml:space="preserve"> ABSTRACT This paper aims to obtain metrics for quantifying the variability of technical provisions for claims by making use of deterministic and stochastic models. In short, everything that the traditional methods do not provide (measures of variability and capital insufficiency) are of fundamental importance for efficient actuarial management. The proposed methodology reveals the probability of insufficiency of the allocated capital to cover the commitments assumed by the insurer. In order to maintain resources to cover the indemnities payable to the insured, insurance companies include technical provisions in their balance sheets. Technical provisions are estimates and are therefore a source of fluctuations in the profit and loss statement of insurers, so understanding and protecting against these adverse variations is fundamental for efficient actuarial management. The stochastic approach enables internal models to be studied for solvency capital, which is a subject that lacks studies in the Brazilian market, and which is determined by a standard model pre-defined by the regulatory body. Stochastic modeling was proposed for Incurred But Not Reported Reserve using bootstrapping and, to validate this approach, the results were compared with the traditional approaches using real Motor Hull and Motor Third Part Liability data from a Brazilian insurance company. There are advanta</w:t>
      </w:r>
    </w:p>
    <w:p>
      <w:pPr>
        <w:pStyle w:val="Heading2"/>
      </w:pPr>
      <w:r>
        <w:t>759.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pathways;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The role of atmospheric circulation in explaining the summer extreme temperature trends over Europe — https://doi.org/10.5194/ems2024-1069</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The frequency, duration and intensity of summer extreme temperatures over Europe are increased since the middle of the twentieth century. These trends are expected to further increase in the future due to global warming, which will influence both the thermodynamics and dynamics of these events. In this context, the role played by the thermodynamic changes on trends of extreme temperature events has been largely studied. Differently, the role of dynamic changes in explaining their historical trends as well as their future projections is still under debate.In the present study, we assess the role played by dynamic changes on trends of summer extreme temperatures by assessing the trends in the occurrence of atmospheric circulation patterns (analogs) associated with the most severe heat waves during 1940—2022. Heat wave events are identified adopting the Heat Wave Magnitude Index daily (HWMId) as suggested by Russo et al. (2015). Furthermore, the trends in the number of summer extreme temperatures in the regions of the identified heat waves are decomposed as suggested by Horton et al. (2015), in order to evaluate the relative contribution of dynamic, thermodynamic and interactive terms on the total extreme temperature trends.The analyses are performed using a multi-model initial-condition large ensemble, composed by CMIP5 and CMIP6 models forced with the Representative Concentratio</w:t>
      </w:r>
    </w:p>
    <w:p>
      <w:pPr/>
      <w:r>
        <w:rPr>
          <w:b/>
        </w:rPr>
        <w:t>POSSIBLE 2024:</w:t>
      </w:r>
      <w:r>
        <w:t xml:space="preserve"> Assessing the feasibility of CO2 removal strategies in achieving climate-neutral power systems: Insights from biomass, CO2 capture, and direct air capture in Europe — https://doi.org/10.1016/j.adapen.2024.100166</w:t>
      </w:r>
    </w:p>
    <w:p>
      <w:pPr/>
      <w:r>
        <w:rPr>
          <w:b/>
        </w:rPr>
        <w:t>Shared claim-specific concepts:</w:t>
      </w:r>
      <w:r>
        <w:t xml:space="preserve"> role, achieve, co2; EU scope visible. This is a provisional connection, not an outcome finding.</w:t>
      </w:r>
    </w:p>
    <w:p>
      <w:pPr>
        <w:pStyle w:val="SourceNote"/>
      </w:pPr>
      <w:r>
        <w:rPr>
          <w:b/>
        </w:rPr>
        <w:t>Available abstract (not full text):</w:t>
      </w:r>
      <w:r>
        <w:t xml:space="preserve"> To achieve the European Union's goal of climate neutrality by 2050, negative emissions may be required to compensate for emissions exceeding allocated carbon budgets. Therefore, carbon removal technologies such as bioenergy with carbon capture (BECCS) and direct air capture (DAC) may need to play a pivotal role in the power system. To design carbon removal strategies, more insights are needed into the impact of sustainable biomass availability and the feasibility of carbon capture and storage (CCS), including the expensive and energy-intensive DAC on achieving net-zero and net-negative targets. Therefore, in this study the European power system in 2050 is modelled at an hourly resolution in the cost-minimization PLEXOS modelling platform. Three climate-neutral scenarios with targets of 0, -1, and -3.9 Mt CO2/year (which agree with varying levels of climate justice) are assessed for different biomass levels, and CCS availability. Findings under baseline assumptions reveal that in a climate-neutral power system with biomass and CCS options, it is cost-effective to complement variable renewable energy with a mix of combined cycle natural gas turbines (CCNGT) for flexibility and BECCS as base load to compensate for the CO2 emissions from natural gas and additional carbon removal in the net-negative scenarios. The role of these technologies becomes more prominent, with -3.9 GtCO2/ye</w:t>
      </w:r>
    </w:p>
    <w:p>
      <w:pPr/>
      <w:r>
        <w:rPr>
          <w:b/>
        </w:rPr>
        <w:t>POSSIBLE 2023:</w:t>
      </w:r>
      <w:r>
        <w:t xml:space="preserve"> The potential role of a hydrogen network in Europe — https://doi.org/10.1016/j.joule.2023.06.016</w:t>
      </w:r>
    </w:p>
    <w:p>
      <w:pPr/>
      <w:r>
        <w:rPr>
          <w:b/>
        </w:rPr>
        <w:t>Shared claim-specific concepts:</w:t>
      </w:r>
      <w:r>
        <w:t xml:space="preserve"> role, across, achieve; EU scope visible. This is a provisional connection, not an outcome finding.</w:t>
      </w:r>
    </w:p>
    <w:p>
      <w:pPr>
        <w:pStyle w:val="SourceNote"/>
      </w:pPr>
      <w:r>
        <w:rPr>
          <w:b/>
        </w:rPr>
        <w:t>Available abstract (not full text):</w:t>
      </w:r>
      <w:r>
        <w:t xml:space="preserve"> Europe's electricity transmission expansion suffers many delays, despite its significance for integrating renewable electricity. A hydrogen network reusing the existing gas network could not only help to supply the demand for low-emission fuels but could also balance variations in wind and solar energies across the continent and thus avoid power grid expansion. Our investigation varies the allowed expansion of electricity and hydrogen grids in net-zero CO 2 scenarios for a sector-coupled European energy system, capturing transmission bottlenecks, renewable supply and demand variability, and pipeline retrofitting and geological storage potentials. We find that a hydrogen network connecting regions with low-cost and abundant renewable potentials to demand centers, electrofuel production, and cavern storage sites reduces system costs by up to 26 bn€/a (3.4%). Although expanding both networks together can achieve the largest cost reductions, by 9.9%, the expansion of neither is essential for a net-zero system as long as higher costs can be accepted and flexibility options allow managing transmission bottlenecks.</w:t>
      </w:r>
    </w:p>
    <w:p>
      <w:pPr/>
      <w:r>
        <w:rPr>
          <w:b/>
        </w:rPr>
        <w:t>POSSIBLE 2023:</w:t>
      </w:r>
      <w:r>
        <w:t xml:space="preserve"> Exploring pathways to 100% renewable energy in European industry — https://doi.org/10.1016/j.energy.2023.126687</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2022:</w:t>
      </w:r>
      <w:r>
        <w:t xml:space="preserve"> Organizational change and psychosomatic symptoms: Exploring pathways through working conditions and assessing the moderating role of social support among European workers — https://doi.org/10.1177/0143831x211069411</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Building on the Job Demands–Resources (JD–R) model, this article sets out to analyze the mechanisms through which organizational change can affect workers’ health. The author carries out a moderated mediation analysis drawing on data from the European Working Conditions Survey conducted in 2015 with more than 44,000 European workers in 35 countries. Emotional labor, work intensity and physical strain are included as mediators of the relationship between organizational change and health, assessed by the self-declaration of psychosomatic symptoms. The study tests for the moderating role of social support, assessed as supervisor support and colleague support. It is shown that emotional labor mediates the relationship between organizational change and health alongside other work demands, with slight variations in the mechanisms depending on whether the reorganization involves staff cuts. There is evidence that social support from the hierarchy moderates the health effects of job demands.</w:t>
      </w:r>
    </w:p>
    <w:p>
      <w:pPr>
        <w:pStyle w:val="Heading2"/>
      </w:pPr>
      <w:r>
        <w:t>760.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2025:</w:t>
      </w:r>
      <w:r>
        <w:t xml:space="preserve"> Global terrestrial moisture recycling in Shared Socioeconomic Pathways — https://doi.org/10.5194/esd-16-215-2025</w:t>
      </w:r>
    </w:p>
    <w:p>
      <w:pPr/>
      <w:r>
        <w:rPr>
          <w:b/>
        </w:rPr>
        <w:t>Shared claim-specific concepts:</w:t>
      </w:r>
      <w:r>
        <w:t xml:space="preserve"> shared, socioeconomic, pathways, ssps, regional; EU scope not established. This is a provisional connection, not an outcome finding.</w:t>
      </w:r>
    </w:p>
    <w:p>
      <w:pPr>
        <w:pStyle w:val="SourceNote"/>
      </w:pPr>
      <w:r>
        <w:rPr>
          <w:b/>
        </w:rPr>
        <w:t>Available abstract (not full text):</w:t>
      </w:r>
      <w:r>
        <w:t xml:space="preserve"> Abstract. Many areas across the globe rely on upwind land areas for their precipitation supply through terrestrial precipitation recycling. Global warming and land-use changes may affect the future patterns of terrestrial precipitation recycling, but where and to which extent remains unclear. To study how the global patterns of precipitation recycling may change until the end of the 21st century we present a new forward-tracking version of the three-dimensional atmospheric moisture tracking model UTrack that is forced by output of the Norwegian Earth System model (NorESM2). We simulate global precipitation recycling in four Shared Socioeconomic Pathways (SSPs), which are internally consistent combinations of climate- and land-use scenarios used in the sixth phase of the Coupled Model Intercomparison Project. The scenarios range from mild to severe: SSP1-2.6, SSP2-4.5, SSP3-7.0, and SSP5-8.5. We compare results for the middle of the century (2050–2059) and end of the century (2090–2099) with a 2015–2024 baseline. We similarly also calculate basin precipitation recycling for the 26 major river basins of the world. We find that the global terrestrial moisture recycling ratio decreases with the severity of the SSPs and estimate a decrease in this ratio of 2.1 % with every degree of global warming. However, we find differences among regions and river basins in trends in precipitatio</w:t>
      </w:r>
    </w:p>
    <w:p>
      <w:pPr/>
      <w:r>
        <w:rPr>
          <w:b/>
        </w:rPr>
        <w:t>POSSIBLE 2024:</w:t>
      </w:r>
      <w:r>
        <w:t xml:space="preserve"> A critical utopian shared socioeconomic pathway — https://doi.org/10.1016/j.futures.2024.103437</w:t>
      </w:r>
    </w:p>
    <w:p>
      <w:pPr/>
      <w:r>
        <w:rPr>
          <w:b/>
        </w:rPr>
        <w:t>Shared claim-specific concepts:</w:t>
      </w:r>
      <w:r>
        <w:t xml:space="preserve"> shared, socioeconomic, pathways, ssps, they; EU scope not established. This is a provisional connection, not an outcome finding.</w:t>
      </w:r>
    </w:p>
    <w:p>
      <w:pPr>
        <w:pStyle w:val="SourceNote"/>
      </w:pPr>
      <w:r>
        <w:rPr>
          <w:b/>
        </w:rPr>
        <w:t>Available abstract (not full text):</w:t>
      </w:r>
      <w:r>
        <w:t xml:space="preserve"> The aim of this study is to investigate the utility of speculative, fictional utopian narratives to be used as a comparative and critical tool to expose taken for granted ideas, discourses and norms in the five shared socioeconomic pathways (SSP1–5) that are used by the IPCC to build future scenarios. To achieve this goal, we first invited citizens to write stories about fictional utopian futures, which they perceived as good for “both people and the planet”. We then compared these utopian stories with the SSPs by (1) a semi-quantitative thematic analysis, and (2) a critical literary analysis. Based on the thematic analysis, we found strong similarities between the utopian futures and SSP1 (“Taking the Green Road”) at a superficial level. Based on the literary analysis, we found that this apparent similarity obscured fundamental differences between the implicit mindsets that was found in SSP1 and the utopian futures; with the former underpinned by collective anthropocentrism and the latter by collective ecocentrism. We conclude that speculative utopias, that are not bound by the requirement of perceived plausibility, can provide a powerful tool to scrutinize and extend science-based future scenarios, such as the SSPs, to consider other aspects, such as different mindsets and norm-breaking solutions.</w:t>
      </w:r>
    </w:p>
    <w:p>
      <w:pPr/>
      <w:r>
        <w:rPr>
          <w:b/>
        </w:rPr>
        <w:t>POSSIBLE 2024:</w:t>
      </w:r>
      <w:r>
        <w:t xml:space="preserve"> Chasing artificial intelligence in shared socioeconomic pathways — https://doi.org/10.1016/j.oneear.2023.12.015</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Updating global urbanization projections under the Shared Socioeconomic Pathways — https://doi.org/10.1038/s41597-022-01209-5</w:t>
      </w:r>
    </w:p>
    <w:p>
      <w:pPr/>
      <w:r>
        <w:rPr>
          <w:b/>
        </w:rPr>
        <w:t>Shared claim-specific concepts:</w:t>
      </w:r>
      <w:r>
        <w:t xml:space="preserve"> shared, socioeconomic, pathways, climate; EU scope not established. This is a provisional connection, not an outcome finding.</w:t>
      </w:r>
    </w:p>
    <w:p>
      <w:pPr>
        <w:pStyle w:val="SourceNote"/>
      </w:pPr>
      <w:r>
        <w:rPr>
          <w:b/>
        </w:rPr>
        <w:t>Available abstract (not full text):</w:t>
      </w:r>
      <w:r>
        <w:t xml:space="preserve"> Urbanization level is an important indicator of socioeconomic development, and projecting its dynamics is fundamental for studies related to global socioeconomic and climate change. This paper aims to update the projections of global urbanization from 2015 to 2100 under the Shared Socioeconomic Pathways by using the logistic fitting model and iteratively identifying reference countries. Based on historical urbanization level database from the World Urbanization Prospects, projected urbanization levels and uncertainties are provided for 204 countries and areas every five years. The 2010-2100 year-by-year projected urbanization levels and uncertainties based on the annual historical data from the World Bank (WB) for 188 of countries and areas are also provided. The projections based on the two datasets were compared and the latter were validated using the historical values of the WB for the years 2010-2018. The updated dataset of urbanization level is relevant for understanding future socioeconomic development, its implications for climate change and policy planning.</w:t>
      </w:r>
    </w:p>
    <w:p>
      <w:pPr/>
      <w:r>
        <w:rPr>
          <w:b/>
        </w:rPr>
        <w:t>POSSIBLE 2022:</w:t>
      </w:r>
      <w:r>
        <w:t xml:space="preserve"> Global gridded GDP data set consistent with the shared socioeconomic pathways — https://doi.org/10.1038/s41597-022-01300-x</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vulnerability, exposure and resilience of socioeconomic activities to future climate extremes call for high-resolution gridded GDP in climate change adaptation and mitigation research. While global socioeconomic projections are provided mainly at the national level, and downscaling approaches using nighttime light (NTL) images or gridded population data can increase the uncertainty due to limitations. Therefore, we adopt an NTL-population-based approach, which exhibits higher accuracy in socioeconomic disaggregation. Gross regional product of over 800 provinces, which covering over 60% of the global land surface and accounted for more than 80% of GDP in 2005, were used as input. We present a first set of comparable spatially explicit global gridded GDP projections with fine spatial resolutions of 30 arc-seconds and 0.25 arc-degrees for the historical period of 2005 and for 2030-2100 at 10-year intervals under the five SSPs, accounting for the two-child policy in China. This gridded GDP projection dataset can broaden the applicability of GDP data, the availability of which is necessary for socioeconomic and climate change research.</w:t>
      </w:r>
    </w:p>
    <w:p>
      <w:pPr/>
      <w:r>
        <w:rPr>
          <w:b/>
        </w:rPr>
        <w:t>POSSIBLE 2021:</w:t>
      </w:r>
      <w:r>
        <w:t xml:space="preserve"> Future cooling gap in shared socioeconomic pathways — https://doi.org/10.1088/1748-9326/ac2195</w:t>
      </w:r>
    </w:p>
    <w:p>
      <w:pPr/>
      <w:r>
        <w:rPr>
          <w:b/>
        </w:rPr>
        <w:t>Shared claim-specific concepts:</w:t>
      </w:r>
      <w:r>
        <w:t xml:space="preserve"> shared, socioeconomic, pathways, ssps, regional, climate; EU scope not established. This is a provisional connection, not an outcome finding.</w:t>
      </w:r>
    </w:p>
    <w:p>
      <w:pPr>
        <w:pStyle w:val="SourceNote"/>
      </w:pPr>
      <w:r>
        <w:rPr>
          <w:b/>
        </w:rPr>
        <w:t>Available abstract (not full text):</w:t>
      </w:r>
      <w:r>
        <w:t xml:space="preserve"> Abstract The extent to which societies will globally be able to adapt to climate change is not well understood. Here we analyze socioeconomic dimensions of adaptive capacity of populations to deal with heat stress and find income, urbanization and income inequality to be important factors in explaining adaptation to heat stress with air conditioning (AC). Using the scenario framework of the Shared Socioeconomic Pathways (SSPs), we estimate the future cooling gap, which represents the difference between the population exposed to heat stress and the population able to protect against heat stress with AC. Depending on the scenario of socioeconomic development, total population affected by the cooling gap may vary between 2 billion and 5 billion people in 2050, with the scenario-dependent range widening further towards the end of the century. Our analysis shows vast regional inequalities in adaptive capacity for one of the most universal manifestations of climate change, underscoring the need to account for the different potential levels of adaptive capacity in assessments of climate change impacts.</w:t>
      </w:r>
    </w:p>
    <w:p>
      <w:pPr/>
      <w:r>
        <w:rPr>
          <w:b/>
        </w:rPr>
        <w:t>POSSIBLE 2021:</w:t>
      </w:r>
      <w:r>
        <w:t xml:space="preserve"> China's energy-related carbon emissions projections for the shared socioeconomic pathways — https://doi.org/10.1016/j.resconrec.2021.105456</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Gridded GDP Projections Compatible With the Five SSPs (Shared Socioeconomic Pathways) — https://doi.org/10.3389/fbuil.2021.760306</w:t>
      </w:r>
    </w:p>
    <w:p>
      <w:pPr/>
      <w:r>
        <w:rPr>
          <w:b/>
        </w:rPr>
        <w:t>Shared claim-specific concepts:</w:t>
      </w:r>
      <w:r>
        <w:t xml:space="preserve"> shared, socioeconomic, pathways, ssps, climate; EU scope not established. This is a provisional connection, not an outcome finding.</w:t>
      </w:r>
    </w:p>
    <w:p>
      <w:pPr>
        <w:pStyle w:val="SourceNote"/>
      </w:pPr>
      <w:r>
        <w:rPr>
          <w:b/>
        </w:rPr>
        <w:t>Available abstract (not full text):</w:t>
      </w:r>
      <w:r>
        <w:t xml:space="preserve"> Historical and future spatially explicit population and gross domestic product (GDP) data are essential for the analysis of future climate risks. Unlike population projections that are generally available, GDP projections—particularly for scenarios compatible with shared socioeconomic pathways (SSPs)—are limited. Our objective is to perform a high-resolution and long-term GDP estimation under SSPs utilizing a wide variety of geographic auxiliary information. We estimated the GDP in a 1/12-degree grid scale. The estimation is done through downscaling of historical GDP data for 1850–2010 and SSP future scenario data for 2010–2100. In the downscaling, we first modeled the spatial and economic interactions among cities and projected different future urban growth patterns according to the SSPs. Subsequently, the projected patterns and other auxiliary geographic data were used to estimate the gridded GDP distributions. Finally, the GDP projections were visualized via three-dimensional mapping to enhance the clarity for multiple stakeholders. Our results suggest that the spatial pattern of urban and peri-urban GDP depends considerably on the SSPs; the GDP of the existing major cities grew rapidly under SSP1, moderately grew under SSP 2 and SSP4, slowly grew under SSP3, and dispersed growth under SSP5.</w:t>
      </w:r>
    </w:p>
    <w:p>
      <w:pPr>
        <w:pStyle w:val="Heading2"/>
      </w:pPr>
      <w:r>
        <w:t>761.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2024:</w:t>
      </w:r>
      <w:r>
        <w:t xml:space="preserve"> Discussed Poster Abstracts – PM2 — https://doi.org/10.1111/fcp.13016</w:t>
      </w:r>
    </w:p>
    <w:p>
      <w:pPr/>
      <w:r>
        <w:rPr>
          <w:b/>
        </w:rPr>
        <w:t>Shared claim-specific concepts:</w:t>
      </w:r>
      <w:r>
        <w:t xml:space="preserve"> pm2, two, used; EU scope not established. This is a provisional connection, not an outcome finding.</w:t>
      </w:r>
    </w:p>
    <w:p>
      <w:pPr>
        <w:pStyle w:val="SourceNote"/>
      </w:pPr>
      <w:r>
        <w:rPr>
          <w:b/>
        </w:rPr>
        <w:t>Available abstract (not full text):</w:t>
      </w:r>
      <w:r>
        <w:t xml:space="preserve"> Introduction: Acute generalized exanthematous pustulosis (AGEP) is a rare form of severe cutaneous adverse drug reaction.Because of change regarding drug prescription over time, new drugs emerge as causative agents.Our objective was to assess new drugs associated with AGEP such as heterogeneity regarding delays between drug intake and AGEP onset.Material and methods: We used VigiBase, the WHO pharmacovigilance database.Two periods of interest were extracted: period 1 (2007-2012), as control period; and period 2 (2017-2022) to assess newly associated drugs.Overall reports of AGEP recorded in period 1 and period 2 were analyzed.To assess drug associated with AGEP, the information component and the lower limit of its 95% credibility interval (IC025) was used.IC025 ≥ 0 is the statistical threshold used in Vigibase.Additionally, in order to group drugs according to the delay between drug intake and AGEP onset, we performed a clustering analysis.Results: A total of 635 and 3832 reports were recorded in period 1 and 2 respectively.A total of 64 drugs were newly associated during period 2. Period 2 particularly highlighted the new association of antimicrobials, such as meropenem (IC025 3.52), valaciclovir (IC025 3.83) and acyclovir (IC025 2.00), nystatin (IC025 3.76) and itraconazole (IC025 2.67), proton pump inhibitors such as pantoprazole (IC025 1.17), diuretics such as acetazolamide</w:t>
      </w:r>
    </w:p>
    <w:p>
      <w:pPr/>
      <w:r>
        <w:rPr>
          <w:b/>
        </w:rPr>
        <w:t>POSSIBLE 2024:</w:t>
      </w:r>
      <w:r>
        <w:t xml:space="preserve"> Time Series Analysis PM2•5 Concentration for Capital City Dhaka from 2016 to 2023 — https://doi.org/10.11648/sf.20240501.15</w:t>
      </w:r>
    </w:p>
    <w:p>
      <w:pPr/>
      <w:r>
        <w:rPr>
          <w:b/>
        </w:rPr>
        <w:t>Shared claim-specific concepts:</w:t>
      </w:r>
      <w:r>
        <w:t xml:space="preserve"> pm2, significant, biomass, burning, range; EU scope not established. This is a provisional connection, not an outcome finding.</w:t>
      </w:r>
    </w:p>
    <w:p>
      <w:pPr>
        <w:pStyle w:val="SourceNote"/>
      </w:pPr>
      <w:r>
        <w:rPr>
          <w:b/>
        </w:rPr>
        <w:t>Available abstract (not full text):</w:t>
      </w:r>
      <w:r>
        <w:t xml:space="preserve"> Dhaka, as the epicenter of economic, political, and cultural activity, has been actively pursuing urbanization, modernization, and development in line with global trends. The rise in unplanned urbanization, industrialization, and other human activities have led to an escalation in air pollution levels. The quality of air in Dhaka is progressively declining over time. It has become a significant challenge due to its detrimental effects on both human health and the environment. The objectives of the study to analyze the air quality in Dhaka city over eight years, from 2016 to 2023 and to assess the relation between concentration of PM2•5 and meteorological characteristics in Dhaka city. AQI and PM2•5 data has been collected from the website of U.S. Embassy Dhaka and meteorological data from the Bangladesh Meteorological Department (BMD). Data processing and analysis have been conducted by using SPSS and Microsoft Excel. Annual variations indicated that 2023 experienced the highest air pollution levels with an average PM2•5 concentration of 103.67 µg/m³ which is 2.96 times higher than the national ambient air quality standards level. Furthermore, shifting variation analysis demonstrated that air quality deteriorated in the night to morning, reaching an unhealthy level, largely attributed to heavy traffic. Along with that seasonal variations illustrate that winter had the highest P</w:t>
      </w:r>
    </w:p>
    <w:p>
      <w:pPr/>
      <w:r>
        <w:rPr>
          <w:b/>
        </w:rPr>
        <w:t>POSSIBLE 2024:</w:t>
      </w:r>
      <w:r>
        <w:t xml:space="preserve"> Estimates of global mortality burden associated with short-term exposure to fine particulate matter (PM2·5) — https://doi.org/10.1016/s2542-5196(24)00003-2</w:t>
      </w:r>
    </w:p>
    <w:p>
      <w:pPr/>
      <w:r>
        <w:rPr>
          <w:b/>
        </w:rPr>
        <w:t>Shared claim-specific concepts:</w:t>
      </w:r>
      <w:r>
        <w:t xml:space="preserve"> concentrations, pm2, not; EU scope not established. This is a provisional connection, not an outcome finding.</w:t>
      </w:r>
    </w:p>
    <w:p>
      <w:pPr>
        <w:pStyle w:val="SourceNote"/>
      </w:pPr>
      <w:r>
        <w:rPr>
          <w:b/>
        </w:rPr>
        <w:t>Available abstract (not full text):</w:t>
      </w:r>
      <w:r>
        <w:t xml:space="preserve"> Background The acute health effects of short-term (hours to days) exposure to fine particulate matter (PM 2·5 ) have been well documented; however, the global mortality burden attributable to this exposure has not been estimated. We aimed to estimate the global, regional, and urban mortality burden associated with short-term exposure to PM 2·5 and the spatiotemporal variations in this burden from 2000 to 2019. Methods We combined estimated global daily PM 2·5 concentrations, annual population counts, country-level mortality rates, and epidemiologically derived exposure–response functions to estimate the mortality attributable to short-term PM 2·5 exposure from 2000 to 2019, in the continental regions and in 13 189 urban centres worldwide at a spatial resolution of 0·1° × 0·1°. We tested the robustness of our mortality estimates with different theoretical minimum risk exposure levels, lag effects, and exposure–response functions. Findings Approximately 1 million (95% CI 690 000–1·3 million) premature deaths per year from 2000 to 2019 were attributable to short-term PM 2·5 exposure, representing 2·08% (1·41–2·75) of total global deaths or 17 (11–22) premature deaths per 100 000 population. Annually, 0·23 million (0·15 million–0·30 million) deaths attributable to short-term PM 2·5 exposure were in urban areas, constituting 22·74% of the total global deaths attributable to this cau</w:t>
      </w:r>
    </w:p>
    <w:p>
      <w:pPr/>
      <w:r>
        <w:rPr>
          <w:b/>
        </w:rPr>
        <w:t>POSSIBLE 2024:</w:t>
      </w:r>
      <w:r>
        <w:t xml:space="preserve"> Estimating the effect of annual PM2·5 exposure on mortality in India: a difference-in-differences approach — https://doi.org/10.1016/s2542-5196(24)00248-1</w:t>
      </w:r>
    </w:p>
    <w:p>
      <w:pPr/>
      <w:r>
        <w:rPr>
          <w:b/>
        </w:rPr>
        <w:t>Shared claim-specific concepts:</w:t>
      </w:r>
      <w:r>
        <w:t xml:space="preserve"> concentrations, pm2, not, increase, use, system; EU scope not established. This is a provisional connection, not an outcome finding.</w:t>
      </w:r>
    </w:p>
    <w:p>
      <w:pPr>
        <w:pStyle w:val="SourceNote"/>
      </w:pPr>
      <w:r>
        <w:rPr>
          <w:b/>
        </w:rPr>
        <w:t>Available abstract (not full text):</w:t>
      </w:r>
      <w:r>
        <w:t xml:space="preserve"> Background In 2019, the Global Burden of Diseases, Injuries, and Risk Factors Study attributed 0·98 million deaths to ambient air pollution in India based on potentially inappropriate exposure–response functions from countries with low air pollution levels. Instead, using data from India, we investigated long-term exposure to PM 2·5 and all-cause mortality with a causal inference method. Methods We collected national counts of annual mortality from 2009 to 2019 from the Civil Registration System at the district level to calculate annual district-level mortality rate as our main outcome and obtained annual PM 2·5 concentrations from a high-resolution spatiotemporal model. We applied an extended version of the difference-in-differences design by use of generalised additive models with quasi-Poisson distribution, including indicator variables and separate time trends for spatial administrative divisions. PM 2·5 concentrations obtained at 1 km × 1 km spatial resolution across the country were used to calculate annual district-level mean PM 2·5 concentrations. Similarly, we collected confounders at the district level, such as mean and SD of quarterly temperatures, gross domestic product per capita, population aged 60 years or older, clean cooking fuel usage, literacy in women, and median age. The spatial unit of analysis was administrative division. Findings The annual median popula</w:t>
      </w:r>
    </w:p>
    <w:p>
      <w:pPr/>
      <w:r>
        <w:rPr>
          <w:b/>
        </w:rPr>
        <w:t>POSSIBLE 2024:</w:t>
      </w:r>
      <w:r>
        <w:t xml:space="preserve"> Seasonal Trend Analysis of Major Air Pollutant (PM2:5 and PM10) Concentration in Visakhapatnam During 2020 – 2022: A Case Study — https://doi.org/10.17485/ijst/v17i3.2549</w:t>
      </w:r>
    </w:p>
    <w:p>
      <w:pPr/>
      <w:r>
        <w:rPr>
          <w:b/>
        </w:rPr>
        <w:t>Shared claim-specific concepts:</w:t>
      </w:r>
      <w:r>
        <w:t xml:space="preserve"> concentrations, pm2, decrease, range; EU scope not established. This is a provisional connection, not an outcome finding.</w:t>
      </w:r>
    </w:p>
    <w:p>
      <w:pPr>
        <w:pStyle w:val="SourceNote"/>
      </w:pPr>
      <w:r>
        <w:rPr>
          <w:b/>
        </w:rPr>
        <w:t>Available abstract (not full text):</w:t>
      </w:r>
      <w:r>
        <w:t xml:space="preserve"> Objective: The main objective of the present study is to analyze the seasonal variations of major particulate air pollutants (PM2.5 and PM10) from January 2020 to December 2022 in the industrially developed Visakhapatnam City and its comparison with previous existing studies from January 2018 - December 2020. Methods: The real-time daily mass concentrations of air pollutants in Visakhapatnam recorded by the Central Pollution Control Board (CPCB) are collected for the present study. The monthly average observations of pollutants such as PM2.5, PM10, and PM2.5/PM10 in each season are considered for the present study, and pollutants trends are studied from January 2020 - December 2022. The fine particles below 100μm (RSPM) and coarse particles &gt; 100μm (TSPM) are treated as primary pollutants and pollutant concentration is determined based on prevailing meteorological and topographic factors. In the present study, the pollutant intensity is analyzed using the Pearson correlation coefficient for various seasons. Similarly, statistical analysis is also implemented on particulate air pollutants (PM2.5 and PM10) from January 2020 to December 2022. Findings: From Table 1 PM2.5 levels fall within the range of 16 - 96 μg/m3 and the minimum PM2.5 level is in April 2020 and maximum in December 2020. According to AQI standards, moderate pollution indicates the fall of the PM10 levels within </w:t>
      </w:r>
    </w:p>
    <w:p>
      <w:pPr/>
      <w:r>
        <w:rPr>
          <w:b/>
        </w:rPr>
        <w:t>POSSIBLE 2024:</w:t>
      </w:r>
      <w:r>
        <w:t xml:space="preserve"> Trends in Air Pollution in Europe, 2000–2019 — https://doi.org/10.4209/aaqr.230237</w:t>
      </w:r>
    </w:p>
    <w:p>
      <w:pPr/>
      <w:r>
        <w:rPr>
          <w:b/>
        </w:rPr>
        <w:t>Shared claim-specific concepts:</w:t>
      </w:r>
      <w:r>
        <w:t xml:space="preserve"> concentrations, pm2, show, significant;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pm2, show, larger, not, significant, used;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pStyle w:val="Heading2"/>
      </w:pPr>
      <w:r>
        <w:t>762.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2024:</w:t>
      </w:r>
      <w:r>
        <w:t xml:space="preserve"> Atrial fibrillation burden: a new outcome predictor and therapeutic target — https://doi.org/10.1093/eurheartj/ehae373</w:t>
      </w:r>
    </w:p>
    <w:p>
      <w:pPr/>
      <w:r>
        <w:rPr>
          <w:b/>
        </w:rPr>
        <w:t>Shared claim-specific concepts:</w:t>
      </w:r>
      <w:r>
        <w:t xml:space="preserve"> outcomes, relation; EU scope not established. This is a provisional connection, not an outcome finding.</w:t>
      </w:r>
    </w:p>
    <w:p>
      <w:pPr>
        <w:pStyle w:val="SourceNote"/>
      </w:pPr>
      <w:r>
        <w:rPr>
          <w:b/>
        </w:rPr>
        <w:t>Available abstract (not full text):</w:t>
      </w:r>
      <w:r>
        <w:t xml:space="preserve"> Atrial fibrillation (AF), the most common sustained cardiac arrhythmia, is not a dichotomous disease trait. Technological innovations enable long-term rhythm monitoring in many patients and can estimate AF burden. These technologies are already used to detect and monitor AF. This review describes the relation between AF burden and outcomes and potential effects of AF burden reduction. A lower AF burden is associated with a lower risk of stroke and heart failure in patients with AF: stroke risk without anticoagulation is lower in patients with device-detected AF and a low AF burden (stroke rate 1%/year) than in patients with persistent and permanent AF (stroke rate 3%/year). Paroxysmal AF shows intermediate stroke rates (2%/year). Atrial fibrillation burden-reducing interventions can reduce cardiovascular outcomes in patients with AF: early rhythm control reduces cardiovascular events including stroke and heart failure in patients with recently diagnosed AF and cardiovascular conditions. In patients with heart failure and AF, early rhythm control and AF ablation, interventions that reduce AF burden, reduce mortality and heart failure events. Recent technological innovations allow to estimate AF burden in clinical care, creating opportunities and challenges. While evidence remains limited, the existing data already suggest that AF burden reduction could be a therapeutic goal. In </w:t>
      </w:r>
    </w:p>
    <w:p>
      <w:pPr/>
      <w:r>
        <w:rPr>
          <w:b/>
        </w:rPr>
        <w:t>POSSIBLE 2023:</w:t>
      </w:r>
      <w:r>
        <w:t xml:space="preserve"> European Consensus Guidelines on the Management of Respiratory Distress Syndrome: 2022 Update — https://doi.org/10.1159/000528914</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Respiratory distress syndrome (RDS) care pathways evolve slowly as new evidence emerges. We report the sixth version of "European Guidelines for the Management of RDS" by a panel of experienced European neonatologists and an expert perinatal obstetrician based on available literature up to end of 2022. Optimising outcome for babies with RDS includes prediction of risk of preterm delivery, appropriate maternal transfer to a perinatal centre, and appropriate and timely use of antenatal steroids. Evidence-based lung-protective management includes initiation of non-invasive respiratory support from birth, judicious use of oxygen, early surfactant administration, caffeine therapy, and avoidance of intubation and mechanical ventilation where possible. Methods of ongoing non-invasive respiratory support have been further refined and may help reduce chronic lung disease. As technology for delivering mechanical ventilation improves, the risk of causing lung injury should decrease, although minimising time spent on mechanical ventilation by targeted use of postnatal corticosteroids remains essential. The general care of infants with RDS is also reviewed, including emphasis on appropriate cardiovascular support and judicious use of antibiotics as being important determinants of best outcome. We would like to dedicate this guideline to the memory of Professor Henry Halliday who died on Nov</w:t>
      </w:r>
    </w:p>
    <w:p>
      <w:pPr/>
      <w:r>
        <w:rPr>
          <w:b/>
        </w:rPr>
        <w:t>POSSIBLE 2023:</w:t>
      </w:r>
      <w:r>
        <w:t xml:space="preserve"> Spatial planning systems in Europe — https://doi.org/10.2298/gsgd2302177t</w:t>
      </w:r>
    </w:p>
    <w:p>
      <w:pPr/>
      <w:r>
        <w:rPr>
          <w:b/>
        </w:rPr>
        <w:t>Shared claim-specific concepts:</w:t>
      </w:r>
      <w:r>
        <w:t xml:space="preserve"> national, system; EU scope visible. This is a provisional connection, not an outcome finding.</w:t>
      </w:r>
    </w:p>
    <w:p>
      <w:pPr>
        <w:pStyle w:val="SourceNote"/>
      </w:pPr>
      <w:r>
        <w:rPr>
          <w:b/>
        </w:rPr>
        <w:t>Available abstract (not full text):</w:t>
      </w:r>
      <w:r>
        <w:t xml:space="preserve"> The paper aims to present the most significant classifications of spatial planning systems and territorial management in Europe. After the first attempts, from the end of the last century, at the beginning of the new millennium, extensive analyses of the spatial planning system were carried out through several ESPON projects. Their results were based on the dominance of one of four approaches: urbanism, land use, regional-economic or comprehensive integrated planning. Some countries have a combination of two or three approaches. The second research also refers to the development trends observed in the national systems of territorial management and spatial planning. Recent research include the classification of states according to the way of management, the level of integration of sectoral policies, the degree of adaptability in planning, as well as the degree of engagement of citizens in the planning process. Knowing the basic characteristics of the spatial planning system, as well as the classifications based on them, creates a clearer perspective of spatial planning as a socially important activity and makes it easier for every country to review and improve its planning practice.</w:t>
      </w:r>
    </w:p>
    <w:p>
      <w:pPr/>
      <w:r>
        <w:rPr>
          <w:b/>
        </w:rPr>
        <w:t>POSSIBLE 2022:</w:t>
      </w:r>
      <w:r>
        <w:t xml:space="preserve"> Understanding Public Support for European Protected Areas: A Review of the Literature and Proposing a New Approach for Policy Makers — https://doi.org/10.3390/land11050733</w:t>
      </w:r>
    </w:p>
    <w:p>
      <w:pPr/>
      <w:r>
        <w:rPr>
          <w:b/>
        </w:rPr>
        <w:t>Shared claim-specific concepts:</w:t>
      </w:r>
      <w:r>
        <w:t xml:space="preserve"> outcomes, support, system; EU scope visible. This is a provisional connection, not an outcome finding.</w:t>
      </w:r>
    </w:p>
    <w:p>
      <w:pPr>
        <w:pStyle w:val="SourceNote"/>
      </w:pPr>
      <w:r>
        <w:rPr>
          <w:b/>
        </w:rPr>
        <w:t>Available abstract (not full text):</w:t>
      </w:r>
      <w:r>
        <w:t xml:space="preserve"> Protected Areas are the most widely applied policy tool for biodiversity conservation. In Europe, protected areas are expected to significantly increase as the new EU Biodiversity strategy sets an ambitious target of 30% of land and 30% of water to be protected by 2030. Despite the popularity of this environmental policy, understanding variations in the level of public support for protected areas remains underexplored. This is an important area of research, considering that, in order for protected areas to be effective, they need to be supported by most users, including local communities and visitors. In this paper, we reviewed theoretical and empirical evidence explaining the level of support for protected areas and proposed a new approach when designing and designating protected areas in Europe. This approach models the process of the introduction of a new protected area as a policy intervention within a socio-ecological system. Specifically, it models how protected area social outcomes or impacts are conditioned and contextualised by numerous intervening factors relating to the social context and governance and management system to influence local actors’ attitude and active support for the protected area. This new approach aims to assist policy makers, conservation practitioners and scientists to plan actions that assist in increasing the level of public support for protect</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Cancer-related cognitive impairment in non-CNS cancer patients: Targeted review and future action plans in Europe — https://doi.org/10.1016/j.critrevonc.2022.103859</w:t>
      </w:r>
    </w:p>
    <w:p>
      <w:pPr/>
      <w:r>
        <w:rPr>
          <w:b/>
        </w:rPr>
        <w:t>Shared claim-specific concepts:</w:t>
      </w:r>
      <w:r>
        <w:t xml:space="preserve"> plans, system; EU scope visible. This is a provisional connection, not an outcome finding.</w:t>
      </w:r>
    </w:p>
    <w:p>
      <w:pPr>
        <w:pStyle w:val="SourceNote"/>
      </w:pPr>
      <w:r>
        <w:rPr>
          <w:b/>
        </w:rPr>
        <w:t>Available abstract (not full text):</w:t>
      </w:r>
      <w:r>
        <w:t xml:space="preserve"> Cancer-related cognitive impairment (CRCI) has increasingly been identified over the last two decades in non-CNS system cancer patients. Across Europe, researchers have contributed to this effort by developing preclinical models, exploring underlying mechanisms and assessing cognitive and quality of life changes. The ultimate goal is to develop interventions to treat patients experiencing CRCI. To do so, new challenges need to be addressed requiring the implementation of multidisciplinary research groups. In this consensus paper, we summarize the state of the art in the field of CRCI combined with the future challenges and action plans in Europe. These challenges include data sharing/pooling, standardization of assessments as well as assessing additional biomarkers and neuroimaging investigations, notably through translational studies. We conclude this position paper with specific actions for Europe based on shared scientific expert opinion and stakeholders involved in the Innovative Partnership for Action Against Cancer, with a particular focus on cognitive intervention programs.</w:t>
      </w:r>
    </w:p>
    <w:p>
      <w:pPr/>
      <w:r>
        <w:rPr>
          <w:b/>
        </w:rPr>
        <w:t>POSSIBLE 2021:</w:t>
      </w:r>
      <w:r>
        <w:t xml:space="preserve"> SCOPE 2021: a new scorecard for osteoporosis in Europe — https://doi.org/10.1007/s11657-020-00871-9</w:t>
      </w:r>
    </w:p>
    <w:p>
      <w:pPr/>
      <w:r>
        <w:rPr>
          <w:b/>
        </w:rPr>
        <w:t>Shared claim-specific concepts:</w:t>
      </w:r>
      <w:r>
        <w:t xml:space="preserve"> system, relation; EU scope visible. This is a provisional connection, not an outcome finding.</w:t>
      </w:r>
    </w:p>
    <w:p>
      <w:pPr>
        <w:pStyle w:val="SourceNote"/>
      </w:pPr>
      <w:r>
        <w:rPr>
          <w:b/>
        </w:rPr>
        <w:t>Available abstract (not full text):</w:t>
      </w:r>
      <w:r>
        <w:t xml:space="preserve"> This scorecard summarises key indicators of the burden of osteoporosis and its management in the 27 member states of the European Union, as well as the UK and Switzerland. The resulting scorecard elements, assembled on a single sheet, provide a unique overview of osteoporosis in Europe. INTRODUCTION: The scorecard for osteoporosis in Europe (SCOPE) is a project of the International Osteoporosis Foundation (IOF) that seeks to raise awareness of osteoporosis care in Europe. The aim of this project was to develop a scorecard and background documents to draw attention to gaps and inequalities in the provision of primary and secondary prevention of fractures due to osteoporosis. METHODS: The SCOPE panel reviewed the information available on osteoporosis and the resulting fractures for each of the 27 countries of the European Union plus the UK and Switzerland (termed EU27+2). The information obtained covered four domains: background information (e.g. the burden of osteoporosis and fractures), policy framework, service provision and service uptake, e.g. the proportion of men and women at high risk that do not receive treatment (the treatment gap). RESULTS: There was a marked difference in fracture risk among the EU27+2 countries. Of concern was the marked heterogeneity in the policy framework, service provision and service uptake for osteoporotic fracture that bore little relation to </w:t>
      </w:r>
    </w:p>
    <w:p>
      <w:pPr/>
      <w:r>
        <w:rPr>
          <w:b/>
        </w:rPr>
        <w:t>POSSIBLE 2021:</w:t>
      </w:r>
      <w:r>
        <w:t xml:space="preserve"> Building Mental Health and Psychosocial Support Capacity During a Pandemic: The Process of Adapting Problem Management Plus for Remote Training and Implementation During COVID-19 in New York City, Europe and East Africa — https://doi.org/10.4103/intv.intv_30_20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On March 11, 2020, COVID-19 was declared a pandemic by the World Health Organization. In response to the sudden rise in COVID-19-related mental health and psychosocial impacts, we embarked on a digital training (e-learning) and remote delivery adaptation for Problem Management Plus Training for Helpers (Remote PM+ Training) based in New York City, four European countries and six African countries. This paper provides an overview of the two Remote PM+ Trainings, including key adaptations and lessons learned across the contexts. Trainings were approximately 75 hours in duration, with a mix of group and individual work, in diverse contexts. Overall, remotely delivered PM+ training and intervention appear appropriate. There were a number of critical lessons learned that contributed to the efficacy of the trainings, such as technological support, digital literacy, preparation and flexibility among the trainers and the trainees. There is also a need for cultural and contextual adaptation towards the delivery of remote training and implementation of PM+. However, the outcomes from these two trainings indicate that PM+ may be adapted for remote (online) training and, if supported with additional studies, could build workforce capacity in contexts in which there is limited in-person access to mental health and psychosocial support services and staff.</w:t>
      </w:r>
    </w:p>
    <w:p>
      <w:pPr/>
      <w:r>
        <w:rPr>
          <w:b/>
        </w:rPr>
        <w:t>POSSIBLE 2020:</w:t>
      </w:r>
      <w:r>
        <w:t xml:space="preserve"> New guidance on the regulation of allergen products: key aspects and outcomes — https://doi.org/10.1097/aci.0000000000000687</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PURPOSE OF REVIEW: Key aspects and outcomes from the recently published guidance on the regulation of allergen products are summarized. RECENT FINDINGS: A new regulatory guideline has been published to enhance harmonized national approaches on the regulation of allergen products and thereby strengthen the availability of high-quality products across the European Union (EU). As the guideline was developed, critical aspects for allergen products regulation were identified and are discussed in the document, including recommendations on the regulatory procedures to be applied for diagnostics, allergen immunotherapy products and named-patient products. SUMMARY: The new guidance is expected to provide clarifications on and support harmonization of the regulation of allergen products in the EU.</w:t>
      </w:r>
    </w:p>
    <w:p>
      <w:pPr/>
      <w:r>
        <w:rPr>
          <w:b/>
        </w:rPr>
        <w:t>POSSIBLE 2019:</w:t>
      </w:r>
      <w:r>
        <w:t xml:space="preserve"> Renewable energy in the European Union: support policy and outcomes — https://doi.org/10.33531/farplss.2019.1.23</w:t>
      </w:r>
    </w:p>
    <w:p>
      <w:pPr/>
      <w:r>
        <w:rPr>
          <w:b/>
        </w:rPr>
        <w:t>Shared claim-specific concepts:</w:t>
      </w:r>
      <w:r>
        <w:t xml:space="preserve"> outcomes, support, energy; EU scope visible. This is a provisional connection, not an outcome finding.</w:t>
      </w:r>
    </w:p>
    <w:p>
      <w:pPr>
        <w:pStyle w:val="SourceNote"/>
      </w:pPr>
      <w:r>
        <w:rPr>
          <w:b/>
        </w:rPr>
        <w:t>Available abstract (not full text):</w:t>
      </w:r>
      <w:r>
        <w:t xml:space="preserve"> The article deals with the study of support schemes for renewable energy promotion in the European Union member states. The main strategic documents that declare short-term and long-term goals to increase the share of green energy in final energy consumption of the European Union are considered. The primary motivational mechanisms aimed at encouraging the production of energy from renewable energy sources, namely feed-in tariff models, feed-in premium model, and tradable green certificate scheme are analyzed. In addition, a number of secondary motivational tools such as tender systems, net metering, tax and customs privileges which are used in combination with the primary mechanisms for more effective promotion of renewable energy are described. The results of the influence of policy in renewable energy field on increasing the share of green energy in the total energy mixes of European Union member states are presented.</w:t>
      </w:r>
    </w:p>
    <w:p>
      <w:pPr/>
      <w:r>
        <w:rPr>
          <w:b/>
        </w:rPr>
        <w:t>POSSIBLE 2019:</w:t>
      </w:r>
      <w:r>
        <w:t xml:space="preserve"> The ‘New’ national development planning and global development goals: Processes and partnerships — https://doi.org/10.1016/j.worlddev.2019.03.013</w:t>
      </w:r>
    </w:p>
    <w:p>
      <w:pPr/>
      <w:r>
        <w:rPr>
          <w:b/>
        </w:rPr>
        <w:t>Shared claim-specific concepts:</w:t>
      </w:r>
      <w:r>
        <w:t xml:space="preserve"> national, plans; EU scope not established. This is a provisional connection, not an outcome finding.</w:t>
      </w:r>
    </w:p>
    <w:p>
      <w:pPr>
        <w:pStyle w:val="SourceNote"/>
      </w:pPr>
      <w:r>
        <w:rPr>
          <w:b/>
        </w:rPr>
        <w:t>Available abstract (not full text):</w:t>
      </w:r>
      <w:r>
        <w:t xml:space="preserve"> The number of countries with a national development plan has more than doubled, from about 62 in 2006 to 134 in 2018. More than 80 per cent of the global population now lives in a country with a national development plan of one form or another. This is a stunning recovery of a practice that had been discredited in the 1980s and 1990s as a relic of directed economies and state-led development. Several factors have fostered this re-emergence but from about 2015 the momentum for producing plans has accelerated, driven in part by a need to plan for the Sustainable Development Goals (SDGs). Based on an analysis of 107 national development plans, and drawing insights from 10 case study countries, this paper analyses ‘new’ national development planning and identifies the types and content of the plans, and their implications for the sustainable development agenda. The paper generates a typology of the new national plans, analyses their characteristics and explores the ways in which the new national development planning and the SDGs may interact. The study finds greater ownership and political control of the processes leading to plan production. It also finds that the plans vary in terms of the evidence used, the degree of internal consistency between different parts of the same plan, the process of developing the plan (inclusive or elite-driven), and the extent to which they are clear</w:t>
      </w:r>
    </w:p>
    <w:p>
      <w:pPr>
        <w:pStyle w:val="Heading2"/>
      </w:pPr>
      <w:r>
        <w:t>763.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2024:</w:t>
      </w:r>
      <w:r>
        <w:t xml:space="preserve"> Duckweed: Growth factor and applications in nonfood, food, and health — https://doi.org/10.1002/fsh3.12078</w:t>
      </w:r>
    </w:p>
    <w:p>
      <w:pPr/>
      <w:r>
        <w:rPr>
          <w:b/>
        </w:rPr>
        <w:t>Shared claim-specific concepts:</w:t>
      </w:r>
      <w:r>
        <w:t xml:space="preserve"> nonfood, biofuel, abstract; EU scope not established. This is a provisional connection, not an outcome finding.</w:t>
      </w:r>
    </w:p>
    <w:p>
      <w:pPr>
        <w:pStyle w:val="SourceNote"/>
      </w:pPr>
      <w:r>
        <w:rPr>
          <w:b/>
        </w:rPr>
        <w:t>Available abstract (not full text):</w:t>
      </w:r>
      <w:r>
        <w:t xml:space="preserve"> Abstract Duckweeds are aquatic plants and mainly constitute of five genera, Lemna, Spirodela, Wolffia , Wolffiella, and Landoltia. These are the smallest plants yet having a rapid growth rate. Hence, duckweeds are sustainable food sources for humans and animals, as well as sustainable feedstocks for biochemical production. Previously, duckweeds were discovered for their vital role in water purification by metabolizing chemicals and waste. However, many recent studies have discovered that duckweeds have a high amount of nutrients, which makes them a great substitute in human diets and animal feed. Their nutrient composition and growth rate are greatly affected by environmental factors. Hence, this review summarizes the characteristics of duckweeds, growth rate factors, and their applications in nonfood, food, and health. Duckweeds could improve health due to their large amounts of macro‐ and micronutrients. Future studies on the safety measures and duckweed culture are strongly recommended to safeguard the quality of the plants. Besides that, duckweeds have great potential to be used as heavy metals or contaminants absorbent, as well as a sustainable feedstock for biofuel production.</w:t>
      </w:r>
    </w:p>
    <w:p>
      <w:pPr/>
      <w:r>
        <w:rPr>
          <w:b/>
        </w:rPr>
        <w:t>POSSIBLE 2024:</w:t>
      </w:r>
      <w:r>
        <w:t xml:space="preserve"> Effects of different renewable electricity diffusion paths and restricted european cooperation on Europe's hydrogen supply — https://doi.org/10.1016/j.esr.2024.101589</w:t>
      </w:r>
    </w:p>
    <w:p>
      <w:pPr/>
      <w:r>
        <w:rPr>
          <w:b/>
        </w:rPr>
        <w:t>Shared claim-specific concepts:</w:t>
      </w:r>
      <w:r>
        <w:t xml:space="preserve"> show, increase, technologies, renewable, union, based; EU scope visible. This is a provisional connection, not an outcome finding.</w:t>
      </w:r>
    </w:p>
    <w:p>
      <w:pPr>
        <w:pStyle w:val="SourceNote"/>
      </w:pPr>
      <w:r>
        <w:rPr>
          <w:b/>
        </w:rPr>
        <w:t>Available abstract (not full text):</w:t>
      </w:r>
      <w:r>
        <w:t xml:space="preserve"> Today, most hydrogen production is based on natural gas and occurs locally at the demand sites. However, according to many studies, hydrogen generation will shift to greenhouse gas (GHG)-neutral sources and supply, substantially increasing demands to meet ambitious climate protection targets in the European Union. Therefore, the model-based analysis in this paper addresses where hydrogen will come from in a GHG-neutral target system. A scenario study examines different expansion paths of renewable energy generation technologies and variations in European cooperation regarding energy trading. The model results show that a domestic European hydrogen supply strategy is cost-efficient. This result is robust even with higher self-sufficiency shares of individual countries. However, delayed or restricted expansions of renewable electricity generation technologies lead to increased hydrogen demands for power generation and increased pipeline-bound hydrogen imports in winter from the Middle East and North Africa in the model results. Furthermore, scenarios with higher photovoltaic shares exhibit increased demand for hydrogen storage for seasonal energy supply and demand balancing and increased hydrogen demands for power generation. A cost-efficient hydrogen supply strategy should, therefore, particularly focus on the expansion of onshore wind energy and hydrogen supply technologies in </w:t>
      </w:r>
    </w:p>
    <w:p>
      <w:pPr/>
      <w:r>
        <w:rPr>
          <w:b/>
        </w:rPr>
        <w:t>POSSIBLE 2023:</w:t>
      </w:r>
      <w:r>
        <w:t xml:space="preserve"> Impact of Digital Transformation on the Spatial Organization of Nonfood Retail in a Russian City — https://doi.org/10.1134/s2079970523700910</w:t>
      </w:r>
    </w:p>
    <w:p>
      <w:pPr/>
      <w:r>
        <w:rPr>
          <w:b/>
        </w:rPr>
        <w:t>Shared claim-specific concepts:</w:t>
      </w:r>
      <w:r>
        <w:t xml:space="preserve"> nonfood, abstract; EU scope not established. This is a provisional connection, not an outcome finding.</w:t>
      </w:r>
    </w:p>
    <w:p>
      <w:pPr>
        <w:pStyle w:val="SourceNote"/>
      </w:pPr>
      <w:r>
        <w:rPr>
          <w:b/>
        </w:rPr>
        <w:t>Available abstract (not full text):</w:t>
      </w:r>
      <w:r>
        <w:t xml:space="preserve"> Abstract — The objective of this study is to reveal what has changed under the influence of digital transformation in the “physical” spatial structure of the retail/purchase process in connection with the emergence of a choice between online and offline “spaces,” or environments, as well as how e-commerce has changed the “physical” spatial principles of organizing nonfood retail in a Russian city with a case study of St. Petersburg. The principles of placement of new e-commerce facilities were analyzed by comparing various shopping models and spatiotemporal systems formed by them, including specific objects (warehouses-stores, warehouses-distributors, order pickup points and parcel terminals), features of interaction between retail actors and transport and logistics flows in the city. Two opposing trends in the placement of new types of retail facilities are described: towards the transfer of the trading function to non-trading premises and the transfer of the non-trading retail function to retail premises. They create spatial competition with traditional retail as well as a new hierarchical competition with office and warehouse business types. The trend towards retail infrastructure for durable goods to be within walking distance means the rollout of a new type of competition for locations: with FMCG sellers. The fact that in delivery the logistics of the “last mile” passes fr</w:t>
      </w:r>
    </w:p>
    <w:p>
      <w:pPr/>
      <w:r>
        <w:rPr>
          <w:b/>
        </w:rPr>
        <w:t>POSSIBLE 2022:</w:t>
      </w:r>
      <w:r>
        <w:t xml:space="preserve"> A review of product safety regulations in the European Union — https://doi.org/10.1365/s43439-022-00057-8</w:t>
      </w:r>
    </w:p>
    <w:p>
      <w:pPr/>
      <w:r>
        <w:rPr>
          <w:b/>
        </w:rPr>
        <w:t>Shared claim-specific concepts:</w:t>
      </w:r>
      <w:r>
        <w:t xml:space="preserve"> nonfood, technologies, union, based; EU scope visible. This is a provisional connection, not an outcome finding.</w:t>
      </w:r>
    </w:p>
    <w:p>
      <w:pPr>
        <w:pStyle w:val="SourceNote"/>
      </w:pPr>
      <w:r>
        <w:rPr>
          <w:b/>
        </w:rPr>
        <w:t>Available abstract (not full text):</w:t>
      </w:r>
      <w:r>
        <w:t xml:space="preserve"> Product safety has been a concern in Europe ever since the early 1960s. Despite the long and relatively stable historical lineage of product safety regulations, new technologies, changes in the world economy, and other major transformations have in recent years again brought product safety to the forefront of policy debates. As reforms are also underway, there is a motivation to review the complex safety policy framework in the European Union (EU). Thus, building on deliberative policy analysis and an interpretative literature review, this paper reviews the safety policy for nonfood consumer products in the EU. The review covers the historical background and the main laws, administration and enforcement, standardization and harmonization, laws enacted for specific products, notifications delivered by national safety authorities, recalls of dangerous products, and the liability of these. Based on the review and analysis of these themes and the associated literature, some current policy challenges are further discussed.</w:t>
      </w:r>
    </w:p>
    <w:p>
      <w:pPr/>
      <w:r>
        <w:rPr>
          <w:b/>
        </w:rPr>
        <w:t>POSSIBLE 2022:</w:t>
      </w:r>
      <w:r>
        <w:t xml:space="preserve"> Diversification, concentration and renewability of the energy supply in the European Union — https://doi.org/10.1016/j.energy.2022.124097</w:t>
      </w:r>
    </w:p>
    <w:p>
      <w:pPr/>
      <w:r>
        <w:rPr>
          <w:b/>
        </w:rPr>
        <w:t>Shared claim-specific concepts:</w:t>
      </w:r>
      <w:r>
        <w:t xml:space="preserve"> show, present, renewable, fuel, union; EU scope visible. This is a provisional connection, not an outcome finding.</w:t>
      </w:r>
    </w:p>
    <w:p>
      <w:pPr>
        <w:pStyle w:val="SourceNote"/>
      </w:pPr>
      <w:r>
        <w:rPr>
          <w:b/>
        </w:rPr>
        <w:t>Available abstract (not full text):</w:t>
      </w:r>
      <w:r>
        <w:t xml:space="preserve"> Energy security assessment quantifies the energy supply to a population and the likelihood, or risk, of an energy disruption or shortage and represents an important aspect of national security, economic stability and prosperity. The quantification of the state of energy supply is context-dependent and involves multiple perspectives: infrastructural, technological, environmental, market, social and geopolitical. Among all the different and relevant aspects involved, diversity and dependence of the energy fuel mix are two of the main energy security dimensions. The present paper investigates the diversification of the energy supply in Europe, by analysing import dependence, market concentration and renewable energy resource deployment in the European Union over the last decade. The analysis utilises a set of indicators aimed at measuring the fuel mix diversity, market concentration, geopolitical stability, renewable energy share and stochasticity - both at single country and at aggregated European levels. Results show a stable evolution of the diversity of the fuel mix and a relatively low market concentration of the period examined. However, the import dependency reduces the energy security by approximately 30% due to the high proportion of imports from a limited number of countries. Moreover, an increasing trend in renewable electricity production share is evident over the last</w:t>
      </w:r>
    </w:p>
    <w:p>
      <w:pPr/>
      <w:r>
        <w:rPr>
          <w:b/>
        </w:rPr>
        <w:t>POSSIBLE 2022:</w:t>
      </w:r>
      <w:r>
        <w:t xml:space="preserve"> A Review on Supply Costs and Prices of Residual Biomass in Techno-Economic Models for Europe — https://doi.org/10.3390/su14127473</w:t>
      </w:r>
    </w:p>
    <w:p>
      <w:pPr/>
      <w:r>
        <w:rPr>
          <w:b/>
        </w:rPr>
        <w:t>Shared claim-specific concepts:</w:t>
      </w:r>
      <w:r>
        <w:t xml:space="preserve"> show, provided, based; EU scope visible. This is a provisional connection, not an outcome finding.</w:t>
      </w:r>
    </w:p>
    <w:p>
      <w:pPr>
        <w:pStyle w:val="SourceNote"/>
      </w:pPr>
      <w:r>
        <w:rPr>
          <w:b/>
        </w:rPr>
        <w:t>Available abstract (not full text):</w:t>
      </w:r>
      <w:r>
        <w:t xml:space="preserve"> This review paper aims to investigate the supply costs and prices for biogenic residues, wastes and by-products for Europe that are used as key economic parameters for techno-economic analyses in the relevant literature. The scope of the paper is to show: (i) which information on costs and prices is used in techno-economic models; (ii) which sources these monetary values are based on; and (iii) whether these values are able to be compared and classified. The methodology employed in this review paper is a systematic evaluation of the supply costs and prices for residual biomass used as the basis for techno-economic analyses in the literature. Three evaluation criteria (COST TYPE, TIME PERIOD and COST SCOPE) are used to operationalise the scope of the delivery, the time frame and the spatial resolution of the monetary values. The pricing and cost variables UNIT and BIOMASS are also studied. The results show that the supply costs and pricing differ in terms of the units used, the scope of the delivery and the spatial scale, making it difficult to compare individual studies or transfer the findings to other use cases. The costs and pricing examined range from 0.00 EUR/Mg (dm) for “bio-waste from private households” to a regional value of 1097.02 EUR/Mg (dm) for “woody biomass from vineyards”. They are rarely based on cost calculations or price analyses over a period of several year</w:t>
      </w:r>
    </w:p>
    <w:p>
      <w:pPr/>
      <w:r>
        <w:rPr>
          <w:b/>
        </w:rPr>
        <w:t>POSSIBLE 2021:</w:t>
      </w:r>
      <w:r>
        <w:t xml:space="preserve"> An integrated life cycle and water footprint assessment of nonfood crops based bioenergy production — https://doi.org/10.1038/s41598-021-83061-y</w:t>
      </w:r>
    </w:p>
    <w:p>
      <w:pPr/>
      <w:r>
        <w:rPr>
          <w:b/>
        </w:rPr>
        <w:t>Shared claim-specific concepts:</w:t>
      </w:r>
      <w:r>
        <w:t xml:space="preserve"> nonfood, technologies, based; EU scope not established. This is a provisional connection, not an outcome finding.</w:t>
      </w:r>
    </w:p>
    <w:p>
      <w:pPr>
        <w:pStyle w:val="SourceNote"/>
      </w:pPr>
      <w:r>
        <w:rPr>
          <w:b/>
        </w:rPr>
        <w:t>Available abstract (not full text):</w:t>
      </w:r>
      <w:r>
        <w:t xml:space="preserve"> Biomass gasification, especially distribution to power generation, is considered as a promising way to tackle global energy and environmental challenges. However, previous researches on integrated analysis of the greenhouse gases (GHG) abatement potentials associated with biomass electrification are sparse and few have taken the freshwater utilization into account within a coherent framework, though both energy and water scarcity are lying in the central concerns in China's environmental policy. This study employs a Life cycle assessment (LCA) model to analyse the actual performance combined with water footprint (WF) assessment methods. The inextricable trade-offs between three representative energy-producing technologies are explored based on three categories of non-food crops (maize, sorghum and hybrid pennisetum) cultivated in marginal arable land. WF results demonstrate that the Hybrid pennisetum system has the largest impact on the water resources whereas the other two technology options exhibit the characteristics of environmental sustainability. The large variances in contribution ratio between the four sub-processes in terms of total impacts are reflected by the LCA results. The Anaerobic Digestion process is found to be the main contributor whereas the Digestate management process is shown to be able to effectively mitigate the negative environmental impacts with an ab</w:t>
      </w:r>
    </w:p>
    <w:p>
      <w:pPr/>
      <w:r>
        <w:rPr>
          <w:b/>
        </w:rPr>
        <w:t>POSSIBLE 2021:</w:t>
      </w:r>
      <w:r>
        <w:t xml:space="preserve"> The impacts of the electricity demand pattern on electricity system cost and the electricity supply mix: A comprehensive modeling analysis for Europe — https://doi.org/10.1016/j.energy.2021.121329</w:t>
      </w:r>
    </w:p>
    <w:p>
      <w:pPr/>
      <w:r>
        <w:rPr>
          <w:b/>
        </w:rPr>
        <w:t>Shared claim-specific concepts:</w:t>
      </w:r>
      <w:r>
        <w:t xml:space="preserve"> show, increase, present; EU scope visible. This is a provisional connection, not an outcome finding.</w:t>
      </w:r>
    </w:p>
    <w:p>
      <w:pPr>
        <w:pStyle w:val="SourceNote"/>
      </w:pPr>
      <w:r>
        <w:rPr>
          <w:b/>
        </w:rPr>
        <w:t>Available abstract (not full text):</w:t>
      </w:r>
      <w:r>
        <w:t xml:space="preserve"> Energy system models for long-term planning are widely used to explore the future electricity system. Typically, to represent the future electricity demand in these models, historical demand profiles are used directly or scaled up linearly. Although the volume change for the electricity demand is considered, the potential change of the demand pattern is ignored. Meanwhile, the future electricity demand pattern is highly uncertain due to various factors, including climate change, e-mobility, electric heating, and electric cooling. We use a techno-economic cost optimization model to investigate a stylized case and assess the effects on system cost and electricity supply mix of assuming different demand patterns for the models. Our results show that differences in diurnal demand patterns affect the system cost by less than 3%. Similarly, demand profiles with a flat seasonal variation or a winter peak result in only minor changes in system cost, as compared to the present demand profile. Demand profiles with a summer peak may display a system cost increase of up to 8%, whereas the electricity supply mix may differ by a factor of two. A more detailed case study is conducted for Europe and the results are consistent with the findings from the stylized case.</w:t>
      </w:r>
    </w:p>
    <w:p>
      <w:pPr/>
      <w:r>
        <w:rPr>
          <w:b/>
        </w:rPr>
        <w:t>POSSIBLE 2021:</w:t>
      </w:r>
      <w:r>
        <w:t xml:space="preserve"> Mixing degree, stand density, and water supply can increase the overyielding of mixed versus monospecific stands in Central Europe — https://doi.org/10.1016/j.foreco.2021.119741</w:t>
      </w:r>
    </w:p>
    <w:p>
      <w:pPr/>
      <w:r>
        <w:rPr>
          <w:b/>
        </w:rPr>
        <w:t>Shared claim-specific concepts:</w:t>
      </w:r>
      <w:r>
        <w:t xml:space="preserve"> show, increase, based; EU scope visible. This is a provisional connection, not an outcome finding.</w:t>
      </w:r>
    </w:p>
    <w:p>
      <w:pPr>
        <w:pStyle w:val="SourceNote"/>
      </w:pPr>
      <w:r>
        <w:rPr>
          <w:b/>
        </w:rPr>
        <w:t>Available abstract (not full text):</w:t>
      </w:r>
      <w:r>
        <w:t xml:space="preserve"> Tree species mixtures can overyield monospecific stands and provide many other advantageous regulating and provisioning ecosystem services. So far, the effect of mixing on growth were mostly described at the individual tree level or cumulatively at the stand level. How overyielding emerges from the mixing pattern, how it is modulated by the current environmental conditions, and how overyielding develops with progressing stand age is largely unexplored. However, such knowledge might promote the silvicultural design of mixed stands. Here, we use 50 long-term experimental plots in Germany with repeated spatially explicit stand inventories. They cover monospecific and mixed species stands of Norway spruce (Picea abies [L.] Karst.) and European beech (Fagus sylvatica L.), sessile oak (Quercus petraea [Matt.] Liebl.) and European beech, and Scots pine (Pinus sylvestris L.) and European beech. The stands represent medium to very good site conditions, fully to moderately thinned 15–238 years-old stands with mixing patterns ranging from single-tree and group-mixture to monospecific stands. The main hypothesis is that mixing pattern, environmental conditions, and stand age modulate the stand growth and overyielding of mixed versus monospecific stands. Based on metrics of mixing the mixing pattern and indices of environmental conditions we show that mixed stands of European beech were on </w:t>
      </w:r>
    </w:p>
    <w:p>
      <w:pPr>
        <w:pStyle w:val="Heading2"/>
      </w:pPr>
      <w:r>
        <w:t>764.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Design anthropology as a design methodology — https://doi.org/10.4324/9781003343134-15</w:t>
      </w:r>
    </w:p>
    <w:p>
      <w:pPr/>
      <w:r>
        <w:rPr>
          <w:b/>
        </w:rPr>
        <w:t>Shared claim-specific concepts:</w:t>
      </w:r>
      <w:r>
        <w:t xml:space="preserve"> design, methodology, fields;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Determining design thinking elements in chemistry education: A Fuzzy Delphi method — https://doi.org/10.26850/1678-4618.eq.v50.2025.e1566</w:t>
      </w:r>
    </w:p>
    <w:p>
      <w:pPr/>
      <w:r>
        <w:rPr>
          <w:b/>
        </w:rPr>
        <w:t>Shared claim-specific concepts:</w:t>
      </w:r>
      <w:r>
        <w:t xml:space="preserve"> design, delphi, method, experts, findings; EU scope not established. This is a provisional connection, not an outcome finding.</w:t>
      </w:r>
    </w:p>
    <w:p>
      <w:pPr>
        <w:pStyle w:val="SourceNote"/>
      </w:pPr>
      <w:r>
        <w:rPr>
          <w:b/>
        </w:rPr>
        <w:t>Available abstract (not full text):</w:t>
      </w:r>
      <w:r>
        <w:t xml:space="preserve"> Creating a high-quality learning environment where students can solve real-world problems and be receptive is essential for fostering students’ innovation competencies. Using appropriate pedagogical strategies and classroom activities is a crucial aspect of Malaysian education. This article uses the Fuzzy Delphi Method (FDM) to design chemistry classroom teaching strategies based on the design thinking paradigm. This research involves 12 experts in purposive sampling to form a diverse panel encompassing expertise in Chemistry Education, Curriculum, Module Development, Research, and Innovation. Using the Fuzzy Delphi method (FDM), the data were analyzed. Four elements for exploratory constructs, two elements for construct interpretation, four elements for ideation, two elements for execution, and three elements for construct evolution met the FDM requirements, according to the findings. Its threshold value is less than 0.2, the expert consensus is less than 75%, and the average score of the fuzzy number is over 0.5. Encouraging design thinking in chemistry classes and thereby enhancing students’ innovation skills, this research unquestionably induces a paradigm shift in teaching practice.</w:t>
      </w:r>
    </w:p>
    <w:p>
      <w:pPr/>
      <w:r>
        <w:rPr>
          <w:b/>
        </w:rPr>
        <w:t>POSSIBLE 2024:</w:t>
      </w:r>
      <w:r>
        <w:t xml:space="preserve"> Methodologies for the design of positive energy districts: A scoping literature review and a proposal for a new approach (PlanPED) — https://doi.org/10.1016/j.buildenv.2024.111667</w:t>
      </w:r>
    </w:p>
    <w:p>
      <w:pPr/>
      <w:r>
        <w:rPr>
          <w:b/>
        </w:rPr>
        <w:t>Shared claim-specific concepts:</w:t>
      </w:r>
      <w:r>
        <w:t xml:space="preserve"> design, approach, then; EU scope visible. This is a provisional connection, not an outcome finding.</w:t>
      </w:r>
    </w:p>
    <w:p>
      <w:pPr>
        <w:pStyle w:val="SourceNote"/>
      </w:pPr>
      <w:r>
        <w:rPr>
          <w:b/>
        </w:rPr>
        <w:t>Available abstract (not full text):</w:t>
      </w:r>
      <w:r>
        <w:t xml:space="preserve"> Cities can substantially contribute to European Green Deal targets by accelerating their transition towards smarter, more efficient, and renewable-based energy models. In that context, European cities need to increase their self-sufficiency and the resilience of their energy system especially through the promotion of district and neighbourhood scale energy projects such as positive energy districts (PEDs). Despite the increasing interest for PEDs experienced in the last years, their deployment is currently hindered by the absence of an energy planning culture and the lack of adequately skilled personnel in cities. Indeed, there is a strong need for practical tools and guidelines that support practitioners in the design and implementation of PEDs. In that context, the present paper introduces PlanPED, a framework for the conception of methodologies for PED planning, design, and implementation, to support municipalities in their energy transition. PlanPED aims at providing a multiple perspective approach based on the most important elements from existing methodologies. In that sense, the paper begins with an overview of the state of the art, leading to the identification of trends, gaps, and good practices of current research. Then, based on this analysis, the novel framework PlanPED is introduced. It consists of three interconnected workflows that, if followed, enables to know w</w:t>
      </w:r>
    </w:p>
    <w:p>
      <w:pPr/>
      <w:r>
        <w:rPr>
          <w:b/>
        </w:rPr>
        <w:t>POSSIBLE 2024:</w:t>
      </w:r>
      <w:r>
        <w:t xml:space="preserve"> A Methodology for Intercultural Design — https://doi.org/10.30682/diid8224j</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Issues concerning integration and the relations between different ethnic groups within a changing contemporary society are becoming increasingly prominent in the social and scientific debate. Design skills can be employed as a tool to systematise this multiplicity, promoting innovation that respects diversity, comparison, and interaction between people and cultures. The purpose of this paper is to provide a synthesis of a research experience, the development of a new Islamic Cultural Centre in the city of Turin (Italy), in which the intercultural design approach constitutes the founding theoretical and methodological basis for the development of the project. Starting from the analysis of experiences developed in the field of national and international research, the authors developed a methodological approach to the theme of designing to promote intercultural dialogue, furthermore establishing collaboration agreements with local authorities for the development of the Cultural Centre.</w:t>
      </w:r>
    </w:p>
    <w:p>
      <w:pPr/>
      <w:r>
        <w:rPr>
          <w:b/>
        </w:rPr>
        <w:t>POSSIBLE 2023:</w:t>
      </w:r>
      <w:r>
        <w:t xml:space="preserve"> Design displacement for lifelines at fault crossings: the code-based approach for Europe — https://doi.org/10.1007/s10518-023-01813-9</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Abstract The earthquake-resistant design of lifelines, such as pipelines, tunnels and bridges, is based on the reliable representation and estimation of the seismic loading. In the case of lifeline–fault crossings, the design fault displacement is typically derived from estimates based on fault dimensions via empirical fault scaling relations for a given “design” scenario event. This approach comes with an unknown level of safety because the fault productivity and the actual distribution of earthquake events are essentially disregarded. To overcome this challenge, a simplified approach is proposed by statistically analyzing the outcome of probabilistic fault displacement hazard analyses (PFDHAs). A selection of faults from the 2020 European Fault-Source Model is used to build the logic tree and to set the range of parameters considered in the PFDHAs. The methodology allows the (mostly conservative) approximation of the fault displacement corresponding to any given return period based on readily available data, namely fault productivity, fault mechanism, fault length, and lifeline crossing location on the fault. The proposed methodology has been proposed and adopted as an informative Annex in prEN 1998-4:2022.</w:t>
      </w:r>
    </w:p>
    <w:p>
      <w:pPr/>
      <w:r>
        <w:rPr>
          <w:b/>
        </w:rPr>
        <w:t>POSSIBLE 2023:</w:t>
      </w:r>
      <w:r>
        <w:t xml:space="preserve"> A Novel Integrated Design Methodology for Nature-Based Solutions and Soil and Water Bioengineering Interventions: The Tardio&amp;Mickovski Methodology — https://doi.org/10.3390/su15043044</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A methodology for designing nature-based solutions (NBS) and soil and water bioengineering (SWB) works is proposed which includes the main particularities of this type of intervention. The dynamic nature of NBS/SWB works, their most important changes and possible critical scenarios are reflected in the proposed methodology. A clear and practical time framework for design checks is also defined. Existing structural design routines and plant root reinforcement models are integrated into the proposed time staged scheme. Likewise, the connections with the monitoring stage and the possibilities of continuous improvement are incorporated as an essential characteristic of the approach of this type of intervention. The proposed methodology is validated by means of a practical case study example embracing the whole service life of an SWB/NBS intervention. The obtained results are in good agreement with both the accumulated experience within the European SWB sector and the existing data collected in SWB monitoring works. The proposed methodology can be readily implemented in a wide range of nature restoration projects and works.</w:t>
      </w:r>
    </w:p>
    <w:p>
      <w:pPr/>
      <w:r>
        <w:rPr>
          <w:b/>
        </w:rPr>
        <w:t>POSSIBLE 2023:</w:t>
      </w:r>
      <w:r>
        <w:t xml:space="preserve"> Methodological approach for an Atlas of architectural design in built heritage: contributions of the School of Porto — https://doi.org/10.1108/jchmsd-08-2023-0131</w:t>
      </w:r>
    </w:p>
    <w:p>
      <w:pPr/>
      <w:r>
        <w:rPr>
          <w:b/>
        </w:rPr>
        <w:t>Shared claim-specific concepts:</w:t>
      </w:r>
      <w:r>
        <w:t xml:space="preserve"> design, methodology, approach, findings; EU scope visible. This is a provisional connection, not an outcome finding.</w:t>
      </w:r>
    </w:p>
    <w:p>
      <w:pPr>
        <w:pStyle w:val="SourceNote"/>
      </w:pPr>
      <w:r>
        <w:rPr>
          <w:b/>
        </w:rPr>
        <w:t>Available abstract (not full text):</w:t>
      </w:r>
      <w:r>
        <w:t xml:space="preserve"> Purpose This research seeks to provide methodological bases for the identification, documentation and critical reflection of good practices of architectural design in built heritage. These are applied explicitly to the School of Porto architects, which express a high sense of pedagogy and community practice in this field. The methodological approach defines the selection criteria for a georeferenced inventory and the procedures for in-depth analysis of adaptive reuse strategies. Design/methodology/approach The works included in the inventory were selected according to geographical, chronological, typological, qualitative and quantitative criteria. The cases chosen for in-depth analysis have been studied along four thematic axes to dissect all the intervention processes (previous state, design/construction and final state). This approach is supported by a cross-analysis of different sources (oral, written, graphic) and using drawing as a fundamental research tool. Findings The research has collected and disseminated up to 150 works by 44 architects, providing a comprehensive portrait of heritage intervention by the School of Porto over the past decades. The selection of 22 buildings for in-depth documentation reveals a particular sensibility toward the cultural values through a case-by-case approach based in deep knowledge of the preexisting context and the introduction of conte</w:t>
      </w:r>
    </w:p>
    <w:p>
      <w:pPr/>
      <w:r>
        <w:rPr>
          <w:b/>
        </w:rPr>
        <w:t>POSSIBLE 2023:</w:t>
      </w:r>
      <w:r>
        <w:t xml:space="preserve"> Delphi Method — https://doi.org/10.54120/jost.0000014</w:t>
      </w:r>
    </w:p>
    <w:p>
      <w:pPr/>
      <w:r>
        <w:rPr>
          <w:b/>
        </w:rPr>
        <w:t>Shared claim-specific concepts:</w:t>
      </w:r>
      <w:r>
        <w:t xml:space="preserve"> approach, delphi, method, anonymous, experts; EU scope not established. This is a provisional connection, not an outcome finding.</w:t>
      </w:r>
    </w:p>
    <w:p>
      <w:pPr>
        <w:pStyle w:val="SourceNote"/>
      </w:pPr>
      <w:r>
        <w:rPr>
          <w:b/>
        </w:rPr>
        <w:t>Available abstract (not full text):</w:t>
      </w:r>
      <w:r>
        <w:t xml:space="preserve"> In this chapter the Delphi method, a dialectical and consensus seeking approach, is applied to management research in ambiguous and uncertain situations. The Delphi method is essentially a process in which responses from many rounds of questions are sent to a group of leaders or experts. This happens for several iterations, and the responses are anonymous and also aggregated prior to sharing in each round. Notably, the leaders/ experts alter their response to the same questions after each round - largely due to the responses they have seen from the larger group. In sum, this process is believed to eventually create consensus as to the correct response for each question.</w:t>
      </w:r>
    </w:p>
    <w:p>
      <w:pPr/>
      <w:r>
        <w:rPr>
          <w:b/>
        </w:rPr>
        <w:t>POSSIBLE 2023:</w:t>
      </w:r>
      <w:r>
        <w:t xml:space="preserve"> RAND Methodological Guidance for Conducting and Critically Appraising Delphi Panels — https://doi.org/10.7249/tla3082-1</w:t>
      </w:r>
    </w:p>
    <w:p>
      <w:pPr/>
      <w:r>
        <w:rPr>
          <w:b/>
        </w:rPr>
        <w:t>Shared claim-specific concepts:</w:t>
      </w:r>
      <w:r>
        <w:t xml:space="preserve"> delphi, method, anonymous; EU scope not established. This is a provisional connection, not an outcome finding.</w:t>
      </w:r>
    </w:p>
    <w:p>
      <w:pPr>
        <w:pStyle w:val="SourceNote"/>
      </w:pPr>
      <w:r>
        <w:rPr>
          <w:b/>
        </w:rPr>
        <w:t>Available abstract (not full text):</w:t>
      </w:r>
      <w:r>
        <w:t xml:space="preserve"> The Delphi method is an iterative, anonymous, structured, expert elicitation and stakeholder engagement technique often used to generate a group consensus. This manual provides methodological guidance and practical advice for what to consider when designing, implementing, and reporting Delphi panel results. It also includes the Delphi Critical Appraisal Tool, a checklist that researchers can use to assess a Delphi study's quality.</w:t>
      </w:r>
    </w:p>
    <w:p>
      <w:pPr/>
      <w:r>
        <w:rPr>
          <w:b/>
        </w:rPr>
        <w:t>POSSIBLE 2022:</w:t>
      </w:r>
      <w:r>
        <w:t xml:space="preserve"> Co-Design of Augmented Reality Games for Learning with Teachers: A methodological approach — https://doi.org/10.21203/rs.3.rs-1988443/v1</w:t>
      </w:r>
    </w:p>
    <w:p>
      <w:pPr/>
      <w:r>
        <w:rPr>
          <w:b/>
        </w:rPr>
        <w:t>Shared claim-specific concepts:</w:t>
      </w:r>
      <w:r>
        <w:t xml:space="preserve"> design, approach, method, relevant; EU scope not established. This is a provisional connection, not an outcome finding.</w:t>
      </w:r>
    </w:p>
    <w:p>
      <w:pPr>
        <w:pStyle w:val="SourceNote"/>
      </w:pPr>
      <w:r>
        <w:rPr>
          <w:b/>
        </w:rPr>
        <w:t>Available abstract (not full text):</w:t>
      </w:r>
      <w:r>
        <w:t xml:space="preserve"> Abstract Augmented Reality Game-Based Learning (ARGBL) is becoming increasingly relevant in Technology-Enhanced Learning. Games with AR characteristics, or even AR applications structured with rules and game elements, are proving to be effective and successful learning experiences. There is a need to include teachers in the design, development and implementation process as to make it more effective. In this paper, two case studies where 6 teachers participated are shown in order to validate a methodological approach for the co-design of ARGBL. This is a co-design method that proposes a thorough, iterative process guided by design principles and mediated by dialogue between the stakeholders. Here, the process of co-design with teachers is analyzed and assessed using mixed-methods observations on the use of the produced ARGBL games with students on naturalistic environments. The validation process links the usefulness of the ensuing products with the use of the method and shows the benefits of using co-design methods to create ARGBL experiences.</w:t>
      </w:r>
    </w:p>
    <w:p>
      <w:pPr>
        <w:pStyle w:val="Heading2"/>
      </w:pPr>
      <w:r>
        <w:t>765.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r>
        <w:rPr>
          <w:b/>
        </w:rPr>
        <w:t>POSSIBLE 2023:</w:t>
      </w:r>
      <w:r>
        <w:t xml:space="preserve"> Exploring European regional trade — https://doi.org/10.82444/warw.33858340</w:t>
      </w:r>
    </w:p>
    <w:p>
      <w:pPr/>
      <w:r>
        <w:rPr>
          <w:b/>
        </w:rPr>
        <w:t>Shared claim-specific concepts:</w:t>
      </w:r>
      <w:r>
        <w:t xml:space="preserve"> also, important, national; EU scope visible. This is a provisional connection, not an outcome finding.</w:t>
      </w:r>
    </w:p>
    <w:p>
      <w:pPr>
        <w:pStyle w:val="SourceNote"/>
      </w:pPr>
      <w:r>
        <w:rPr>
          <w:b/>
        </w:rPr>
        <w:t>Available abstract (not full text):</w:t>
      </w:r>
      <w:r>
        <w:t xml:space="preserve"> We use the new dataset of trade flows across 269 European regions in 24 countries constructed in Santamaría et al. (2020) to systematically explore for the first time trade patterns within and across country borders. We focus on the differences between home trade, country trade and foreign trade. We document the following facts: (i) European regional trade has a strong home and country bias, (ii) geographic distance and national borders are important determinants of regional trade, but cannot explain the strong regional home bias and (iii) the home bias is heterogeneous across regions and seems to be driven by political regional borders. This paper also appears as CAGE Discussion paper 650</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also, system, high;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Exploring Energy Sufficiency Benefits, Limitations, Deployment, and Opportunities in Europe — https://doi.org/10.51505/ijaemr.2023.8316</w:t>
      </w:r>
    </w:p>
    <w:p>
      <w:pPr/>
      <w:r>
        <w:rPr>
          <w:b/>
        </w:rPr>
        <w:t>Shared claim-specific concepts:</w:t>
      </w:r>
      <w:r>
        <w:t xml:space="preserve"> also, deployment, energy; EU scope visible. This is a provisional connection, not an outcome finding.</w:t>
      </w:r>
    </w:p>
    <w:p>
      <w:pPr>
        <w:pStyle w:val="SourceNote"/>
      </w:pPr>
      <w:r>
        <w:rPr>
          <w:b/>
        </w:rPr>
        <w:t>Available abstract (not full text):</w:t>
      </w:r>
      <w:r>
        <w:t xml:space="preserve">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policies, both, national;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r>
        <w:rPr>
          <w:b/>
        </w:rPr>
        <w:t>POSSIBLE 2022:</w:t>
      </w:r>
      <w:r>
        <w:t xml:space="preserve"> European Green Deal necropolitics: Exploring ‘green’ energy transition, degrowth &amp; infrastructural colonization — https://doi.org/10.1016/j.polgeo.2022.102640</w:t>
      </w:r>
    </w:p>
    <w:p>
      <w:pPr/>
      <w:r>
        <w:rPr>
          <w:b/>
        </w:rPr>
        <w:t>Shared claim-specific concepts:</w:t>
      </w:r>
      <w:r>
        <w:t xml:space="preserve"> also, important, deployment, renewable, energy; EU scope visible. This is a provisional connection, not an outcome finding.</w:t>
      </w:r>
    </w:p>
    <w:p>
      <w:pPr>
        <w:pStyle w:val="SourceNote"/>
      </w:pPr>
      <w:r>
        <w:rPr>
          <w:b/>
        </w:rPr>
        <w:t>Available abstract (not full text):</w:t>
      </w:r>
      <w:r>
        <w:t xml:space="preserve"> This article critically examines the GND (Green New Deal) platform by exploring the reality of energy development under the European Green Deal (EGD). Taking a special interest in degrowth positions on energy development, the article argues that the European Green Deal is an exercise in necropolitics; intensifying market relationships, extraction, and infrastructural colonization. The article proceeds by reviewing and discussing recent environmental justice and degrowth positions on energy infrastructural development. The methodology outlines desk-based research on resource extraction as well as on the European energy markets. This accompanies multi-sited ethnographic fieldwork, charting environmental conflicts along a 400kv high-tension power line. This line goes across France, Catalonia and Southern Spain, stretching into Morocco and occupied Western Sahara. Unconventional research techniques, such as hitchhiking, enabled mobility and expanding the informal interview pool. Outlining the objectives of the EGD, the next section examines three aspects of its necropolitics. First, necropolitical economy reveals the reality of energy market liberalization under the EGD. Second, necropolitical extraction examines the expansion of mining and mineral processing, which are necessary for the EGD and ‘mainstream’ GNDs. Third, necropolitical operation reveal the reality of ‘a rapid rollo</w:t>
      </w:r>
    </w:p>
    <w:p>
      <w:pPr/>
      <w:r>
        <w:rPr>
          <w:b/>
        </w:rPr>
        <w:t>POSSIBLE 2021:</w:t>
      </w:r>
      <w:r>
        <w:t xml:space="preserve"> Social Investment, Redistribution or Basic Income? Exploring the Association Between Automation Risk and Welfare State Attitudes in Europe — https://doi.org/10.1017/s0047279421000519</w:t>
      </w:r>
    </w:p>
    <w:p>
      <w:pPr/>
      <w:r>
        <w:rPr>
          <w:b/>
        </w:rPr>
        <w:t>Shared claim-specific concepts:</w:t>
      </w:r>
      <w:r>
        <w:t xml:space="preserve"> also, policies; EU scope visible. This is a provisional connection, not an outcome finding.</w:t>
      </w:r>
    </w:p>
    <w:p>
      <w:pPr>
        <w:pStyle w:val="SourceNote"/>
      </w:pPr>
      <w:r>
        <w:rPr>
          <w:b/>
        </w:rPr>
        <w:t>Available abstract (not full text):</w:t>
      </w:r>
      <w:r>
        <w:t xml:space="preserve"> Abstract Rapid technological change – the digitalization and automation of work – is challenging contemporary welfare states. Most of the existing research, however, focuses on its effect on labor market outcomes, such as employment or wage levels. In contrast, this paper studies the implications of technological change for welfare state attitudes and preferences. Compared to previous work on this topic, this paper adopts a much broader perspective regarding different kinds of social policy. Using data from the European Social Survey, we find that individual automation risk is positively associated with support for redistribution, but negatively with support for social investment policies (partly depending on the specific measure of automation risk that is used), while there is no statistically significant association with support for basic income. We also find a moderating effect of the overall size of the welfare state on the micro-level association between risk and preferences.</w:t>
      </w:r>
    </w:p>
    <w:p>
      <w:pPr/>
      <w:r>
        <w:rPr>
          <w:b/>
        </w:rPr>
        <w:t>POSSIBLE 2020:</w:t>
      </w:r>
      <w:r>
        <w:t xml:space="preserve"> Exploring Young Europeans’ Homeownership Opportunities — https://doi.org/10.13060/23362839.2020.7.1.506</w:t>
      </w:r>
    </w:p>
    <w:p>
      <w:pPr/>
      <w:r>
        <w:rPr>
          <w:b/>
        </w:rPr>
        <w:t>Shared claim-specific concepts:</w:t>
      </w:r>
      <w:r>
        <w:t xml:space="preserve"> also, explores, important, policies; EU scope visible. This is a provisional connection, not an outcome finding.</w:t>
      </w:r>
    </w:p>
    <w:p>
      <w:pPr>
        <w:pStyle w:val="SourceNote"/>
      </w:pPr>
      <w:r>
        <w:rPr>
          <w:b/>
        </w:rPr>
        <w:t>Available abstract (not full text):</w:t>
      </w:r>
      <w:r>
        <w:t xml:space="preserve"> Even before the 2008/9-crisis but certainly afterwards, trends in labour, housing and mortgage markets combined with welfare reform, making it more difficult for each new cohort of young Europeans (25-34) to complete the transition to ‘residential independence’, particularly to become a homeowner. This paper explores ‘trends in homeownership opportunities’, using data from EU-SILC (2005-2018). It takes a broader perspective by exploring trends in its social selectivity, as well as changes in the ‘attributes’ of homeownership over time. Young adults’ homeownership opportunities have declined almost everywhere in Europe, but to varying extents. Furthermore, a more socially selective group of young homeowners seems to be entering properties of lower quality in locations with fewer services. Deteriorating homeownership opportunities are strongly associated with mortgage lending restrictions, indicating that trends in housing and broader financial markets/policies are important explanatory factors. I also find indications that the transition to homeownership is being pushed beyond the commonly-used age-threshold of 34 years.</w:t>
      </w:r>
    </w:p>
    <w:p>
      <w:pPr>
        <w:pStyle w:val="Heading2"/>
      </w:pPr>
      <w:r>
        <w:t>766.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2024:</w:t>
      </w:r>
      <w:r>
        <w:t xml:space="preserve"> Learning Transitions in Studying Development: Design, Methodologies/Approaches, Tools in the Digital and Hybrid Platforms — https://doi.org/10.58887/ijodel.v10i1.254</w:t>
      </w:r>
    </w:p>
    <w:p>
      <w:pPr/>
      <w:r>
        <w:rPr>
          <w:b/>
        </w:rPr>
        <w:t>Shared claim-specific concepts:</w:t>
      </w:r>
      <w:r>
        <w:t xml:space="preserve"> design, hybrid, methodologies, but; EU scope not established. This is a provisional connection, not an outcome finding.</w:t>
      </w:r>
    </w:p>
    <w:p>
      <w:pPr>
        <w:pStyle w:val="SourceNote"/>
      </w:pPr>
      <w:r>
        <w:rPr>
          <w:b/>
        </w:rPr>
        <w:t>Available abstract (not full text):</w:t>
      </w:r>
      <w:r>
        <w:t xml:space="preserve"> Post-pandemic realities paved the way for certain innovative learning approaches to address the risks associated with traditional educational settings, inefficiencies in mobility, limited access to facilities and resources, and vulnerability to disease of student and teaching population, among others. Learning interactions in digital space remain to be further explored, requiring adjustments in the design of courses, pedagogical approaches, methodologies, and tools employed. The adjustments were seen as imperative at all levels of education and across mainstream fields of studies but even more pronounced, in multidisciplinary and interdisciplinary research study areas, such as Development Studies. Development research underwent learning transitions to retain its relevance as an important academic field. The combined online and in-site learning settings still have effective and efficient modalities of studying development, as argued in prevailing literature. This paper aims to find rationality in course design and structure, given the learners’ background and academic program tracks, as well as the teaching tools and instruments necessary in a combined learning modality. The challenge is how learners can be more engaged in discussions and provide participatory feedback. Another objective of this work is to provide documented experience of the issues and challenges in hybrid plat</w:t>
      </w:r>
    </w:p>
    <w:p>
      <w:pPr/>
      <w:r>
        <w:rPr>
          <w:b/>
        </w:rPr>
        <w:t>POSSIBLE 2024:</w:t>
      </w:r>
      <w:r>
        <w:t xml:space="preserve"> Using a co-design methodological approach to optimize perioperative nursing care for older adult patients from ethnically diverse backgrounds: a study protocol — https://doi.org/10.1080/17482631.2024.2349438</w:t>
      </w:r>
    </w:p>
    <w:p>
      <w:pPr/>
      <w:r>
        <w:rPr>
          <w:b/>
        </w:rPr>
        <w:t>Shared claim-specific concepts:</w:t>
      </w:r>
      <w:r>
        <w:t xml:space="preserve"> methodology, approach, findings; EU scope not established. This is a provisional connection, not an outcome finding.</w:t>
      </w:r>
    </w:p>
    <w:p>
      <w:pPr>
        <w:pStyle w:val="SourceNote"/>
      </w:pPr>
      <w:r>
        <w:rPr>
          <w:b/>
        </w:rPr>
        <w:t>Available abstract (not full text):</w:t>
      </w:r>
      <w:r>
        <w:t xml:space="preserve"> This article outlines the use of a co-design methodological approach aimed at optimizing perioperative care experiences for ethnically diverse older adults and their family carers. The research involved three phases. In Phase 1, the foundation was established with the formation of a Core Advisory Group comprising key informants, including health consumers. This initial phase focused on forming relationships and conducting a literature review to inform subsequent stages of the research. Phase 2 progressed to data collection, where a qualitative survey on perioperative experiences was conducted. Semi-structured interviews were held with patients, their family carers, and perioperative staff. Phase 3 advanced the co-design process through a workshop involving patients, family carers, perioperative staff, and key stakeholders. Workshop participants collaborated on potential practice changes, proposing strategies for future clinical implementation. While data analysis and reporting for Phases 2 and 3 are forthcoming, the continued involvement of the Core Advisory Group ensures ongoing consensus-building on health consumer needs. This methodology article adopts a prospective stance, with findings to be presented in subsequent scholarly works. Use of this methodology will help to determine how the use of a co-design approach may impact the development of culturally responsive perioper</w:t>
      </w:r>
    </w:p>
    <w:p>
      <w:pPr/>
      <w:r>
        <w:rPr>
          <w:b/>
        </w:rPr>
        <w:t>POSSIBLE 2024:</w:t>
      </w:r>
      <w:r>
        <w:t xml:space="preserve"> A design methodology based approach for robotic gripper design — https://openalex.org/W4391710302</w:t>
      </w:r>
    </w:p>
    <w:p>
      <w:pPr/>
      <w:r>
        <w:rPr>
          <w:b/>
        </w:rPr>
        <w:t>Shared claim-specific concepts:</w:t>
      </w:r>
      <w:r>
        <w:t xml:space="preserve"> design, methodology, approach, based; EU scope not established. This is a provisional connection, not an outcome finding.</w:t>
      </w:r>
    </w:p>
    <w:p>
      <w:pPr>
        <w:pStyle w:val="SourceNote"/>
      </w:pPr>
      <w:r>
        <w:rPr>
          <w:b/>
        </w:rPr>
        <w:t>Available abstract (not full text):</w:t>
      </w:r>
      <w:r>
        <w:t xml:space="preserve"> Abstract Not Provided</w:t>
      </w:r>
    </w:p>
    <w:p>
      <w:pPr/>
      <w:r>
        <w:rPr>
          <w:b/>
        </w:rPr>
        <w:t>POSSIBLE 2024:</w:t>
      </w:r>
      <w:r>
        <w:t xml:space="preserve"> Exploring a Material-Focused Design Methodology: An Innovative Approach to Pressure Vessel Design — https://doi.org/10.3390/machines12010081</w:t>
      </w:r>
    </w:p>
    <w:p>
      <w:pPr/>
      <w:r>
        <w:rPr>
          <w:b/>
        </w:rPr>
        <w:t>Shared claim-specific concepts:</w:t>
      </w:r>
      <w:r>
        <w:t xml:space="preserve"> design, methodology, approach, based, industrial, methodologies; EU scope not established. This is a provisional connection, not an outcome finding.</w:t>
      </w:r>
    </w:p>
    <w:p>
      <w:pPr>
        <w:pStyle w:val="SourceNote"/>
      </w:pPr>
      <w:r>
        <w:rPr>
          <w:b/>
        </w:rPr>
        <w:t>Available abstract (not full text):</w:t>
      </w:r>
      <w:r>
        <w:t xml:space="preserve"> The design of components and elements comprising industrial machinery, as well as those that are part of an industrial system, has been carried out in recent years using various design methodologies. Currently, the products demanded by customers, as well as the needs of different companies, governments, and individuals, require considerations beyond traditional design, including multidisciplinary aspects such as sustainability, environmental friendliness, and circular economy. The design methodologies considered for this study are the quality function deployment (QFD) methodology, the theory of inventive problem-solving methodology, Ashby’s Materials Selection methodology, and the systematic approach methodology, which are currently the main design methodologies. These methodologies present some disadvantages, such as multidisciplinary requirements not being considered directly, the selection of materials based on standards is not well established, and obtaining technical requirements is ambiguous for the technical purposes of the design or manufacturing, and the designer’s experience in these examples is important to the design process and the development of the product. For these reasons, the traditional design methodologies are presented, next, a new design methodology is proposed and described, then a case study is performed in order to compare the proposed methodology with</w:t>
      </w:r>
    </w:p>
    <w:p>
      <w:pPr/>
      <w:r>
        <w:rPr>
          <w:b/>
        </w:rPr>
        <w:t>POSSIBLE 2024:</w:t>
      </w:r>
      <w:r>
        <w:t xml:space="preserve"> Methodology for Colour Selection with Semantic Content in Product Design — https://doi.org/10.1007/978-3-031-51623-8_64</w:t>
      </w:r>
    </w:p>
    <w:p>
      <w:pPr/>
      <w:r>
        <w:rPr>
          <w:b/>
        </w:rPr>
        <w:t>Shared claim-specific concepts:</w:t>
      </w:r>
      <w:r>
        <w:t xml:space="preserve"> design, methodology, content;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A Methodology for Intercultural Design — https://doi.org/10.30682/diid8224j</w:t>
      </w:r>
    </w:p>
    <w:p>
      <w:pPr/>
      <w:r>
        <w:rPr>
          <w:b/>
        </w:rPr>
        <w:t>Shared claim-specific concepts:</w:t>
      </w:r>
      <w:r>
        <w:t xml:space="preserve"> design, methodology, approach, national; EU scope visible. This is a provisional connection, not an outcome finding.</w:t>
      </w:r>
    </w:p>
    <w:p>
      <w:pPr>
        <w:pStyle w:val="SourceNote"/>
      </w:pPr>
      <w:r>
        <w:rPr>
          <w:b/>
        </w:rPr>
        <w:t>Available abstract (not full text):</w:t>
      </w:r>
      <w:r>
        <w:t xml:space="preserve"> Issues concerning integration and the relations between different ethnic groups within a changing contemporary society are becoming increasingly prominent in the social and scientific debate. Design skills can be employed as a tool to systematise this multiplicity, promoting innovation that respects diversity, comparison, and interaction between people and cultures. The purpose of this paper is to provide a synthesis of a research experience, the development of a new Islamic Cultural Centre in the city of Turin (Italy), in which the intercultural design approach constitutes the founding theoretical and methodological basis for the development of the project. Starting from the analysis of experiences developed in the field of national and international research, the authors developed a methodological approach to the theme of designing to promote intercultural dialogue, furthermore establishing collaboration agreements with local authorities for the development of the Cultural Centre.</w:t>
      </w:r>
    </w:p>
    <w:p>
      <w:pPr/>
      <w:r>
        <w:rPr>
          <w:b/>
        </w:rPr>
        <w:t>POSSIBLE 2024:</w:t>
      </w:r>
      <w:r>
        <w:t xml:space="preserve"> A territorial design toolbox for metropolitan public space — https://doi.org/10.4324/9781003408611-27</w:t>
      </w:r>
    </w:p>
    <w:p>
      <w:pPr/>
      <w:r>
        <w:rPr>
          <w:b/>
        </w:rPr>
        <w:t>Shared claim-specific concepts:</w:t>
      </w:r>
      <w:r>
        <w:t xml:space="preserve"> design, approach, content; EU scope not established. This is a provisional connection, not an outcome finding.</w:t>
      </w:r>
    </w:p>
    <w:p>
      <w:pPr>
        <w:pStyle w:val="SourceNote"/>
      </w:pPr>
      <w:r>
        <w:rPr>
          <w:b/>
        </w:rPr>
        <w:t>Available abstract (not full text):</w:t>
      </w:r>
      <w:r>
        <w:t xml:space="preserve"> This chapter synthesises the prospective and propositive content of MetroPublicNet&amp;s;s research. It is directly linked with the project&amp;s;s central hypothesis that a Metropolitan Public Space Network strategy could be seen as a politically and technically robust tool to address sustainable urban development challenges. For that, a methodological approach to imagine, discuss, and strategically envision such network is outlined as a territorial design toolbox. The chapter is concluded with a selection of forward-looking, design-oriented forays developed at part of MetroPublicNet&amp;s;s academic partnering in urban and landscape design studios, workshops, and curricular units.</w:t>
      </w:r>
    </w:p>
    <w:p>
      <w:pPr/>
      <w:r>
        <w:rPr>
          <w:b/>
        </w:rPr>
        <w:t>POSSIBLE 2024:</w:t>
      </w:r>
      <w:r>
        <w:t xml:space="preserve"> Developing public health surveillance dashboards: a scoping review on the design principles — https://doi.org/10.1186/s12889-024-17841-2</w:t>
      </w:r>
    </w:p>
    <w:p>
      <w:pPr/>
      <w:r>
        <w:rPr>
          <w:b/>
        </w:rPr>
        <w:t>Shared claim-specific concepts:</w:t>
      </w:r>
      <w:r>
        <w:t xml:space="preserve"> design, methodology, based, content, national, findings; EU scope not established. This is a provisional connection, not an outcome finding.</w:t>
      </w:r>
    </w:p>
    <w:p>
      <w:pPr>
        <w:pStyle w:val="SourceNote"/>
      </w:pPr>
      <w:r>
        <w:rPr>
          <w:b/>
        </w:rPr>
        <w:t>Available abstract (not full text):</w:t>
      </w:r>
      <w:r>
        <w:t xml:space="preserve"> BACKGROUND: Public Health Dashboards (PHDs) facilitate the monitoring and prediction of disease outbreaks by continuously monitoring the health status of the community. This study aimed to identify design principles and determinants for developing public health surveillance dashboards. METHODOLOGY: This scoping review is based on Arksey and O'Malley's framework as included in JBI guidance. Four databases were used to review and present the proposed principles of designing PHDs: IEEE, PubMed, Web of Science, and Scopus. We considered articles published between January 1, 2010 and November 30, 2022. The final search of articles was done on November 30, 2022. Only articles in the English language were included. Qualitative synthesis and trend analysis were conducted. RESULTS: Findings from sixty-seven articles out of 543 retrieved articles, which were eligible for analysis, indicate that most of the dashboards designed from 2020 onwards were at the national level for managing and monitoring COVID-19. Design principles for the public health dashboard were presented in five groups, i.e., considering aim and target users, appropriate content, interface, data analysis and presentation types, and infrastructure. CONCLUSION: Effective and efficient use of dashboards in public health surveillance requires implementing design principles to improve the functionality of these systems in mon</w:t>
      </w:r>
    </w:p>
    <w:p>
      <w:pPr>
        <w:pStyle w:val="Heading2"/>
      </w:pPr>
      <w:r>
        <w:t>767.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2024:</w:t>
      </w:r>
      <w:r>
        <w:t xml:space="preserve"> Editorial: European Optical Society Annual Meeting (EOSAM) 2023 — https://doi.org/10.1051/jeos/2024037</w:t>
      </w:r>
    </w:p>
    <w:p>
      <w:pPr/>
      <w:r>
        <w:rPr>
          <w:b/>
        </w:rPr>
        <w:t>Shared claim-specific concepts:</w:t>
      </w:r>
      <w:r>
        <w:t xml:space="preserve"> organized, meetings, experts, three, challenges, between; EU scope visible. This is a provisional connection, not an outcome finding.</w:t>
      </w:r>
    </w:p>
    <w:p>
      <w:pPr>
        <w:pStyle w:val="SourceNote"/>
      </w:pPr>
      <w:r>
        <w:rPr>
          <w:b/>
        </w:rPr>
        <w:t>Available abstract (not full text):</w:t>
      </w:r>
      <w:r>
        <w:t xml:space="preserve"> The European Optical Society Annual Meeting, EOSAM, covers all aspects of optics and photonics within several topical meetings and sessions.The 11th EOSAM was organized by EOS and SFO onsite in Dijon, France, at the Dijon Exhibition and Convention Center, 11-15 September 2023.It was attended by over 500 researchers, key leaders, students, and industry experts from over 34 different countries all over the world.The event provided a comprehensive overview of cutting-edge research in optics and photonics, from fundamental to applied, and of industrial developments through more than 420 presentations in 10 thematic sessions highlighting the most innovative and emerging research, including: silicon photonics and integrated optics, adaptive and freeform optics, biophotonics, nanophotonics, optical materials, nonlinear and quantum optics, optical frequency combs, ultrafast optics, optoelectronic nanotechnologies and microsystems, and optics applications.Four focused sessions completed the panorama: specialty optical fibers, structured light, chiroptical phenomena, machine-learning for optics and photonic computing for Artificial Intelligence (AI).This annual international congress highlighted the richness and vigor of all the optics sectors in France, Europe and the rest of the world.An industrial session dedicated to technological innovations was complemented by an exhibition area fo</w:t>
      </w:r>
    </w:p>
    <w:p>
      <w:pPr/>
      <w:r>
        <w:rPr>
          <w:b/>
        </w:rPr>
        <w:t>POSSIBLE 2024:</w:t>
      </w:r>
      <w:r>
        <w:t xml:space="preserve"> Biodiversity monitoring in Europe: User and policy needs — https://doi.org/10.1111/conl.13038</w:t>
      </w:r>
    </w:p>
    <w:p>
      <w:pPr/>
      <w:r>
        <w:rPr>
          <w:b/>
        </w:rPr>
        <w:t>Shared claim-specific concepts:</w:t>
      </w:r>
      <w:r>
        <w:t xml:space="preserve"> experts, engagement, challenges, four, identified; EU scope visible. This is a provisional connection, not an outcome finding.</w:t>
      </w:r>
    </w:p>
    <w:p>
      <w:pPr>
        <w:pStyle w:val="SourceNote"/>
      </w:pPr>
      <w:r>
        <w:rPr>
          <w:b/>
        </w:rPr>
        <w:t>Available abstract (not full text):</w:t>
      </w:r>
      <w:r>
        <w:t xml:space="preserve"> Abstract To achieve the goals of the 2030 Global Biodiversity Framework, the European Biodiversity Strategy, and the EU Green Deal, biodiversity monitoring is critical. Monitoring efforts in Europe, however, suffer from gaps and biases in taxonomy, spatial coverage, and temporal resolution, resulting in fragmented and disconnected data. To assess user and policy needs in biodiversity monitoring, we employed a four‐step user‐centered stakeholder engagement process with over 300 stakeholders including a public stakeholder workshop, online survey, interviews, and a meeting with experts from 18 EU member states, the European Commission, and the European Environment Agency. The stakeholders identified policy needs, current challenges, and potential solutions. Based on the policy and stakeholder assessment, we recommend establishing a European Biodiversity Observation Coordinating Centre to optimize existing observation efforts, harmonize data, and enhance our ability to predict and respond to key challenges related to biodiversity loss in Europe.</w:t>
      </w:r>
    </w:p>
    <w:p>
      <w:pPr/>
      <w:r>
        <w:rPr>
          <w:b/>
        </w:rPr>
        <w:t>POSSIBLE 2023:</w:t>
      </w:r>
      <w:r>
        <w:t xml:space="preserve"> Update on the clinical use of trabecular bone score (TBS) in the management of osteoporosis: results of an expert group meeting organized by the European Society for Clinical and Economic Aspects of Osteoporosis, Osteoarthritis and Musculoskeletal Diseases (ESCEO), and the International Osteoporosis Foundation (IOF) under the auspices of WHO Collaborating Center for Epidemiology of Musculoskeletal Health and Aging — https://doi.org/10.1007/s00198-023-06817-4</w:t>
      </w:r>
    </w:p>
    <w:p>
      <w:pPr/>
      <w:r>
        <w:rPr>
          <w:b/>
        </w:rPr>
        <w:t>Shared claim-specific concepts:</w:t>
      </w:r>
      <w:r>
        <w:t xml:space="preserve"> organized, strategies, four; EU scope visible. This is a provisional connection, not an outcome finding.</w:t>
      </w:r>
    </w:p>
    <w:p>
      <w:pPr>
        <w:pStyle w:val="SourceNote"/>
      </w:pPr>
      <w:r>
        <w:rPr>
          <w:b/>
        </w:rPr>
        <w:t>Available abstract (not full text):</w:t>
      </w:r>
      <w:r>
        <w:t xml:space="preserve"> PURPOSE: Trabecular bone score (TBS) is a grey-level textural measurement acquired from dual-energy X-ray absorptiometry lumbar spine images and is a validated index of bone microarchitecture. In 2015, a Working Group of the European Society on Clinical and Economic Aspects of Osteoporosis, Osteoarthritis and Musculoskeletal Diseases (ESCEO) published a review of the TBS literature, concluding that TBS predicts hip and major osteoporotic fracture, at least partly independent of bone mineral density (BMD) and clinical risk factors. It was also concluded that TBS is potentially amenable to change as a result of pharmacological therapy. Further evidence on the utility of TBS has since accumulated in both primary and secondary osteoporosis, and the introduction of FRAX and BMD T-score adjustment for TBS has accelerated adoption. This position paper therefore presents a review of the updated scientific literature and provides expert consensus statements and corresponding operational guidelines for the use of TBS. METHODS: An Expert Working Group was convened by the ESCEO and a systematic review of the evidence undertaken, with defined search strategies for four key topics with respect to the potential use of TBS: (1) fracture prediction in men and women; (2) initiating and monitoring treatment in postmenopausal osteoporosis; (3) fracture prediction in secondary osteoporosis; and (4)</w:t>
      </w:r>
    </w:p>
    <w:p>
      <w:pPr/>
      <w:r>
        <w:rPr>
          <w:b/>
        </w:rPr>
        <w:t>POSSIBLE 2023:</w:t>
      </w:r>
      <w:r>
        <w:t xml:space="preserve"> Stakeholder engagement and decarbonization pathways: Meeting the challenges of the COVID-19 pandemic — https://doi.org/10.3389/frsus.2022.1063719</w:t>
      </w:r>
    </w:p>
    <w:p>
      <w:pPr/>
      <w:r>
        <w:rPr>
          <w:b/>
        </w:rPr>
        <w:t>Shared claim-specific concepts:</w:t>
      </w:r>
      <w:r>
        <w:t xml:space="preserve"> organized, meetings, engagement, strategies, other, challenges; EU scope not established. This is a provisional connection, not an outcome finding.</w:t>
      </w:r>
    </w:p>
    <w:p>
      <w:pPr>
        <w:pStyle w:val="SourceNote"/>
      </w:pPr>
      <w:r>
        <w:rPr>
          <w:b/>
        </w:rPr>
        <w:t>Available abstract (not full text):</w:t>
      </w:r>
      <w:r>
        <w:t xml:space="preserve"> Climate change is an extremely complex challenge characterized by its systemic nature and deep uncertainties. Thus, finding solutions requires a continuing and constructive dialogue between the research community and a wide range of stakeholders from governments, non-governmental organizations, civil society, international organizations, industry, businesses and financial institutions. The ENGAGE project ( https://www.engage-climate.org/ ) is advancing knowledge co-production through an iterative process of stakeholder engagement with two main streams: (i) stakeholder co-design and assessment of global decarbonization pathways and (ii) stakeholder dialogues on national policies and pathways. Both the global and national stakeholder processes are designed to inform multiple project activities, including: conceptualization of feasibility and assessing the feasibility of decarbonization policies and strategies; decarbonization pathway development using integrated assessment models and considering both feasibility and equity; and assessment of the relative importance of climate change impacts vis-à-vis potential co-benefits. With the start of the COVID-19 pandemic 6 months after the beginning of the project, all of the stakeholder engagement activities had to be organized as online events. Between March 2020 and April 2022, 5 online workshops were organized, two at the global level</w:t>
      </w:r>
    </w:p>
    <w:p>
      <w:pPr/>
      <w:r>
        <w:rPr>
          <w:b/>
        </w:rPr>
        <w:t>POSSIBLE 2023:</w:t>
      </w:r>
      <w:r>
        <w:t xml:space="preserve"> The External Dimension of the European Migration and Asylum Policy: the EU's Organized Hypocrisy in Cooperation with Southern Neighbor Countries — https://doi.org/10.5281/zenodo.7688211</w:t>
      </w:r>
    </w:p>
    <w:p>
      <w:pPr/>
      <w:r>
        <w:rPr>
          <w:b/>
        </w:rPr>
        <w:t>Shared claim-specific concepts:</w:t>
      </w:r>
      <w:r>
        <w:t xml:space="preserve"> organized, between, identified; EU scope visible. This is a provisional connection, not an outcome finding.</w:t>
      </w:r>
    </w:p>
    <w:p>
      <w:pPr>
        <w:pStyle w:val="SourceNote"/>
      </w:pPr>
      <w:r>
        <w:rPr>
          <w:b/>
        </w:rPr>
        <w:t>Available abstract (not full text):</w:t>
      </w:r>
      <w:r>
        <w:t xml:space="preserve"> The European Union (EU) has reacted to the migration crises of the last decade with growing externalization of migration management to neighbor countries often accused of not respecting human rights and individual liberties. Focusing on EU cooperation with Southern Neighbor Countries (SNCs), this paper investigates the recent developments in the EU’s external migration policies, demonstrating the decoupling between EU discourses and policy instruments such as mobility partnerships, readmission and visa facilitation agreements, identified by the EU as strategic tools of the European migration and asylum policy (MAP). Five SNCs have been selected, Tunisia, Morocco, Egypt, Jordan and Lebanon, to assess the extent to which the EU is delegating to neighboring countries the management of irregular flows, placing international protection at risk instead of playing the role of humanitarian actor in accordance with the ideals and principles it defends, as claimed in EU documents. The research critically analyses the EU’s cooperation with SNCs concerning migration, as codified in association agreements, action plans and mobility partnerships, and explores the incompatibility between the European MAP instruments and international protection. MAP represents a clear mismatch between EU talk and action, outlining another case of organized hypocrisy.</w:t>
      </w:r>
    </w:p>
    <w:p>
      <w:pPr/>
      <w:r>
        <w:rPr>
          <w:b/>
        </w:rPr>
        <w:t>POSSIBLE 2021:</w:t>
      </w:r>
      <w:r>
        <w:t xml:space="preserve"> Barriers to ecological restoration in Europe: expert perspectives — https://doi.org/10.1111/rec.13346</w:t>
      </w:r>
    </w:p>
    <w:p>
      <w:pPr/>
      <w:r>
        <w:rPr>
          <w:b/>
        </w:rPr>
        <w:t>Shared claim-specific concepts:</w:t>
      </w:r>
      <w:r>
        <w:t xml:space="preserve"> experts, three, identified;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r>
        <w:rPr>
          <w:b/>
        </w:rPr>
        <w:t>POSSIBLE 2019:</w:t>
      </w:r>
      <w:r>
        <w:t xml:space="preserve"> Determinants, consequences and potential solutions to poor adherence to anti-osteoporosis treatment: results of an expert group meeting organized by the European Society for Clinical and Economic Aspects of Osteoporosis, Osteoarthritis and Musculoskeletal Diseases (ESCEO) and the International Osteoporosis Foundation (IOF) — https://doi.org/10.1007/s00198-019-05104-5</w:t>
      </w:r>
    </w:p>
    <w:p>
      <w:pPr/>
      <w:r>
        <w:rPr>
          <w:b/>
        </w:rPr>
        <w:t>Shared claim-specific concepts:</w:t>
      </w:r>
      <w:r>
        <w:t xml:space="preserve"> organized, experts, each; EU scope visible. This is a provisional connection, not an outcome finding.</w:t>
      </w:r>
    </w:p>
    <w:p>
      <w:pPr>
        <w:pStyle w:val="SourceNote"/>
      </w:pPr>
      <w:r>
        <w:rPr>
          <w:b/>
        </w:rPr>
        <w:t>Available abstract (not full text):</w:t>
      </w:r>
      <w:r>
        <w:t xml:space="preserve"> Many patients at increased risk of fractures do not take their medication appropriately, resulting in a substantial decrease in the benefits of drug therapy. Improving medication adherence is urgently needed but remains laborious, given the numerous and multidimensional reasons for non-adherence, suggesting the need for measurement-guided, multifactorial and individualized solutions. INTRODUCTION: Poor adherence to medications is a major challenge in the treatment of osteoporosis. This paper aimed to provide an overview of the consequences, determinants and potential solutions to poor adherence and persistence to osteoporosis medication. METHODS: A working group was organized by the European Society on Clinical and Economic Aspects of Osteoporosis, Osteoarthritis and Musculoskeletal diseases (ESCEO) to review consequences, determinants and potential solutions to adherence and to make recommendations for practice and further research. A systematic literature review and a face-to-face experts meeting were undertaken. RESULTS: Medication non-adherence is associated with increased risk of fractures, leading to a substantial decrease in the clinical and economic benefits of drug therapy. Reasons for non-adherence are numerous and multidimensional for each patient, depending on the interplay of multiple factors, suggesting the need for multifactorial and individualized solutions. Few</w:t>
      </w:r>
    </w:p>
    <w:p>
      <w:pPr/>
      <w:r>
        <w:rPr>
          <w:b/>
        </w:rPr>
        <w:t>POSSIBLE 2019:</w:t>
      </w:r>
      <w:r>
        <w:t xml:space="preserve"> Brief Report on the 11th Meeting of the European Forum on Antiphospholipid Antibodies — https://doi.org/10.1007/s11926-019-0805-1</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The European Forum on Antiphospholipid Antibodies provides a multidisciplinary network of diverse experts with a common interest in antiphospholipid antibodies (aPL) and antiphospholipid syndrome (APS).Ten successful meetings have been organized since 1997 in different cities (Paris, Venice, Utrecht, London, Barcelona, Ljubljana, Marseille, Padua, Krakow, and Nancy), providing an excellent opportunity for European clinicians and scientists involved in the field of APS to meet and strengthen current and future collaborations.The 11th Meeting of the European Forum on Antiphospholipid Antibodies was held in the monumental Lambertus Church in Maastricht, The Netherlands, from September 25 to 26, 2018.The Forum brought together approximately 125 participants from 16 different countries, including the USA, Argentina, and Russia (Fig. 1).Participants with various scientific/medical backgrounds presented an update of their current research in the APS field and reached out to the European Forum for collaboration in new/ongoing projects.Lectures were not only innovative, but also followed by interesting discussions with the audience.This report summarizes the different scientific sessions of the meeting.The abstract book, as well as some of the presentations are available for educational purpose through the website https:// apsmaastricht.com.The current general coordinator of the Europea</w:t>
      </w:r>
    </w:p>
    <w:p>
      <w:pPr>
        <w:pStyle w:val="Heading2"/>
      </w:pPr>
      <w:r>
        <w:t>768. The implications of demographic and economic projections on public pension spending in the European Union</w:t>
      </w:r>
    </w:p>
    <w:p>
      <w:pPr>
        <w:pStyle w:val="SourceNote"/>
      </w:pPr>
      <w:r>
        <w:rPr>
          <w:b/>
        </w:rPr>
        <w:t>Original source (2018):</w:t>
      </w:r>
      <w:r>
        <w:t xml:space="preserve"> https://doi.org/10.1080/21699763.2017.1411288</w:t>
      </w:r>
    </w:p>
    <w:p>
      <w:pPr/>
      <w:r>
        <w:t>Original wording (abstract; indexed_source_text_not_full_document_verified):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2024:</w:t>
      </w:r>
      <w:r>
        <w:t xml:space="preserve"> Cross‐border dimensions of Arctic climate change impacts and implications for Europe — https://doi.org/10.1002/wcc.905</w:t>
      </w:r>
    </w:p>
    <w:p>
      <w:pPr/>
      <w:r>
        <w:rPr>
          <w:b/>
        </w:rPr>
        <w:t>Shared claim-specific concepts:</w:t>
      </w:r>
      <w:r>
        <w:t xml:space="preserve"> abstract, implications, well;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China’s Trade Surplus – Implications for the World and for Europe — https://doi.org/10.2478/ie-2024-0022</w:t>
      </w:r>
    </w:p>
    <w:p>
      <w:pPr/>
      <w:r>
        <w:rPr>
          <w:b/>
        </w:rPr>
        <w:t>Shared claim-specific concepts:</w:t>
      </w:r>
      <w:r>
        <w:t xml:space="preserve"> abstract, analyses, implications, employment; EU scope visible. This is a provisional connection, not an outcome finding.</w:t>
      </w:r>
    </w:p>
    <w:p>
      <w:pPr>
        <w:pStyle w:val="SourceNote"/>
      </w:pPr>
      <w:r>
        <w:rPr>
          <w:b/>
        </w:rPr>
        <w:t>Available abstract (not full text):</w:t>
      </w:r>
      <w:r>
        <w:t xml:space="preserve"> Abstract China’s merchandise trade surplus has reached an all-time high and is likely to rise further. A key driver appears to be a policy push to further bolster Chinese domestic manufacturing production, implying the danger of significant overcapacities. China’s imbalance between domestic production and consumption implies that China draws on the domestic demand of other countries to sustain its economic growth. It does so at the potential expense of production and employment of those trading partners with high trade deficits with China. As this constellation could be the source of growing trade conflicts, this article analyses China’s growing trade surplus in several dimensions with a focus on Chinas trade relation to the EU.</w:t>
      </w:r>
    </w:p>
    <w:p>
      <w:pPr/>
      <w:r>
        <w:rPr>
          <w:b/>
        </w:rPr>
        <w:t>POSSIBLE 2024:</w:t>
      </w:r>
      <w:r>
        <w:t xml:space="preserve"> Diet Impact Assessment model: an interactive tool for analysing the health, environmental and affordability implications of diets — https://doi.org/10.1093/eurpub/ckae144.032</w:t>
      </w:r>
    </w:p>
    <w:p>
      <w:pPr/>
      <w:r>
        <w:rPr>
          <w:b/>
        </w:rPr>
        <w:t>Shared claim-specific concepts:</w:t>
      </w:r>
      <w:r>
        <w:t xml:space="preserve"> abstract, implications; EU scope visible. This is a provisional connection, not an outcome finding.</w:t>
      </w:r>
    </w:p>
    <w:p>
      <w:pPr>
        <w:pStyle w:val="SourceNote"/>
      </w:pPr>
      <w:r>
        <w:rPr>
          <w:b/>
        </w:rPr>
        <w:t>Available abstract (not full text):</w:t>
      </w:r>
      <w:r>
        <w:t xml:space="preserve"> Abstract Global diets, environmental factors, and health require a holistic approach in public health discourse that takes into account the well-being of both humans and planetary health. Modeling tools have demonstrated being useful to estimate priorities and differences between countries and gain insight into future paths that depend on predetermined priorities. Modeling efforts that include environmental goals indicate the possibility of reducing environmental impacts while both improving food quality and overall health outcomes, especially in high-income settings. The aforementioned forecasts highlight the effectiveness of giving priority to dietary recommendations that lead to better, balanced patterns as the most effective approach to reducing mortality risks and environmental implications. The presentation will introduce the Diet Impact Assessment (DIA) model - a new interactive modelling tool for analysing the health, environmental and affordability implications of diets and dietary change. The tool enables countries to analyse user-specific scenarios of dietary change, and to estimate the health, environmental and cost burden of each scenario in terms of diet costs, avoidable deaths, changes in resource use and compatibility with global environmental targets, including those associated with food-related greenhouse gas emissions, land use, water use and fertilizer appli</w:t>
      </w:r>
    </w:p>
    <w:p>
      <w:pPr/>
      <w:r>
        <w:rPr>
          <w:b/>
        </w:rPr>
        <w:t>POSSIBLE 2023:</w:t>
      </w:r>
      <w:r>
        <w:t xml:space="preserve"> The new seismic hazard model ESHM20 of Europe: Investigating the implications to the seismic design and risk assessment of major industrial facilities across Europe — https://doi.org/10.1007/s10518-023-01661-7</w:t>
      </w:r>
    </w:p>
    <w:p>
      <w:pPr/>
      <w:r>
        <w:rPr>
          <w:b/>
        </w:rPr>
        <w:t>Shared claim-specific concepts:</w:t>
      </w:r>
      <w:r>
        <w:t xml:space="preserve"> abstract, analyses, implications, well; EU scope visible. This is a provisional connection, not an outcome finding.</w:t>
      </w:r>
    </w:p>
    <w:p>
      <w:pPr>
        <w:pStyle w:val="SourceNote"/>
      </w:pPr>
      <w:r>
        <w:rPr>
          <w:b/>
        </w:rPr>
        <w:t>Available abstract (not full text):</w:t>
      </w:r>
      <w:r>
        <w:t xml:space="preserve"> Abstract The seismic performance and safety of major European industrial facilities have a global interest for the whole of Europe and its citizens. However, the seismic design of these facilities is based on national, sometimes outdated seismic hazard analyses. The results of the commonly developed, fully harmonized newly released European Seismic Hazard Model ESHM20 provide a pertinent reference for seismic hazard at European scale and have been officially adopted as an “acceptable representation of the seismic hazard in Europe” in the ongoing revision of Eurocode 8. This study presents a large-scale investigation of the impact of the potential adoption of ESHM20 on the design of new industrial facilities as well as on the potential seismic risk of existing facilities at European level with respect to the current seismic codes. The horizontal elastic response spectra using ESHM20 in combination with the revised Eurocode 8 for selected industrial sites are compared with the respective response spectra of the national regulations for return periods of 475, 2500 and 5000 years. In addition, a single containment LNG tank is analysed for an industrial site in Germany using the design approach for liquid filled tanks according to the revised Eurocode 8. Furthermore, a deterministic and probabilistic seismic risk assessment of a vessel installed in a five-storey frame is performed f</w:t>
      </w:r>
    </w:p>
    <w:p>
      <w:pPr/>
      <w:r>
        <w:rPr>
          <w:b/>
        </w:rPr>
        <w:t>POSSIBLE 2022:</w:t>
      </w:r>
      <w:r>
        <w:t xml:space="preserve"> The Accession of European Union to the European Convention on Human Rights — https://openalex.org/W7135539752</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1 The Accession of the European Union to the European Convention on Human Rights 1. Abstract in English This diploma thesis focuses on the relationship between the European Union (EU) and the European Convention on Human Rights (Convention). Especially in the light of the renewed attempt of the EU's accession to the Convention. Introduction (First Chapter) explains in brief the current situation, motivation of the author and the goals of the thesis. Also, the sources and methods used are introduced. Second Chapter describes the rich history of both European Union and European Convention of Human rights, with respect to their interlocking nature in the area of human rights. Analyses instruments such as Lisbon Treaty and the Charter of fundamental rights of the European Union. Third Chapter analyses the Opinion 2/13 of the CJEU and its impact on the accession of the EU to the Convention. Situation before and after the adoption of the Opinion, with its implications for the future relationship between the EU and the Convention. The next major section of this Chapter are the most recent meetings between the EU and the Council of Europe and evaluation of the hitherto progress. Fourth Chapter compares level of protection procedurally. Fifth Chapter compares level of protection substantively, in relevant case-law...</w:t>
      </w:r>
    </w:p>
    <w:p>
      <w:pPr/>
      <w:r>
        <w:rPr>
          <w:b/>
        </w:rPr>
        <w:t>POSSIBLE 2021:</w:t>
      </w:r>
      <w:r>
        <w:t xml:space="preserve"> Paranoid styles and innumeracy: implications of a conspiracy mindset on Europeans' misperceptions about immigrants — https://doi.org/10.1017/ipo.2021.26</w:t>
      </w:r>
    </w:p>
    <w:p>
      <w:pPr/>
      <w:r>
        <w:rPr>
          <w:b/>
        </w:rPr>
        <w:t>Shared claim-specific concepts:</w:t>
      </w:r>
      <w:r>
        <w:t xml:space="preserve"> abstract, implications, facts, population; EU scope visible. This is a provisional connection, not an outcome finding.</w:t>
      </w:r>
    </w:p>
    <w:p>
      <w:pPr>
        <w:pStyle w:val="SourceNote"/>
      </w:pPr>
      <w:r>
        <w:rPr>
          <w:b/>
        </w:rPr>
        <w:t>Available abstract (not full text):</w:t>
      </w:r>
      <w:r>
        <w:t xml:space="preserve"> Abstract Innumeracy, that is, the inability to deal with numbers and provide correct estimates about political issues, is reported to be widespread among the public. Yet, despite the recognition that a conspiracy mindset is an increasingly common phenomenon in Western democracies, this has not been considered as a potential correlate of innumeracy. Using data from an online sample of respondents across 10 European countries, we show that those with a higher propensity to hold a conspiracy worldview tend to overestimate the actual share of the immigrant population living in their own country. This association holds true when accounting for country heterogeneity and other cognitive, affective and socio-demographic factors. Employing a comparative design and refined measurements, the article contributes to our understanding of how a conspiracy mentality may influence perceptions of relevant political facts, questioning basic processes of democratic accountability.</w:t>
      </w:r>
    </w:p>
    <w:p>
      <w:pPr/>
      <w:r>
        <w:rPr>
          <w:b/>
        </w:rPr>
        <w:t>POSSIBLE 2021:</w:t>
      </w:r>
      <w:r>
        <w:t xml:space="preserve"> Assessment and Valorization of Non-Wood Forest Products in Europe: A Quantitative Literature Review — https://doi.org/10.3390/su13063533</w:t>
      </w:r>
    </w:p>
    <w:p>
      <w:pPr/>
      <w:r>
        <w:rPr>
          <w:b/>
        </w:rPr>
        <w:t>Shared claim-specific concepts:</w:t>
      </w:r>
      <w:r>
        <w:t xml:space="preserve"> analyses, implications, trends; EU scope visible. This is a provisional connection, not an outcome finding.</w:t>
      </w:r>
    </w:p>
    <w:p>
      <w:pPr>
        <w:pStyle w:val="SourceNote"/>
      </w:pPr>
      <w:r>
        <w:rPr>
          <w:b/>
        </w:rPr>
        <w:t>Available abstract (not full text):</w:t>
      </w:r>
      <w:r>
        <w:t xml:space="preserve"> This article presents a quantitative review of non-wood forest products (NWFPs) at the regional scale in Europe. A text mining approach was applied to titles, abstracts, and keywords extracted from articles in the Scopus database. Different investigations, such as concept mapping and specificity analyses of textual corpus, were performed. Our search yielded a massive number of NWFP-related papers. Specifically, research was distributed in different countries, being more prevalent in the Mediterranean and Scandinavian contexts. Several NWFPs were analyzed, with mushrooms, resin, cork, and other forest fruit being the most common ones. Local socioeconomic improvement was one of the major aspects investigated in scientific literature. The proposed methodology applies specific scripts that can be updated, and the output of the present research can be compared with that of the future works. For instance, interest trends of products and methods can be investigated, and gap analyses performed. Finally, the potential implications of this review for researchers and stakeholders are discussed.</w:t>
      </w:r>
    </w:p>
    <w:p>
      <w:pPr>
        <w:pStyle w:val="Heading2"/>
      </w:pPr>
      <w:r>
        <w:t>769.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2024:</w:t>
      </w:r>
      <w:r>
        <w:t xml:space="preserve"> European hot and dry summers are projected to become more frequent and expand northwards — https://doi.org/10.1038/s43247-024-01575-5</w:t>
      </w:r>
    </w:p>
    <w:p>
      <w:pPr/>
      <w:r>
        <w:rPr>
          <w:b/>
        </w:rPr>
        <w:t>Shared claim-specific concepts:</w:t>
      </w:r>
      <w:r>
        <w:t xml:space="preserve"> northwards, parts; EU scope visible. This is a provisional connection, not an outcome finding.</w:t>
      </w:r>
    </w:p>
    <w:p>
      <w:pPr>
        <w:pStyle w:val="SourceNote"/>
      </w:pPr>
      <w:r>
        <w:rPr>
          <w:b/>
        </w:rPr>
        <w:t>Available abstract (not full text):</w:t>
      </w:r>
      <w:r>
        <w:t xml:space="preserve"> Abstract Heatwaves and dry spells are major climate hazards with far-reaching implications for health, economy, agriculture, and ecosystems. The frequency of compound hot and dry summers in Europe has risen in recent years. Here we present an examination of past extreme summers and compare them to future climate conditions. We use reanalysis data (2001–2022) and model data at three global warming levels: +1.2 °C, +2 °C, and +3 °C for nine selected sub-regions. Key findings indicate a significant increase in the frequency of most extreme past occurrences under 2 °C and 3 °C warming scenarios. For specific summers, the occurrence probability rises by up to 5–6 times from 2 °C to 3 °C. Moreover, our analysis reveals a notable northward shift in the climatology of hot and dry summers under 3 °C warming. The hot and dry climate observed in Eastern Europe under current conditions is anticipated to extend into substantial parts of the Baltic coast, Finland, and Scandinavia.</w:t>
      </w:r>
    </w:p>
    <w:p>
      <w:pPr/>
      <w:r>
        <w:rPr>
          <w:b/>
        </w:rPr>
        <w:t>POSSIBLE 2023:</w:t>
      </w:r>
      <w:r>
        <w:t xml:space="preserve"> Testing a prediction model for the H-mode density pedestal against JET-ILW pedestals — https://doi.org/10.1088/1741-4326/acc084</w:t>
      </w:r>
    </w:p>
    <w:p>
      <w:pPr/>
      <w:r>
        <w:rPr>
          <w:b/>
        </w:rPr>
        <w:t>Shared claim-specific concepts:</w:t>
      </w:r>
      <w:r>
        <w:t xml:space="preserve"> jet, over; EU scope not established. This is a provisional connection, not an outcome finding.</w:t>
      </w:r>
    </w:p>
    <w:p>
      <w:pPr>
        <w:pStyle w:val="SourceNote"/>
      </w:pPr>
      <w:r>
        <w:rPr>
          <w:b/>
        </w:rPr>
        <w:t>Available abstract (not full text):</w:t>
      </w:r>
      <w:r>
        <w:t xml:space="preserve"> Abstract The neutral ionisation model proposed by Groebner et al (2002 Phys. Plasmas 9 2134) to determine the plasma density profile in the H-mode pedestal, is extended to include charge exchange processes in the pedestal stimulated by the ideas of Mahdavi et al (2003 Phys. Plasmas 10 3984). The model is then tested against JET H-mode pedestal data, both in a ‘standalone’ version using experimental temperature profiles and also by incorporating it in the Europed version of EPED. The model is able to predict the density pedestal over a wide range of conditions with good accuracy. It is also able to predict the experimentally observed isotope effect on the density pedestal that eludes simpler neutral ionization models.</w:t>
      </w:r>
    </w:p>
    <w:p>
      <w:pPr/>
      <w:r>
        <w:rPr>
          <w:b/>
        </w:rPr>
        <w:t>POSSIBLE 2022:</w:t>
      </w:r>
      <w:r>
        <w:t xml:space="preserve"> Accuracy of numerical wave model results: application to the Atlantic coasts of Europe — https://doi.org/10.5194/os-18-1665-2022</w:t>
      </w:r>
    </w:p>
    <w:p>
      <w:pPr/>
      <w:r>
        <w:rPr>
          <w:b/>
        </w:rPr>
        <w:t>Shared claim-specific concepts:</w:t>
      </w:r>
      <w:r>
        <w:t xml:space="preserve"> propagation, waves; EU scope visible. This is a provisional connection, not an outcome finding.</w:t>
      </w:r>
    </w:p>
    <w:p>
      <w:pPr>
        <w:pStyle w:val="SourceNote"/>
      </w:pPr>
      <w:r>
        <w:rPr>
          <w:b/>
        </w:rPr>
        <w:t>Available abstract (not full text):</w:t>
      </w:r>
      <w:r>
        <w:t xml:space="preserve"> Abstract. Numerical wave models are generally less accurate in the coastal ocean than offshore. It is generally suspected that a number of factors specific to coastal environments can be blamed for these larger model errors: complex shoreline and topography, relatively short fetches, combination of remote swells and local wind seas, less accurate wind fields, presence of strong currents, bottom friction, etc. These factors generally have strong local variations, making it all the more difficult to adapt a particular model setup from one area to another. Here we investigate a wide range of modelling choices including forcing fields, spectral resolution and parameterizations of physical processes in a regional model that covers most of the Atlantic and North Sea coasts. We show that the accurate propagation of waves from offshore is probably the most important factor on exposed shorelines, while other specific effects can be important locally, including winds, currents and bottom friction.</w:t>
      </w:r>
    </w:p>
    <w:p>
      <w:pPr/>
      <w:r>
        <w:rPr>
          <w:b/>
        </w:rPr>
        <w:t>POSSIBLE 2022:</w:t>
      </w:r>
      <w:r>
        <w:t xml:space="preserve"> The evolving story of Borrelia burgdorferi sensu lato transmission in Europe — https://doi.org/10.1007/s00436-022-07445-3</w:t>
      </w:r>
    </w:p>
    <w:p>
      <w:pPr/>
      <w:r>
        <w:rPr>
          <w:b/>
        </w:rPr>
        <w:t>Shared claim-specific concepts:</w:t>
      </w:r>
      <w:r>
        <w:t xml:space="preserve"> several, northern, hemisphere; EU scope visible. This is a provisional connection, not an outcome finding.</w:t>
      </w:r>
    </w:p>
    <w:p>
      <w:pPr>
        <w:pStyle w:val="SourceNote"/>
      </w:pPr>
      <w:r>
        <w:rPr>
          <w:b/>
        </w:rPr>
        <w:t>Available abstract (not full text):</w:t>
      </w:r>
      <w:r>
        <w:t xml:space="preserve"> Beside mosquitoes, ticks are well-known vectors of different human pathogens. In the Northern Hemisphere, Lyme borreliosis (Eurasia, LB) or Lyme disease (North America, LD) is the most commonly occurring vector-borne infectious disease caused by bacteria of the genus Borrelia which are transmitted by hard ticks of the genus Ixodes. The reported incidence of LB in Europe is about 22.6 cases per 100,000 inhabitants annually with a broad range depending on the geographical area analyzed. However, the epidemiological data are largely incomplete, because LB is not notifiable in all European countries. Furthermore, not only differ reporting procedures between countries, there is also variation in case definitions and diagnostic procedures. Lyme borreliosis is caused by several species of the Borrelia (B.) burgdorferi sensu lato (s.l.) complex which are maintained in complex networks including ixodid ticks and different reservoir hosts. Vector and host influence each other and are affected by multiple factors including climate that have a major impact on their habitats and ecology. To classify factors that influence the risk of transmission of B. burgdorferi s.l. to their different vertebrate hosts as well as to humans, we briefly summarize the current knowledge about the pathogens including their astonishing ability to overcome various host immune responses, regarding the main vector</w:t>
      </w:r>
    </w:p>
    <w:p>
      <w:pPr/>
      <w:r>
        <w:rPr>
          <w:b/>
        </w:rPr>
        <w:t>POSSIBLE 2022:</w:t>
      </w:r>
      <w:r>
        <w:t xml:space="preserve"> Species Distribution Modeling Reveals Recent Shifts in Suitable Habitat for Six North American Cypripedium spp. (Orchidaceae) — https://doi.org/10.3390/d14090694</w:t>
      </w:r>
    </w:p>
    <w:p>
      <w:pPr/>
      <w:r>
        <w:rPr>
          <w:b/>
        </w:rPr>
        <w:t>Shared claim-specific concepts:</w:t>
      </w:r>
      <w:r>
        <w:t xml:space="preserve"> shifted, northwards, over; EU scope not established. This is a provisional connection, not an outcome finding.</w:t>
      </w:r>
    </w:p>
    <w:p>
      <w:pPr>
        <w:pStyle w:val="SourceNote"/>
      </w:pPr>
      <w:r>
        <w:rPr>
          <w:b/>
        </w:rPr>
        <w:t>Available abstract (not full text):</w:t>
      </w:r>
      <w:r>
        <w:t xml:space="preserve"> Accelerating climate change is expected to cause range shifts of numerous taxa worldwide. While climatic projections and predicted consequences typically focus on the future (2050 or later), a measurable change in climatic conditions has occurred over recent decades. We investigate whether recent climate change has caused measurable shifts in suitable habitat for six North American species in the highly threatened genus Cypripedium (Orchidaceae). We constructed species distribution models using a maximum entropy approach from species occurrence records, 19 bioclimatic variables, land cover data, and soil data for two decadal time intervals (1980–1989 and 2010–2019). Models were compared between time intervals to assess shifts in locality, size, fragmentation, and mean elevation of suitable habitat. For all six congeners, the centroids of suitable habitat shifted between time intervals, although the directionality varied. There was, however, consistency among species within geographic regions. Consistent with our expectations, the optimal habitat for most species shifted to a higher elevation and for western species it shifted northwards. However, the habitat for one northwestern species shifted southwards and the habitat for eastern species converged on the Great Lakes region from different directions. This work illustrates the somewhat idiosyncratic responses of congeneric spe</w:t>
      </w:r>
    </w:p>
    <w:p>
      <w:pPr/>
      <w:r>
        <w:rPr>
          <w:b/>
        </w:rPr>
        <w:t>POSSIBLE 2022:</w:t>
      </w:r>
      <w:r>
        <w:t xml:space="preserve"> Changes in limiting factors for forager population dynamics in Europe across the last glacial-interglacial transition — https://doi.org/10.1038/s41467-022-32750-x</w:t>
      </w:r>
    </w:p>
    <w:p>
      <w:pPr/>
      <w:r>
        <w:rPr>
          <w:b/>
        </w:rPr>
        <w:t>Shared claim-specific concepts:</w:t>
      </w:r>
      <w:r>
        <w:t xml:space="preserve"> shifted, over, parts; EU scope visible. This is a provisional connection, not an outcome finding.</w:t>
      </w:r>
    </w:p>
    <w:p>
      <w:pPr>
        <w:pStyle w:val="SourceNote"/>
      </w:pPr>
      <w:r>
        <w:rPr>
          <w:b/>
        </w:rPr>
        <w:t>Available abstract (not full text):</w:t>
      </w:r>
      <w:r>
        <w:t xml:space="preserve"> Population dynamics set the framework for human genetic and cultural evolution. For foragers, demographic and environmental changes correlate strongly, although the causal relations between different environmental variables and human responses through time and space likely varied. Building on the notion of limiting factors, namely that at any one time, the scarcest resource caps population size, we present a statistical approach to identify the dominant climatic constraints for hunter-gatherer population densities and then hindcast their changing dynamics in Europe for the period between 21,000 to 8000 years ago. Limiting factors shifted from temperature-related variables (effective temperature) during the Pleistocene to a regional mosaic of limiting factors in the Holocene dominated by temperature seasonality and annual precipitation. This spatiotemporal variation suggests that hunter-gatherers needed to overcome very different adaptive challenges in different parts of Europe and that these challenges varied over time. The signatures of these changing adaptations may be visible archaeologically. In addition, the spatial disaggregation of limiting factors from the Pleistocene to the Holocene coincided with and may partly explain the diversification of the cultural geography at this time.</w:t>
      </w:r>
    </w:p>
    <w:p>
      <w:pPr/>
      <w:r>
        <w:rPr>
          <w:b/>
        </w:rPr>
        <w:t>POSSIBLE 2021:</w:t>
      </w:r>
      <w:r>
        <w:t xml:space="preserve"> Extreme windstorms and sting jets in convection-permitting climate simulations over Europe — https://doi.org/10.1007/s00382-021-06011-4</w:t>
      </w:r>
    </w:p>
    <w:p>
      <w:pPr/>
      <w:r>
        <w:rPr>
          <w:b/>
        </w:rPr>
        <w:t>Shared claim-specific concepts:</w:t>
      </w:r>
      <w:r>
        <w:t xml:space="preserve"> over, large; EU scope visible. This is a provisional connection, not an outcome finding.</w:t>
      </w:r>
    </w:p>
    <w:p>
      <w:pPr>
        <w:pStyle w:val="SourceNote"/>
      </w:pPr>
      <w:r>
        <w:rPr>
          <w:b/>
        </w:rPr>
        <w:t>Available abstract (not full text):</w:t>
      </w:r>
      <w:r>
        <w:t xml:space="preserve"> Abstract Extra-tropical windstorms are one of the costliest natural hazards affecting Europe, and windstorms that develop a sting-jet are extremely damaging. A sting-jet is a mesoscale core of very high wind speeds that occurs in Shapiro-Keyser type cyclones, and high-resolution models are required to adequately model sting-jets. Here, we develop a low-cost methodology to automatically detect sting jets, using the characteristic warm seclusion of Shapiro-Keyser cyclones and the slantwise descent of high wind speeds, within pan-European 2.2km convection-permitting climate model (CPM) simulations over Europe. The representation of wind gusts is improved with respect to ERA-Interim reanalysis data compared to observations; this is linked to better representation of cold conveyor belts and sting-jets in the CPM. Our analysis indicates that Shapiro-Keyser cyclones, and those that develop sting-jets, are the most damaging windstorms in present and future climates. The frequency of extreme windstorms is projected to increase by 2100 and a large contribution comes from sting-jet storms. Furthermore, extreme wind speeds and their future changes are underestimated in the GCM compared to the CPM. We conclude that the CPM adds value in the representation of extreme winds and surface wind gusts and can provide improved input for impact models compared to coarser resolution models.</w:t>
      </w:r>
    </w:p>
    <w:p>
      <w:pPr/>
      <w:r>
        <w:rPr>
          <w:b/>
        </w:rPr>
        <w:t>POSSIBLE 2021:</w:t>
      </w:r>
      <w:r>
        <w:t xml:space="preserve"> Experimental validation of an integrated modelling approach to neutron emission studies at JET — https://doi.org/10.1088/1741-4326/ac3021</w:t>
      </w:r>
    </w:p>
    <w:p>
      <w:pPr/>
      <w:r>
        <w:rPr>
          <w:b/>
        </w:rPr>
        <w:t>Shared claim-specific concepts:</w:t>
      </w:r>
      <w:r>
        <w:t xml:space="preserve"> jet, several, characteristics; EU scope not established. This is a provisional connection, not an outcome finding.</w:t>
      </w:r>
    </w:p>
    <w:p>
      <w:pPr>
        <w:pStyle w:val="SourceNote"/>
      </w:pPr>
      <w:r>
        <w:rPr>
          <w:b/>
        </w:rPr>
        <w:t>Available abstract (not full text):</w:t>
      </w:r>
      <w:r>
        <w:t xml:space="preserve"> An integrated modelling methodology for the calculation of realistic plasma neutron sources for the JET tokamak has been developed. The computational chain comprises TRANSP plasma transport and DRESS neutron spectrum calculations, and their coupling to the MCNP neutron transport code, bridging plasma physics and neutronics. In the paper we apply the developed methodology to the analysis of neutron emission properties of deuterium and helium plasmas at JET, and validate individual modelling steps against neutron diagnostic measurements. Two types of JET discharges are modelled—baseline-like and three-ion radio-frequency scenarios—due to their diversity in plasma heating, characteristics of the induced fast ion population, and the imprint of these on neutron emission properties. The neutron emission modelling results are quantitatively compared to the total neutron yield from fission chambers, neutron emissivity profiles from the neutron camera, neutron spectra from the time-of-flight spectrometer, and neutron activation measurements. The agreement between measured and calculated quantities is found to be satisfactory for all four diagnostic systems within the estimated experimental and computational uncertainties. Additionally, the effect of neutrons not originating from the dominating D(D, n) 3 He reactions is studied through modelling of triton burnup DT neutrons, and, in mixe</w:t>
      </w:r>
    </w:p>
    <w:p>
      <w:pPr/>
      <w:r>
        <w:rPr>
          <w:b/>
        </w:rPr>
        <w:t>POSSIBLE 2020:</w:t>
      </w:r>
      <w:r>
        <w:t xml:space="preserve"> Drivers of the Northern Extratropical Eddy‐Driven Jet Change in CMIP5 and CMIP6 Models — https://doi.org/10.1029/2019gl086695</w:t>
      </w:r>
    </w:p>
    <w:p>
      <w:pPr/>
      <w:r>
        <w:rPr>
          <w:b/>
        </w:rPr>
        <w:t>Shared claim-specific concepts:</w:t>
      </w:r>
      <w:r>
        <w:t xml:space="preserve"> jet, over, northern; EU scope visible. This is a provisional connection, not an outcome finding.</w:t>
      </w:r>
    </w:p>
    <w:p>
      <w:pPr>
        <w:pStyle w:val="SourceNote"/>
      </w:pPr>
      <w:r>
        <w:rPr>
          <w:b/>
        </w:rPr>
        <w:t>Available abstract (not full text):</w:t>
      </w:r>
      <w:r>
        <w:t xml:space="preserve"> Abstract The wintertime midlatitude atmospheric circulation is evaluated in CMIP6 models. The biases have been reduced since CMIP5 although the low‐level flow is still too zonal. CMIP5 and CMIP6 projections of 850 hPa zonal wind are then analyzed and are consistent under the RCP8.5 and the SSP5–8.5 scenarios, respectively. A poleward shift is identified in the Pacific, while a tripole structure is found in the North Atlantic: The zonal wind strengthens over Western Europe and decreases north and south. A multiple linear regression allows us to quantify the contribution of different drivers to the intermodel spread in zonal wind projections. It supports the importance of projected tropical warming and changes in the stratospheric vortex but also suggests a contribution of the asymmetry in the projected surface warming of the equatorial Pacific and of the present‐day biases in the eddy‐driven jet position. The North Atlantic warming hole plays a weaker role.</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over, large;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2019:</w:t>
      </w:r>
      <w:r>
        <w:t xml:space="preserve"> Jet production in charged-current deep-inelastic scattering to third order in QCD — https://doi.org/10.1016/j.physletb.2019.03.003</w:t>
      </w:r>
    </w:p>
    <w:p>
      <w:pPr/>
      <w:r>
        <w:rPr>
          <w:b/>
        </w:rPr>
        <w:t>Shared claim-specific concepts:</w:t>
      </w:r>
      <w:r>
        <w:t xml:space="preserve"> third, jet; EU scope not established. This is a provisional connection, not an outcome finding.</w:t>
      </w:r>
    </w:p>
    <w:p>
      <w:pPr>
        <w:pStyle w:val="SourceNote"/>
      </w:pPr>
      <w:r>
        <w:rPr>
          <w:b/>
        </w:rPr>
        <w:t>Available abstract (not full text):</w:t>
      </w:r>
      <w:r>
        <w:t xml:space="preserve"> The production of jets in charged-current deep-inelastic scattering (CC DIS) probes simultaneously the strong and the electroweak sectors of the Standard Model ; its measurement provides important information on the quark flavour structure of the proton. We compute third-order ( N 3 LO ) perturbative QCD corrections to this process, fully differential in the jet and lepton kinematics. We observe a substantial reduction in the theory uncertainty, to sub-percent level throughout the relevant kinematical range, thus enabling precision phenomenology with jet observables.</w:t>
      </w:r>
    </w:p>
    <w:p>
      <w:pPr>
        <w:pStyle w:val="Heading2"/>
      </w:pPr>
      <w:r>
        <w:t>770.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2023:</w:t>
      </w:r>
      <w:r>
        <w:t xml:space="preserve"> Sarcopenia prevalence and functional outcomes in older men with obesity: Comparing the use of the EWGSOP2 sarcopenia versus ESPEN-EASO sarcopenic obesity consensus definitions — https://doi.org/10.1016/j.clnu.2023.07.014</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BACKGROUND &amp; AIMS: The potential for older adults with obesity to also have sarcopenia, and the health consequences of 'sarcopenic obesity', may be underappreciated by health professionals. The primary aim of this secondary analysis of a prospective cohort study of older men was to explore the prevalence and functional outcomes of sarcopenic obesity based on different consensus definitions. METHODS: 1416 community-dwelling men aged ≥70 years were classified into sarcopenia categories according to the European Working Group on Sarcopenia in Older People (EWGSOP2) definition, and sarcopenic obesity categories according to the European Society for Clinical Nutrition and Metabolism and the European Association for the Study of Obesity (ESPEN-EASO) definition. Descriptive analyses determined prevalence of sarcopenia in obese and non-obese older men. Multivariable analyses compared associations with functional outcomes including activity of daily living (ADL) and instrumental activity of daily living (IADL) disability and 12-month incident falls. RESULTS: had low muscle strength. Due to low numbers (N = 4) of obese older men with EWGSOP2-confirmed sarcopenia, associations with functional outcomes were not assessed. Men with sarcopenic obesity according to the ESPEN-EASO definition had significantly lower hand grip strength, higher chair-stands time and slower gait speed (all P &lt; 0.05</w:t>
      </w:r>
    </w:p>
    <w:p>
      <w:pPr/>
      <w:r>
        <w:rPr>
          <w:b/>
        </w:rPr>
        <w:t>POSSIBLE 2023:</w:t>
      </w:r>
      <w:r>
        <w:t xml:space="preserve"> Prevalence and variability of depressive symptoms in Europe: update using representative data from the second and third waves of the European Health Interview Survey (EHIS-2 and EHIS-3) — https://doi.org/10.1016/s2468-2667(23)00220-7</w:t>
      </w:r>
    </w:p>
    <w:p>
      <w:pPr/>
      <w:r>
        <w:rPr>
          <w:b/>
        </w:rPr>
        <w:t>Shared claim-specific concepts:</w:t>
      </w:r>
      <w:r>
        <w:t xml:space="preserve"> increase, prevalence, third; EU scope visible. This is a provisional connection, not an outcome finding.</w:t>
      </w:r>
    </w:p>
    <w:p>
      <w:pPr>
        <w:pStyle w:val="SourceNote"/>
      </w:pPr>
      <w:r>
        <w:rPr>
          <w:b/>
        </w:rPr>
        <w:t>Available abstract (not full text):</w:t>
      </w:r>
      <w:r>
        <w:t xml:space="preserve"> BACKGROUND: Assessing the prevalence of clinically relevant depressive symptoms and their possible variation by country and over time could be a valuable resource to inform the development of public health policies and preventive resources to reduce mental health burden. We aimed to assess cross-national differences in the point prevalence of clinically relevant depressive symptoms in Europe in 2018-20, and to evaluate point prevalence differences between countries and over time between 2013-15 and 2018-20. METHODS: In this population-based study, data from participants in the second and third waves of the European Health Interview Survey (EHIS-2 from 2013 to 2015 and EHIS-3 from 2018 to 2020) from 30 European countries were used (n=542 580). From the total sample, 283 692 participants belonging to EHIS-3 were included in the study (52·4% women and 47·5% men). The non-response in EHIS-3 ranged by country, from 12% to 78%. Point prevalence of clinically relevant depressive symptoms was evaluated using a cutoff score of 10 or more for the 8-item version of the Patient Health Questionnaire. Crude prevalence ratios and adjusted prevalence ratios (aPRs) were obtained to assess differences in the prevalence between countries and over time within countries. FINDINGS: The point prevalence of clinically relevant depressive symptoms in Europe in 2018-20 was 6·54% (95% CI 6·34-6·73), rang</w:t>
      </w:r>
    </w:p>
    <w:p>
      <w:pPr/>
      <w:r>
        <w:rPr>
          <w:b/>
        </w:rPr>
        <w:t>POSSIBLE 2022:</w:t>
      </w:r>
      <w:r>
        <w:t xml:space="preserve"> Prevalence and Correlates of Overweight and Obesity in 12 European Countries in 2017–2018 — https://doi.org/10.1159/000525792</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CO</w:t>
      </w:r>
    </w:p>
    <w:p>
      <w:pPr/>
      <w:r>
        <w:rPr>
          <w:b/>
        </w:rPr>
        <w:t>POSSIBLE 2022:</w:t>
      </w:r>
      <w:r>
        <w:t xml:space="preserve"> A 2022 update on the epidemiology of obesity and a call to action: as its twin COVID-19 pandemic appears to be receding, the obesity and dysmetabolism pandemic continues to rage on — https://doi.org/10.1016/j.metabol.2022.155217</w:t>
      </w:r>
    </w:p>
    <w:p>
      <w:pPr/>
      <w:r>
        <w:rPr>
          <w:b/>
        </w:rPr>
        <w:t>Shared claim-specific concepts:</w:t>
      </w:r>
      <w:r>
        <w:t xml:space="preserve"> increase, prevalence, obesity, obese; EU scope visible. This is a provisional connection, not an outcome finding.</w:t>
      </w:r>
    </w:p>
    <w:p>
      <w:pPr>
        <w:pStyle w:val="SourceNote"/>
      </w:pPr>
      <w:r>
        <w:rPr>
          <w:b/>
        </w:rPr>
        <w:t>Available abstract (not full text):</w:t>
      </w:r>
      <w:r>
        <w:t xml:space="preserve"> The WHO just released in May 2022 a report on the state of the obesity pandemic in Europe, stating that 60% of citizens in the area of Europe are either overweight or obese, and highlighting the implications of the obesity pandemic, especially as it interacts with the COVID pandemic to create a twin pandemic, to increase morbidity and mortality. Obesity is a complex disease which has reached pandemic dimensions. The worldwide prevalence of obesity has nearly tripled since 1975, mainly due to the adoption of a progressively more sedentary lifestyle and the consumption of less healthy diets. We first report herein updated prevalence rates of overweight and obesity by sex, age, and region first in Europe, per the WHO report, and then worldwide between 1980 and 2019, as we analyze and present herein the data provided by the Global Burden of Disease Study. The prevalence of obesity is higher in women than in men of any age and the prevalence of both overweight and obesity increases with age and has reached their highest point between the ages of 50 to 65 years showing a slight downward trend afterwards. The age-standardized prevalence of obesity has increased from 4.6% in 1980 to 14.0% in 2019. The American and European region have the highest obesity prevalence and the USA and Russia are the countries with the most obese residents. Given dire implications in terms of comorbidities </w:t>
      </w:r>
    </w:p>
    <w:p>
      <w:pPr/>
      <w:r>
        <w:rPr>
          <w:b/>
        </w:rPr>
        <w:t>POSSIBLE 2022:</w:t>
      </w:r>
      <w:r>
        <w:t xml:space="preserve"> Prevalence and Socioeconomic Correlates of Adult Obesity in Europe: The Feel4Diabetes Study — https://doi.org/10.3390/ijerph191912572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To effectively tackle obesity, it is necessary to identify all specific socioeconomic factors which contribute to its development. We aimed to highlight the prevalence of adult overweight/obesity in European countries and investigate the association of various socioeconomic factors and their accumulative effect on overweight/obesity status. Cross-sectional data from the Feel4Diabetes study for 24,562 adults residing in low socioeconomic areas were collected, representing Belgium, Finland, Greece, Spain, Bulgaria, and Hungary. Socioeconomic Burden Score (SEBS) was created, accounting for unemployment, financial insecurity, and education ≤ 12 years. Data were analyzed using analysis of variance and logistic regression. In total, 19,063 adults with complete data were included (34.5% overweight and 15.8% obese). The highest overweight/obesity rates occurred in Greece (37.5%/17.8%) and Hungary (35.4%/19.7%). After adjusting for confounders, age of &lt;45 years and female sex were inversely associated with overweight/obesity, while low educational level (≤12 years), unemployment, and financial insecurity were positively associated. The increase in SEBS (clustering of socioeconomic disadvantages) was associated with increased overweight/obesity likelihood. This association of SEBS scores with overweight/obesity was evident for males and females across all examined countries, excluding ma</w:t>
      </w:r>
    </w:p>
    <w:p>
      <w:pPr/>
      <w:r>
        <w:rPr>
          <w:b/>
        </w:rPr>
        <w:t>POSSIBLE 2022:</w:t>
      </w:r>
      <w:r>
        <w:t xml:space="preserve"> Supplementary Material for: Prevalence and correlates of overweight and obesity in 12 European Countries in 2017-2018 — https://doi.org/10.6084/m9.figshare.20417997</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w:t>
      </w:r>
    </w:p>
    <w:p>
      <w:pPr/>
      <w:r>
        <w:rPr>
          <w:b/>
        </w:rPr>
        <w:t>POSSIBLE 2022:</w:t>
      </w:r>
      <w:r>
        <w:t xml:space="preserve"> Increased Scabies Incidence at the Beginning of the 21st Century: What Do Reports from Europe and the World Show? — https://doi.org/10.3390/life12101598</w:t>
      </w:r>
    </w:p>
    <w:p>
      <w:pPr/>
      <w:r>
        <w:rPr>
          <w:b/>
        </w:rPr>
        <w:t>Shared claim-specific concepts:</w:t>
      </w:r>
      <w:r>
        <w:t xml:space="preserve"> increase, prevalence, every; EU scope visible. This is a provisional connection, not an outcome finding.</w:t>
      </w:r>
    </w:p>
    <w:p>
      <w:pPr>
        <w:pStyle w:val="SourceNote"/>
      </w:pPr>
      <w:r>
        <w:rPr>
          <w:b/>
        </w:rPr>
        <w:t>Available abstract (not full text):</w:t>
      </w:r>
      <w:r>
        <w:t xml:space="preserve"> Reports from various countries have described increasing numbers of scabies cases, especially in the past two decades. The epidemiological data for various world regions showed prevalence estimates ranging from 0.2% to 71%, with the highest prevalence in the Pacific region and Latin America. Therefore, geographically, scabies occurs more commonly in the developing world, tropical climates, and in areas with a lack of access to water. According to results from specific regions of the world, the greatest burdens from scabies were recorded for East Asia, Southeast Asia, Oceania, tropical Latin America, and South Asia. Among countries with the highest rates, the top 10 were Indonesia, China, Timor-Leste, Vanuatu, Fiji, Cambodia, Laos, Myanmar, Vietnam, and the Seychelles. From Europe, available data shows an increasing trend in scabies infestation, particularly evident among populations with associated contributing factors, such as those who travel frequently, refugees, asylum seekers, those who regularly lack drinking water and appropriate hygiene and are of a younger age, etc. This increase in observed cases in the last 10-20 years has been evidenced by research conducted in Germany, France, Norway, and Croatia, among other countries. In addition, increased scabies transmission was also recorded during the COVID-19 pandemic and may have been the result of increased sexual interco</w:t>
      </w:r>
    </w:p>
    <w:p>
      <w:pPr/>
      <w:r>
        <w:rPr>
          <w:b/>
        </w:rPr>
        <w:t>POSSIBLE 2021:</w:t>
      </w:r>
      <w:r>
        <w:t xml:space="preserve"> Childhood overweight and obesity in Europe: Changes from 2007 to 2017 — https://doi.org/10.1111/obr.13226</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The Childhood Obesity Surveillance Initiative (COSI) routinely measures height and weight of primary school children aged 6-9 years and calculates overweight and obesity prevalence within the World Health Organization (WHO) European Region using a standard methodology. This study examines the trends in the prevalence of overweight and obesity from the first round of COSI carried out in 2007/2008 to the latest of 2015/2017 in 11 European countries in which data were collected for at least three rounds. In total 303,155 children were measured. In general, the prevalence of overweight and obesity among boys and girls decreased in countries with high prevalence (Southern Europe) and remained stable or slightly increased in Northern European and Eastern European countries included in the analysis. Among boys, the highest decrease in overweight (including obesity) was observed in Portugal (from 40.5% in 2007/2008 to 28.4 in 2015/2017) and in Greece for obesity (from 30.5% in 2009/2010 to 21.7% in 2015/2017). Lithuania recorded the strongest increase in the proportion of boys with overweight (from 24.8% to 28.5%) and obesity (from 9.4% to 12.2%). The trends were similar for boys and girls in most countries. Several countries in Europe have successfully implemented policies and interventions to counteract the increase of overweight and obesity, but there is still much to be done.</w:t>
      </w:r>
    </w:p>
    <w:p>
      <w:pPr/>
      <w:r>
        <w:rPr>
          <w:b/>
        </w:rPr>
        <w:t>POSSIBLE 2021:</w:t>
      </w:r>
      <w:r>
        <w:t xml:space="preserve"> Gestational Diabetes Mellitus in Europe: A Systematic Review and Meta-Analysis of Prevalence Studies — https://doi.org/10.3389/fendo.2021.691033</w:t>
      </w:r>
    </w:p>
    <w:p>
      <w:pPr/>
      <w:r>
        <w:rPr>
          <w:b/>
        </w:rPr>
        <w:t>Shared claim-specific concepts:</w:t>
      </w:r>
      <w:r>
        <w:t xml:space="preserve"> prevalence, third, obese; EU scope visible. This is a provisional connection, not an outcome finding.</w:t>
      </w:r>
    </w:p>
    <w:p>
      <w:pPr>
        <w:pStyle w:val="SourceNote"/>
      </w:pPr>
      <w:r>
        <w:rPr>
          <w:b/>
        </w:rPr>
        <w:t>Available abstract (not full text):</w:t>
      </w:r>
      <w:r>
        <w:t xml:space="preserve"> Background Gestational Diabetes Mellitus (GDM) is defined as the type of hyperglycemia diagnosed for the first-time during pregnancy, presenting with intermediate glucose levels between normal levels for pregnancy and glucose levels diagnostic of diabetes in the non-pregnant state. We aimed to systematically review and meta-analyze studies of prevalence of GDM in European countries at regional and sub-regional levels, according to age, trimester, body weight, and GDM diagnostic criteria. Methods Systematic search was conducted in five databases to retrieve studies from 2014 to 2019 reporting the prevalence of GDM in Europe. Two authors have independently screened titles and abstracts and full text according to eligibility using Covidence software. A random-effects model was used to quantify weighted GDM prevalence estimates. The National Heart, Lung, and Blood Institute criteria was used to assess the risk of bias. Results From the searched databases, 133 research reports were deemed eligible and included in the meta-analysis. The research reports yielded 254 GDM-prevalence studies that tested 15,572,847 pregnant women between 2014 and 2019. The 133 research reports were from 24 countries in Northern Europe (44.4%), Southern Europe (27.1%), Western Europe (24.1%), and Eastern Europe (4.5%). The overall weighted GDM prevalence in the 24 European countries was estimated at 10.9% </w:t>
      </w:r>
    </w:p>
    <w:p>
      <w:pPr/>
      <w:r>
        <w:rPr>
          <w:b/>
        </w:rPr>
        <w:t>POSSIBLE 2020:</w:t>
      </w:r>
      <w:r>
        <w:t xml:space="preserve"> Obesity Prevalence in the Long-Term Future in 18 European Countries and in the USA — https://doi.org/10.1159/000511023</w:t>
      </w:r>
    </w:p>
    <w:p>
      <w:pPr/>
      <w:r>
        <w:rPr>
          <w:b/>
        </w:rPr>
        <w:t>Shared claim-specific concepts:</w:t>
      </w:r>
      <w:r>
        <w:t xml:space="preserve"> prevalence, obesity, expected; EU scope visible. This is a provisional connection, not an outcome finding.</w:t>
      </w:r>
    </w:p>
    <w:p>
      <w:pPr>
        <w:pStyle w:val="SourceNote"/>
      </w:pPr>
      <w:r>
        <w:rPr>
          <w:b/>
        </w:rPr>
        <w:t>Available abstract (not full text):</w:t>
      </w:r>
      <w:r>
        <w:t xml:space="preserve"> INTRODUCTION: Obesity constitutes a major public health problem in Europe, but how the obesity epidemic in European countries will evolve remains unknown. Most previous obesity projections considered the short-term future only, focused on single non-European countries, and projected ongoing increases foremost. We comparatively project obesity prevalence into the long-term future for 18 European countries and the USA. DATA: We used national age-specific (20-84 years) and sex-specific obesity prevalence estimates (1975-2016) from the NCD Risk Factor Collaboration (NCD-RisC) 2017 study, which are based on available measured height and weight data, supplemented with estimates from a Bayesian hierarchical model. METHODS: We projected age- and sex-specific obesity prevalence up to the year 2100 by integrating the notion of a wave-shaped obesity epidemic into conventional age-period projections. RESULTS: In 1990-2016, the increasing trends in obesity prevalence were decelerating. Obesity is expected to reach maximum levels between 2030 and 2052 among men, and between 2026 and 2054 among women. The maximum levels will likely be reached first in The Netherlands, USA, and UK, and last in Switzerland; and are expected to be highest in the USA and UK, and lowest in The Netherlands for men and Denmark for women. In 2060, obesity prevalence is expected to be lowest among Dutch men and highes</w:t>
      </w:r>
    </w:p>
    <w:p>
      <w:pPr/>
      <w:r>
        <w:rPr>
          <w:b/>
        </w:rPr>
        <w:t>POSSIBLE 2020:</w:t>
      </w:r>
      <w:r>
        <w:t xml:space="preserve"> Obesity ‑ a risk factor for increased COVID‑19 prevalence, severity and lethality (Review) — https://doi.org/10.3892/mmr.2020.11127</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Coronaviruses (CoVs), enveloped positive-sense RNA viruses, are a group of viruses that cause infections in the human respiratory tract, which can be characterized clinically from mild to fatal. The severe acute respiratory syndrome coronavirus 2 (SARS‑CoV‑2) is the virus responsible. The global spread of COVID‑19 can be described as the worst pandemic in humanity in the last century. To date, COVID‑19 has infected more than 3,000,000 people worldwide and killed more than 200,000 people. All age groups can be infected from the virus, but more serious symptoms that can possibly result in death are observed in older people and those with underlying medical conditions such as cardiovascular and pulmonary disease. Novel data report more severe symptoms and even a negative prognosis for the obese patients. A growing body of evidence connects obesity with COVID‑19 and a number of mechanisms from immune system activity attenuation to chronic inflammation are implicated. Lipid peroxidation creates reactive lipid aldehydes which in a patient with metabolic disorder and COVID‑19 will affect its prognosis. Finally, pregnancy‑associated obesity needs to be studied further in connection to COVID‑19 as this infection could pose high risk both to pregnant women and the fetus.</w:t>
      </w:r>
    </w:p>
    <w:p>
      <w:pPr>
        <w:pStyle w:val="Heading2"/>
      </w:pPr>
      <w:r>
        <w:t>771.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2022:</w:t>
      </w:r>
      <w:r>
        <w:t xml:space="preserve"> Policy mixes for mainstreaming urban nature-based solutions: An analysis of six European countries and the European Union — https://doi.org/10.1016/j.envsci.2022.10.011</w:t>
      </w:r>
    </w:p>
    <w:p>
      <w:pPr/>
      <w:r>
        <w:rPr>
          <w:b/>
        </w:rPr>
        <w:t>Shared claim-specific concepts:</w:t>
      </w:r>
      <w:r>
        <w:t xml:space="preserve"> mainstream, but, union; EU scope visible. This is a provisional connection, not an outcome finding.</w:t>
      </w:r>
    </w:p>
    <w:p>
      <w:pPr>
        <w:pStyle w:val="SourceNote"/>
      </w:pPr>
      <w:r>
        <w:rPr>
          <w:b/>
        </w:rPr>
        <w:t>Available abstract (not full text):</w:t>
      </w:r>
      <w:r>
        <w:t xml:space="preserve"> Nature-based solutions (NBS) are multifunctional and cost-effective innovations delivering urban sustainability, but they are not yet mainstream in urban development. This can be explained by persistent structural conditions in the urban infrastructure regime, resulting in barriers such as lack of collaborative governance, inadequate knowledge and limited funding availability. In this paper we argue that (supra)national governments could play an important role in breaking down these barriers by employing policy instruments and strategically combining these into policy mixes targeting multiple regime structures. By means of an empirical analysis across six European countries and the European Union (EU), we provide an overview of regulatory, financial and soft (supra)national policy instruments supporting urban NBS mainstreaming and how these are combined in policy mixes across cases. In addition, we investigate policy mix comprehensiveness by mapping the extent to which these target each of the relevant urban infrastructure regime structures underpinning barriers to urban NBS mainstreaming. We demonstrate that, with the exception of the EU, none of the studied cases employs a fully comprehensive policy mix. We conclude that by strategically adopting policy instruments with the aim of crafting a comprehensive policy mix, obstacles in pathways to urban NBS mainstreaming could be o</w:t>
      </w:r>
    </w:p>
    <w:p>
      <w:pPr/>
      <w:r>
        <w:rPr>
          <w:b/>
        </w:rPr>
        <w:t>POSSIBLE 2022:</w:t>
      </w:r>
      <w:r>
        <w:t xml:space="preserve"> Sustainable development in the European Union — https://doi.org/10.4324/9780429262081-25</w:t>
      </w:r>
    </w:p>
    <w:p>
      <w:pPr/>
      <w:r>
        <w:rPr>
          <w:b/>
        </w:rPr>
        <w:t>Shared claim-specific concepts:</w:t>
      </w:r>
      <w:r>
        <w:t xml:space="preserve"> academic, debate, union, process; EU scope visible. This is a provisional connection, not an outcome finding.</w:t>
      </w:r>
    </w:p>
    <w:p>
      <w:pPr>
        <w:pStyle w:val="SourceNote"/>
      </w:pPr>
      <w:r>
        <w:rPr>
          <w:b/>
        </w:rPr>
        <w:t>Available abstract (not full text):</w:t>
      </w:r>
      <w:r>
        <w:t xml:space="preserve"> For many, the definition of sustainable development provided in the Brundtland Report marked the beginning of the era of sustainability. This chapter that there remains much rhetoric, not action, in the sustainability debate in the European Union (EU), undermining the credibility of the brand and the opportunity for sustainability to become ‘the vision’ for the future of the EU. Notions of sustainability transition are prominent in academic literature and influence EU policy frameworks. The Sustainable Development Goals will be at the heart of EU’s policymaking and action. The EU and the Member States share the competence for action on sustainability. The EU is proposing strategies, including measures to be put into operation at the national and sub-national levels. The objective of sustainability has been mainstreamed into EU domestic and external policies. Within the EU, the increased commitment to sustainability resulted in a deepening of the process of European integration from the late 1980s.</w:t>
      </w:r>
    </w:p>
    <w:p>
      <w:pPr/>
      <w:r>
        <w:rPr>
          <w:b/>
        </w:rPr>
        <w:t>POSSIBLE 2022:</w:t>
      </w:r>
      <w:r>
        <w:t xml:space="preserve"> European politics : Crises, fears, and debates — https://doi.org/10.56037/978-2-14-026532-7</w:t>
      </w:r>
    </w:p>
    <w:p>
      <w:pPr/>
      <w:r>
        <w:rPr>
          <w:b/>
        </w:rPr>
        <w:t>Shared claim-specific concepts:</w:t>
      </w:r>
      <w:r>
        <w:t xml:space="preserve"> but, union, disintegration; EU scope visible. This is a provisional connection, not an outcome finding.</w:t>
      </w:r>
    </w:p>
    <w:p>
      <w:pPr>
        <w:pStyle w:val="SourceNote"/>
      </w:pPr>
      <w:r>
        <w:rPr>
          <w:b/>
        </w:rPr>
        <w:t>Available abstract (not full text):</w:t>
      </w:r>
      <w:r>
        <w:t xml:space="preserve"> The European Union has been struggling with a multilevel poly-crisis, weakening popular support for European integration, over the past more than a decade. Political leaders aim to reverse these dynamics through democratising and politicising the Union in order to bring it closer to citizens. However, this runs counter to a trend of increasing political alienation among the same citizens at the national level. This is a book about troubled and troubling transformations in contemporary European societies and politics, which generate fears across the continent. Fears of disintegration at the European level, fears of disorder and instability at the national level, fears of disorientation at the individual level, fears of becoming irrelevant at the global level, and fears of the future that seems to be full of dangers and risks. The authors give an overview of public debates about key challenges – regarding social inequalities, demography, migration, the ecological debt, sustainable development, democracy, communication, populism, or strategic sovereignty – behind these fears, and explain alternative responses offered to them. They address university students in the first place, but also hope to shape awareness in a broader public. Today’s fears, if ignored or left unanswered, have a dangerous potential to evolve into a new political era of anxiety in Europe, with a presumably deva</w:t>
      </w:r>
    </w:p>
    <w:p>
      <w:pPr/>
      <w:r>
        <w:rPr>
          <w:b/>
        </w:rPr>
        <w:t>POSSIBLE 2022:</w:t>
      </w:r>
      <w:r>
        <w:t xml:space="preserve"> On Mainstreaming Philosophy of Science in Psychology Through “Psychological Theoretics — https://doi.org/10.18290/rpsych2022.0002</w:t>
      </w:r>
    </w:p>
    <w:p>
      <w:pPr/>
      <w:r>
        <w:rPr>
          <w:b/>
        </w:rPr>
        <w:t>Shared claim-specific concepts:</w:t>
      </w:r>
      <w:r>
        <w:t xml:space="preserve"> debate, but, surely, crisis; EU scope not established. This is a provisional connection, not an outcome finding.</w:t>
      </w:r>
    </w:p>
    <w:p>
      <w:pPr>
        <w:pStyle w:val="SourceNote"/>
      </w:pPr>
      <w:r>
        <w:rPr>
          <w:b/>
        </w:rPr>
        <w:t>Available abstract (not full text):</w:t>
      </w:r>
      <w:r>
        <w:t xml:space="preserve"> The principal goal of psychological science is not application but theory. This is because a good theory yields accurate predictions and control, two preconditions for applications. Thus, good psychological science is one that produces good theories. Against the background of reproducibility crisis and the apparent non-existence of an integrated subfield of psychology addressing those issues, I submit psychological theoretics (or psycho-theoretics) as a potential solution. The scope of psychological theoretics is outlined and distinguished from other closely related subfields. It was argued that psychological theoretics has the potential to make a unique contribution to the advancement of good psychological science. It is also worth noting that even if the global community of psychologists might not be ready for psychological theoretics as a new subfield, the reforms proposed under its rubrics would still remain relevant today and in the future. Indeed, the question of whether it is completely new will surely be the subject of scientific debate.</w:t>
      </w:r>
    </w:p>
    <w:p>
      <w:pPr/>
      <w:r>
        <w:rPr>
          <w:b/>
        </w:rPr>
        <w:t>POSSIBLE 2019:</w:t>
      </w:r>
      <w:r>
        <w:t xml:space="preserve"> Course “European Identity Politics”. Academic year2018-2019. Didactic materials — https://openalex.org/W3044140315</w:t>
      </w:r>
    </w:p>
    <w:p>
      <w:pPr/>
      <w:r>
        <w:rPr>
          <w:b/>
        </w:rPr>
        <w:t>Shared claim-specific concepts:</w:t>
      </w:r>
      <w:r>
        <w:t xml:space="preserve"> academic, but, united; EU scope visible. This is a provisional connection, not an outcome finding.</w:t>
      </w:r>
    </w:p>
    <w:p>
      <w:pPr>
        <w:pStyle w:val="SourceNote"/>
      </w:pPr>
      <w:r>
        <w:rPr>
          <w:b/>
        </w:rPr>
        <w:t>Available abstract (not full text):</w:t>
      </w:r>
      <w:r>
        <w:t xml:space="preserve"> Contents Project “European Velues and Identity Studies” ................. 4 Course: “European Identity Politics” ................................... 6 Teachers ................................................................................... 10 Reading Texts: Avraham Rot Constructing Identity and Embracing Boredom in United Europe ............................................................................... 11 Juliette Chevée Constructing a European identity: yes, but how? .................. 25 The manifesto of European patriots Fight for Europe – or the wreckers will destroy it ............................................. 28 Francis Fukuyama Against Identity Politics ......................................................... 31 About Jean Monnet .............................................................. 56 About ERASMUS+ Jean Monnet Programme ................... 58</w:t>
      </w:r>
    </w:p>
    <w:p>
      <w:pPr>
        <w:pStyle w:val="Heading2"/>
      </w:pPr>
      <w:r>
        <w:t>772.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https://openalex.org/W7154801030</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2025:</w:t>
      </w:r>
      <w:r>
        <w:t xml:space="preserve"> Urban Complexity + Emergence: Procedural Modeling of City Activity and Form — https://doi.org/10.31219/osf.io/uk4ve_v1</w:t>
      </w:r>
    </w:p>
    <w:p>
      <w:pPr/>
      <w:r>
        <w:rPr>
          <w:b/>
        </w:rPr>
        <w:t>Shared claim-specific concepts:</w:t>
      </w:r>
      <w:r>
        <w:t xml:space="preserve"> emergence, urban, city, techniques; EU scope not established. This is a provisional connection, not an outcome finding.</w:t>
      </w:r>
    </w:p>
    <w:p>
      <w:pPr>
        <w:pStyle w:val="SourceNote"/>
      </w:pPr>
      <w:r>
        <w:rPr>
          <w:b/>
        </w:rPr>
        <w:t>Available abstract (not full text):</w:t>
      </w:r>
      <w:r>
        <w:t xml:space="preserve"> Cities are immense and extremely difficult to conceptualize, let alone model, and previousdigitally based efforts have often failed to capture the complexity and indeterminacy of urbanorganizations. Architects and designers have had trouble conceiving of techniques for examiningthese systems due to their large number of interacting micro-parts that evolve over time. We’vealso had difficulty finding workable planning strategies that operate in a more decentralizedmanner to accommodate the multiplicity of (often autonomous) urban decision makers. To thisend, an interdisciplinary team composed of an architect and urban designer, a computer scientist,and a mathematician, educator and learning technologist are researching and formulatingmethods of examining cities using the agent-based digital modeling program NetLogo.</w:t>
      </w:r>
    </w:p>
    <w:p>
      <w:pPr/>
      <w:r>
        <w:rPr>
          <w:b/>
        </w:rPr>
        <w:t>POSSIBLE 2025:</w:t>
      </w:r>
      <w:r>
        <w:t xml:space="preserve"> Beyond Automation: The Emergence of Agentic Urban AI — https://doi.org/10.3390/automation6030029</w:t>
      </w:r>
    </w:p>
    <w:p>
      <w:pPr/>
      <w:r>
        <w:rPr>
          <w:b/>
        </w:rPr>
        <w:t>Shared claim-specific concepts:</w:t>
      </w:r>
      <w:r>
        <w:t xml:space="preserve"> emergence, urban, city, need; EU scope not established. This is a provisional connection, not an outcome finding.</w:t>
      </w:r>
    </w:p>
    <w:p>
      <w:pPr>
        <w:pStyle w:val="SourceNote"/>
      </w:pPr>
      <w:r>
        <w:rPr>
          <w:b/>
        </w:rPr>
        <w:t>Available abstract (not full text):</w:t>
      </w:r>
      <w:r>
        <w:t xml:space="preserve"> Urban systems are transforming as artificial intelligence (AI) evolves from automation to Agentic Urban AI (AI systems with autonomous goal-setting and decision-making capabilities), which independently define and pursue urban objectives. This shift necessitates reassessing governance, planning, and ethics. Using a conceptual-methodological approach, this study integrates urban studies, AI ethics, and governance theory. Through a literature review and case studies of platforms like Alibaba’s City Brain and CityMind AI Agent, it identifies early agency indicators, such as strategic adaptation and goal re-prioritisation. A typology distinguishing automation, autonomy, and agency clarifies AI-driven urban decision-making. Three trajectories are proposed: fully autonomous Agentic AI, collaborative Hybrid Urban Agency, and constrained Non-Agentic AI to mitigate ethical risks. The findings highlight the need for participatory, transparent governance to ensure democratic accountability and social equity in cognitive urban ecosystems.</w:t>
      </w:r>
    </w:p>
    <w:p>
      <w:pPr/>
      <w:r>
        <w:rPr>
          <w:b/>
        </w:rPr>
        <w:t>POSSIBLE 2025:</w:t>
      </w:r>
      <w:r>
        <w:t xml:space="preserve"> The Evolution of Restoration Ideologies: The Emergence, Disappearance, and Revival of the Palatine Gate as an Urban Axis Node — https://doi.org/10.56397/saa.2025.04.01</w:t>
      </w:r>
    </w:p>
    <w:p>
      <w:pPr/>
      <w:r>
        <w:rPr>
          <w:b/>
        </w:rPr>
        <w:t>Shared claim-specific concepts:</w:t>
      </w:r>
      <w:r>
        <w:t xml:space="preserve"> emergence, urban, city, techniques, focuses; EU scope visible. This is a provisional connection, not an outcome finding.</w:t>
      </w:r>
    </w:p>
    <w:p>
      <w:pPr>
        <w:pStyle w:val="SourceNote"/>
      </w:pPr>
      <w:r>
        <w:rPr>
          <w:b/>
        </w:rPr>
        <w:t>Available abstract (not full text):</w:t>
      </w:r>
      <w:r>
        <w:t xml:space="preserve"> This paper focuses on the Porta Palatina in Turin, Italy, analyzing its emergence, disappearance, and revival as a node of the urban axis. Using this as a central thread, it explores the evolution of restoration ideologies in Italy. Constructed in the 1st century BCE, Porta Palatina served as a crucial gateway to the ancient Roman city of Turin, marking the starting point of Caesar’s Gallic Wars and the spread of Roman civilization. Over the course of Turin’s urban transformation, the role of Porta Palatina as a city axis shifted through three distinct phases: from being a military and political center in Roman times, to being abandoned during the Baroque period, and finally, to its revival and rediscovery in modern times. This study delves into the restoration journey of Porta Palatina, spanning from stylistic restoration in the mid-19th century to scientific restoration in the 20th century, and culminating in archaeological park design in the 21st century. It illustrates the transition of Italian restoration ideologies from Romanticism to modern scientific conservation. By examining restoration practices across different eras, this paper uncovers the interactions between restoration theory and culture, history, and technology. It emphasizes that restoration is not only an advancement in architectural techniques but also a respect for and preservation of historical culture. Th</w:t>
      </w:r>
    </w:p>
    <w:p>
      <w:pPr/>
      <w:r>
        <w:rPr>
          <w:b/>
        </w:rPr>
        <w:t>POSSIBLE 2024:</w:t>
      </w:r>
      <w:r>
        <w:t xml:space="preserve"> The City of Medan: the Emergence of an Urban Centre — https://doi.org/10.1163/9789004716186_004</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emergence of urban heat traps and human mobility in 20 US cities — https://doi.org/10.1038/s42949-024-00142-3</w:t>
      </w:r>
    </w:p>
    <w:p>
      <w:pPr/>
      <w:r>
        <w:rPr>
          <w:b/>
        </w:rPr>
        <w:t>Shared claim-specific concepts:</w:t>
      </w:r>
      <w:r>
        <w:t xml:space="preserve"> emergence, urban, small; EU scope not established. This is a provisional connection, not an outcome finding.</w:t>
      </w:r>
    </w:p>
    <w:p>
      <w:pPr>
        <w:pStyle w:val="SourceNote"/>
      </w:pPr>
      <w:r>
        <w:rPr>
          <w:b/>
        </w:rPr>
        <w:t>Available abstract (not full text):</w:t>
      </w:r>
      <w:r>
        <w:t xml:space="preserve"> Abstract Understanding the relationship between spatial structures of cities and environmental hazard exposures is essential for urban health and sustainability planning. However, a critical knowledge gap exists in terms of the extent to which socio-spatial networks shaped by human mobility exacerbate or alleviate urban heat exposures of populations in cities. In this study, we utilize location-based data to construct human mobility networks in twenty metropolitan areas in the U.S. The human mobility networks are analyzed in conjunction with the urban heat characteristics of spatial areas. We identify areas with high and low urban heat exposure and evaluate visitation patterns of populations residing in high and low urban heat areas to other spatial areas with similar and dissimilar urban heat exposure. The results reveal the presence of urban heat traps in the majority of the studied metropolitan areas, wherein populations residing in high-heat exposure areas primarily visited other high-heat exposure zones. Specifically, cities such as Los Angeles, Boston, and Chicago were particularly pronounced as urban heat traps. The results also show a small percentage of human mobility to produce urban heat escalation and heat escapes. The findings from this study provide a better understanding of urban heat exposure in cities based on patterns of human mobility. These findings contribu</w:t>
      </w:r>
    </w:p>
    <w:p>
      <w:pPr>
        <w:pStyle w:val="Heading2"/>
      </w:pPr>
      <w:r>
        <w:t>773.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2025:</w:t>
      </w:r>
      <w:r>
        <w:t xml:space="preserve"> Analyzing Long-Term Trends in Air Temperature and Precipitation in Bel-Ksiri, Morocco (1980–2024) — https://doi.org/10.22194/jgias/25.1707</w:t>
      </w:r>
    </w:p>
    <w:p>
      <w:pPr/>
      <w:r>
        <w:rPr>
          <w:b/>
        </w:rPr>
        <w:t>Shared claim-specific concepts:</w:t>
      </w:r>
      <w:r>
        <w:t xml:space="preserve"> long-term, temperature, summer, precipitation; EU scope not established. This is a provisional connection, not an outcome finding.</w:t>
      </w:r>
    </w:p>
    <w:p>
      <w:pPr>
        <w:pStyle w:val="SourceNote"/>
      </w:pPr>
      <w:r>
        <w:rPr>
          <w:b/>
        </w:rPr>
        <w:t>Available abstract (not full text):</w:t>
      </w:r>
      <w:r>
        <w:t xml:space="preserve"> The study analyzes climate change in Bel-Ksiri. It provides an understanding of long-term trends (1980-2024) and changes between the last two standard twenty-year climate periods: 1980-2000 and 2001-2020.In this study, we determined the trend of the two variables studied using the Mann-Kendall test and calculated the difference and relative variations in temperature and precipitation. The Kolmogorov-Smirnov test (KS test) was used to compare the two climate periods studied (1980-2000 and 2001-2020). Data analysis was performed using the Python language. Climate trends from 1980 to 2024 reveal a marked warming, particularly in spring and summer, with an increase in daily temperature variations, exacerbating the risk of drought and impacting agriculture, water resources and health. The periods 1980-2000 and 2001-2020 show significant differences, notably an increase in maximum and minimum night-time temperatures, particularly during summer and spring. Analysis of climate indices, such as TX90p and TN90p, shows increases in temperature extremes, with notable rises in hot days and warm nights, underlining gradual warming. The TX30, TX35, TX37 and TX39 indices also show significant increases. Hot spells (WSDI) and cold spells (CSDI) have intensified, although some trends are not statistically significant. These results confirm a marked climate change, with significant impacts on eco</w:t>
      </w:r>
    </w:p>
    <w:p>
      <w:pPr/>
      <w:r>
        <w:rPr>
          <w:b/>
        </w:rPr>
        <w:t>POSSIBLE 2025:</w:t>
      </w:r>
      <w:r>
        <w:t xml:space="preserve"> Regional climate projections using a deep-learning–based model-ranking and downscaling framework: application to European climate zones — https://doi.org/10.1007/s11356-025-36872-9</w:t>
      </w:r>
    </w:p>
    <w:p>
      <w:pPr/>
      <w:r>
        <w:rPr>
          <w:b/>
        </w:rPr>
        <w:t>Shared claim-specific concepts:</w:t>
      </w:r>
      <w:r>
        <w:t xml:space="preserve"> temperature, txx, multi-model, projections; EU scope visible. This is a provisional connection, not an outcome finding.</w:t>
      </w:r>
    </w:p>
    <w:p>
      <w:pPr>
        <w:pStyle w:val="SourceNote"/>
      </w:pPr>
      <w:r>
        <w:rPr>
          <w:b/>
        </w:rPr>
        <w:t>Available abstract (not full text):</w:t>
      </w:r>
      <w:r>
        <w:t xml:space="preserve"> Abstract Accurate regional climate projection calls for high-resolution downscaling of Global Climate Models (GCMs). This work presents a deep-learning-based multi-model evaluation and downscaling framework ranking 32 Coupled Model Intercomparison Project Phase 6 (CMIP6) models using a Deep Learning-TOPSIS (DL-TOPSIS) mechanism and refines outputs using advanced deep-learning models. Using nine performance criteria, five Köppen-Geiger climate zones—Tropical, Arid, Temperate, Continental, and Polar—are investigated over four seasons. While TaiESM1 and CMCC-CM2-SR5 show notable biases, ranking results show that NorESM2-LM, GISS-E2-1-G, and HadGEM3-GC31-LL outperform other models. Four models contribute to downscaling the top-ranked GCMs to 0.1 $$^\circ $$ ∘ resolution (Vision Transformer (ViT), Geospatial Spatiotemporal Transformer with Attention and Imbalance-Aware Network (GeoSTANet), CNN-LSTM, CNN-Long Short-Term Memory (ConvLSTM)). Effectively capturing temperature extremes (TXx, TNn), GeoSTANet achieves the highest accuracy (Root Mean Square Error (RMSE) = 1.57 $$^\circ $$ ∘ C, Kling-Gupta Efficiency (KGE) = 0.89, Nash-Sutcliffe Efficiency (NSE) = 0.85, Correlation (r) = 0.92), so reducing RMSE by 20% over ConvLSTM. CNN-LSTM and ConvLSTM do well in Continental and Temperate zones; ViT finds fine-scale temperature fluctuations difficult. These results confirm that multi-crite</w:t>
      </w:r>
    </w:p>
    <w:p>
      <w:pPr/>
      <w:r>
        <w:rPr>
          <w:b/>
        </w:rPr>
        <w:t>POSSIBLE 2025:</w:t>
      </w:r>
      <w:r>
        <w:t xml:space="preserve"> Near-term Climate Prediction of Agricultural Thermal Conditions in East Asia — https://doi.org/10.1007/s00376-025-4471-0</w:t>
      </w:r>
    </w:p>
    <w:p>
      <w:pPr/>
      <w:r>
        <w:rPr>
          <w:b/>
        </w:rPr>
        <w:t>Shared claim-specific concepts:</w:t>
      </w:r>
      <w:r>
        <w:t xml:space="preserve"> temperature, about, end; EU scope not established. This is a provisional connection, not an outcome finding.</w:t>
      </w:r>
    </w:p>
    <w:p>
      <w:pPr>
        <w:pStyle w:val="SourceNote"/>
      </w:pPr>
      <w:r>
        <w:rPr>
          <w:b/>
        </w:rPr>
        <w:t>Available abstract (not full text):</w:t>
      </w:r>
      <w:r>
        <w:t xml:space="preserve"> Abstract Climate change poses significant risks to agriculture, particularly in East Asia, a major crop-producing region. This study evaluates the effectiveness of near-term climate predictions in forecasting agricultural thermal conditions in East Asia for up to five years. We compare temperature-based agroclimatic indicators from atmospheric reanalysis data with the first-year prediction of the Decadal Prediction System version 4 (DePreSys4), initialized annually from November 1960 to 2024. Our analysis reveals that first-year predictions accurately represent observed spatial climatological patterns, although trends in agroclimatic indicators based on daily maximum temperature are overestimated. High skill scores are observed in predicting the beginning of the growing season, frost-free days, agricultural hot days, and heat intensity in major cropping regions. However, the end of the growing season is less predictable due to longer lead times. Notably, five-year average predictions show higher skill than first-year predictions due to smoothed interannual variability. These improved climate predictions enable farmers and policymakers to make informed decisions about crop selection and agricultural infrastructure.</w:t>
      </w:r>
    </w:p>
    <w:p>
      <w:pPr/>
      <w:r>
        <w:rPr>
          <w:b/>
        </w:rPr>
        <w:t>POSSIBLE 2024:</w:t>
      </w:r>
      <w:r>
        <w:t xml:space="preserve"> Long-term daily water temperatures unveil escalating water warming and intensifying heatwaves in the Odra river Basin, Central Europe — https://doi.org/10.1016/j.gsf.2024.101916</w:t>
      </w:r>
    </w:p>
    <w:p>
      <w:pPr/>
      <w:r>
        <w:rPr>
          <w:b/>
        </w:rPr>
        <w:t>Shared claim-specific concepts:</w:t>
      </w:r>
      <w:r>
        <w:t xml:space="preserve"> long-term, temperature, central, ensemble, summer; EU scope visible. This is a provisional connection, not an outcome finding.</w:t>
      </w:r>
    </w:p>
    <w:p>
      <w:pPr>
        <w:pStyle w:val="SourceNote"/>
      </w:pPr>
      <w:r>
        <w:rPr>
          <w:b/>
        </w:rPr>
        <w:t>Available abstract (not full text):</w:t>
      </w:r>
      <w:r>
        <w:t xml:space="preserve"> Water temperature is a critical indicator and weathervane of aquatic ecosystems. However, the vast majority of rivers lack long-term continuous and complete water temperature datasets. In this study, ensemble models by combining NARX (nonlinear autoregressive network with exogenous inputs) and air2stream were used to reconstruct daily river water temperatures for 27 hydrological stations in the Odra River Basin, one of the largest river systems in Europe. For each hydrological station, both the NARX and air2stream models were calibrated and validated, and the better-performed model was selected to reconstruct daily river water temperatures from 1985 to 2022. The results showed that hybrid modeling by combining NARX and air2stream is promising for reconstructing daily river water temperatures. Based on the reconstructed dataset, annual and seasonal trends of water temperature and characteristics of river heatwaves were evaluated. The results indicated that annual river water temperatures showed a consistent warming trend over the past 40 years with an average warming rate of 0.315 °C/decade. Seasonal river water temperatures indicated that summer warms faster, followed by autumn and spring, and winter river water temperatures showed an insignificant warming trend. River heatwaves are increased in frequency, duration, and intensity in the Odra River Basin, and 6 out of 27 hydrolo</w:t>
      </w:r>
    </w:p>
    <w:p>
      <w:pPr/>
      <w:r>
        <w:rPr>
          <w:b/>
        </w:rPr>
        <w:t>POSSIBLE 2024:</w:t>
      </w:r>
      <w:r>
        <w:t xml:space="preserve"> Examining the Eastern European extreme summer temperatures of 2023 from a long-term perspective: the role of natural variability vs. anthropogenic factors — https://doi.org/10.5194/nhess-24-4683-2024</w:t>
      </w:r>
    </w:p>
    <w:p>
      <w:pPr/>
      <w:r>
        <w:rPr>
          <w:b/>
        </w:rPr>
        <w:t>Shared claim-specific concepts:</w:t>
      </w:r>
      <w:r>
        <w:t xml:space="preserve"> long-term, those, find, behavior, summer; EU scope visible. This is a provisional connection, not an outcome finding.</w:t>
      </w:r>
    </w:p>
    <w:p>
      <w:pPr>
        <w:pStyle w:val="SourceNote"/>
      </w:pPr>
      <w:r>
        <w:rPr>
          <w:b/>
        </w:rPr>
        <w:t>Available abstract (not full text):</w:t>
      </w:r>
      <w:r>
        <w:t xml:space="preserve"> Abstract. Amidst unprecedent rising global temperatures, this study investigates the historical context of heatwave (HW) events in Eastern Europe. The record-breaking 2023 summer, featuring a heatwave lasting for 19 days in the south-eastern part of Romania, extending up to Ukraine, necessitates a deeper understanding of past extreme events. Utilizing statistical methods on long-term station data spanning from 1885 to 2023, we aim to detect and analyze historical heatwaves, particularly focusing on events predating 1960. This extended timeframe allows for a more comprehensive assessment of noteworthy extremes compared to recent decades. Our analysis identifies two critical periods with increased heatwave frequency and intensity: 1920–1965 and 1980–2023, respectively, highlighting the most extreme events in August 1946, August 1952, July 2012, June 2019, and August 2023. Furthermore, reanalysis data shows that historical heatwaves, similar to the 2023 event, were associated with large-scale European heat extremes linked to high-pressure systems and they were accompanied by extreme drought, thus leading to compound extreme events. We find that while a clear trend emerges towards more frequent HWs from the 1980s onward, the analysis also uncovers substantial heatwave activity on daily timescales throughout the 1885–1960 period. Moreover, we highlight the intertwined impacts of cli</w:t>
      </w:r>
    </w:p>
    <w:p>
      <w:pPr/>
      <w:r>
        <w:rPr>
          <w:b/>
        </w:rPr>
        <w:t>POSSIBLE 2024:</w:t>
      </w:r>
      <w:r>
        <w:t xml:space="preserve"> Impact of Extreme Climate Indices on Vegetation Dynamics in the Qinghai–Tibet Plateau: A Comprehensive Analysis Utilizing Long-Term Dataset — https://doi.org/10.3390/ijgi13120457</w:t>
      </w:r>
    </w:p>
    <w:p>
      <w:pPr/>
      <w:r>
        <w:rPr>
          <w:b/>
        </w:rPr>
        <w:t>Shared claim-specific concepts:</w:t>
      </w:r>
      <w:r>
        <w:t xml:space="preserve"> long-term, temperature, txx, central, precipitation, distribution; EU scope not established. This is a provisional connection, not an outcome finding.</w:t>
      </w:r>
    </w:p>
    <w:p>
      <w:pPr>
        <w:pStyle w:val="SourceNote"/>
      </w:pPr>
      <w:r>
        <w:rPr>
          <w:b/>
        </w:rPr>
        <w:t>Available abstract (not full text):</w:t>
      </w:r>
      <w:r>
        <w:t xml:space="preserve"> The Qinghai–Tibet Plateau (QTP) is crucial for global climate regulation and ecological equilibrium. However, the phenomenon of global climate warming has increased the frequency of extreme weather events on the QTP, exerting substantial effects on both regional and global ecological systems. This study utilized long-term series NDVI and extreme climate indices to comprehensively evaluate the impact of extreme climatic changes on diverse vegetation types within the QTP. A variety of analytical methodologies, including trend analysis, a Mann–Kendall test, correlation analysis, and random forest importance ranking, were employed in this study. These methodologies were applied to investigate the distribution patterns and variation trends of diverse vegetation types and extreme climate indices. This comprehensive approach facilitated a detailed analysis of the responses of different vegetation types to interannual variability under extreme climatic conditions and enabled the assessment of the impact of extreme climate indices on these vegetation types. The findings have the following implications: (1) Except for forests, the annual NDVI for overall vegetation, meadows, steppes, deserts, and alpine vegetation in the QTP exhibits a significant upward trend (p &lt; 0.01). Notably, meadows and deserts demonstrate the highest growth rates at 0.007/10y, whereas the annual NDVI of forests is</w:t>
      </w:r>
    </w:p>
    <w:p>
      <w:pPr/>
      <w:r>
        <w:rPr>
          <w:b/>
        </w:rPr>
        <w:t>POSSIBLE 2023:</w:t>
      </w:r>
      <w:r>
        <w:t xml:space="preserve"> Mixtures of long-term exposure to ambient air pollution, built environment and temperature and stroke incidence across Europe — https://doi.org/10.1016/j.envint.2023.108136</w:t>
      </w:r>
    </w:p>
    <w:p>
      <w:pPr/>
      <w:r>
        <w:rPr>
          <w:b/>
        </w:rPr>
        <w:t>Shared claim-specific concepts:</w:t>
      </w:r>
      <w:r>
        <w:t xml:space="preserve"> long-term, temperature, lower, until, end; EU scope visible. This is a provisional connection, not an outcome finding.</w:t>
      </w:r>
    </w:p>
    <w:p>
      <w:pPr>
        <w:pStyle w:val="SourceNote"/>
      </w:pPr>
      <w:r>
        <w:rPr>
          <w:b/>
        </w:rPr>
        <w:t>Available abstract (not full text):</w:t>
      </w:r>
      <w:r>
        <w:t xml:space="preserve"> The complex interplay of multiple environmental factors and cardiovascular has scarcely been studied. Within the EXPANSE project, we evaluated the association between long-term exposure to multiple environmental indices and stroke incidence across Europe. Participants from three traditional adult cohorts (Germany, Netherlands and Sweden) and four administrative cohorts (Catalonia [region Spain], Rome [city-wide], Greece and Sweden [nationwide]) were followed until incident stroke, death, migration, loss of follow-up or study end. We estimated exposures at residential addresses from different exposure domains: air pollution (nitrogen dioxide (NO2), particulate matter &lt;2.5μm (PM2.5), black carbon (BC), ozone), built environment (green/blue spaces, impervious surfaces) and meteorology (seasonal mean and standard deviation of temperatures). Associations between environmental exposures and stroke were estimated in single and multiple-exposure Cox proportional hazard models, and Principal Component (PC) Analyses derived prototypes for specific exposures domains. We carried out random effects meta-analyses by cohort type. In over 15 million participants, increased levels of NO2 and BC were associated with increased higher stroke incidence in both cohort types. Increased Normalized Difference Vegetation Index (NDVI) was associated with a lower stroke incidence in both cohort types, whe</w:t>
      </w:r>
    </w:p>
    <w:p>
      <w:pPr/>
      <w:r>
        <w:rPr>
          <w:b/>
        </w:rPr>
        <w:t>POSSIBLE 2023:</w:t>
      </w:r>
      <w:r>
        <w:t xml:space="preserve"> The emergence of projected scaled patterns of extreme temperatures over Europe — https://doi.org/10.3389/feart.2023.1178461</w:t>
      </w:r>
    </w:p>
    <w:p>
      <w:pPr/>
      <w:r>
        <w:rPr>
          <w:b/>
        </w:rPr>
        <w:t>Shared claim-specific concepts:</w:t>
      </w:r>
      <w:r>
        <w:t xml:space="preserve"> temperature, txx, multi-model, ensemble; EU scope visible. This is a provisional connection, not an outcome finding.</w:t>
      </w:r>
    </w:p>
    <w:p>
      <w:pPr>
        <w:pStyle w:val="SourceNote"/>
      </w:pPr>
      <w:r>
        <w:rPr>
          <w:b/>
        </w:rPr>
        <w:t>Available abstract (not full text):</w:t>
      </w:r>
      <w:r>
        <w:t xml:space="preserve"> This work investigates the scalability of extreme temperatures over the European domain with global warming levels. We have used the EURO-CORDEX ensemble of regional model simulations at 0.11° resolution for daily minimum and maximum temperatures to analyze future changes in extreme weather daily events. Scaling with the annual mean global warming modeled by the driving GCM was applied to future extreme temperature indices changes. Regional changes in each index were scaled by corresponding global warming levels obtained from GCMs. This approach asserts that regional patterns of climate change and average global temperature change are linearly related. It can provide information regarding climate change for periods or emission scenarios when no simulations exist. According to the results, the annual minimum of the lowest temperature of the day (TNn) increases more than the annual maximum of the highest temperature of the day (TXx) for Europe. The multi-model mean of the changes in scaled patterns of extreme temperatures emerges early, around 2020, even before it becomes robust. Individual scaled patterns of TNn and TXx emerge from around 2040.</w:t>
      </w:r>
    </w:p>
    <w:p>
      <w:pPr/>
      <w:r>
        <w:rPr>
          <w:b/>
        </w:rPr>
        <w:t>POSSIBLE 2023:</w:t>
      </w:r>
      <w:r>
        <w:t xml:space="preserve"> Heat extremes in Western Europe increasing faster than simulated due to atmospheric circulation trends — https://doi.org/10.1038/s41467-023-42143-3</w:t>
      </w:r>
    </w:p>
    <w:p>
      <w:pPr/>
      <w:r>
        <w:rPr>
          <w:b/>
        </w:rPr>
        <w:t>Shared claim-specific concepts:</w:t>
      </w:r>
      <w:r>
        <w:t xml:space="preserve"> projections, summer; EU scope visible. This is a provisional connection, not an outcome finding.</w:t>
      </w:r>
    </w:p>
    <w:p>
      <w:pPr>
        <w:pStyle w:val="SourceNote"/>
      </w:pPr>
      <w:r>
        <w:rPr>
          <w:b/>
        </w:rPr>
        <w:t>Available abstract (not full text):</w:t>
      </w:r>
      <w:r>
        <w:t xml:space="preserve"> Abstract Over the last 70 years, extreme heat has been increasing at a disproportionate rate in Western Europe, compared to climate model simulations. This mismatch is not well understood. Here, we show that a substantial fraction (0.8 °C [0.2°−1.4 °C] of 3.4 °C per global warming degree) of the heat extremes trend is induced by atmospheric circulation changes, through more frequent southerly flows over Western Europe. In the 170 available simulations from 32 different models that we analyzed, including 3 large model ensembles, none have a circulation-induced heat trend as large as observed. This can be due to underestimated circulation response to external forcing, or to a systematic underestimation of low-frequency variability, or both. The former implies that future projections are too conservative, the latter that we are left with deep uncertainty regarding the pace of future summer heat in Europe. This calls for caution when interpreting climate projections of heat extremes over Western Europe, in view of adaptation to heat waves.</w:t>
      </w:r>
    </w:p>
    <w:p>
      <w:pPr>
        <w:pStyle w:val="Heading2"/>
      </w:pPr>
      <w:r>
        <w:t>774.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2025:</w:t>
      </w:r>
      <w:r>
        <w:t xml:space="preserve"> Interdisciplinary perspectives on the intersections of roads, sustainable development, and disaster resilience — https://doi.org/10.1016/j.ijdrr.2025.105691</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pPr/>
      <w:r>
        <w:rPr>
          <w:b/>
        </w:rPr>
        <w:t>POSSIBLE 2025:</w:t>
      </w:r>
      <w:r>
        <w:t xml:space="preserve"> Educational Innovation for Sustainability: An Interdisciplinary Model of Road Decarbonization in Higher Education — https://doi.org/10.20944/preprints202502.0760.v1</w:t>
      </w:r>
    </w:p>
    <w:p>
      <w:pPr/>
      <w:r>
        <w:rPr>
          <w:b/>
        </w:rPr>
        <w:t>Shared claim-specific concepts:</w:t>
      </w:r>
      <w:r>
        <w:t xml:space="preserve"> interdisciplinary, develops, road; EU scope not established. This is a provisional connection, not an outcome finding.</w:t>
      </w:r>
    </w:p>
    <w:p>
      <w:pPr>
        <w:pStyle w:val="SourceNote"/>
      </w:pPr>
      <w:r>
        <w:rPr>
          <w:b/>
        </w:rPr>
        <w:t>Available abstract (not full text):</w:t>
      </w:r>
      <w:r>
        <w:t xml:space="preserve">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pPr/>
      <w:r>
        <w:rPr>
          <w:b/>
        </w:rPr>
        <w:t>POSSIBLE 2025:</w:t>
      </w:r>
      <w:r>
        <w:t xml:space="preserve"> INTERDISCIPLINARY CONNECTIONS IN ACTION: CREATION OF THE STEAM EDUCATIONAL ECOSYSTEM — https://doi.org/10.52301/1684-940x-2025-1-42-47</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This article examines the basic principles of the organization of educational and methodological work, taking into account the implementation of interdisciplinary connections and integration in the context of the STEAM approach. In modern education, the task of combining science, technology, engineering, art and mathematics to ensure the comprehensive development of students is becoming increasingly important.</w:t>
      </w:r>
    </w:p>
    <w:p>
      <w:pPr/>
      <w:r>
        <w:rPr>
          <w:b/>
        </w:rPr>
        <w:t>POSSIBLE 2024:</w:t>
      </w:r>
      <w:r>
        <w:t xml:space="preserve"> Explainable Artificial Intelligence (XAI) 2.0: A manifesto of open challenges and interdisciplinary research directions — https://doi.org/10.1016/j.inffus.2024.102301</w:t>
      </w:r>
    </w:p>
    <w:p>
      <w:pPr/>
      <w:r>
        <w:rPr>
          <w:b/>
        </w:rPr>
        <w:t>Shared claim-specific concepts:</w:t>
      </w:r>
      <w:r>
        <w:t xml:space="preserve"> interdisciplinary, road, map, based; EU scope not established. This is a provisional connection, not an outcome finding.</w:t>
      </w:r>
    </w:p>
    <w:p>
      <w:pPr>
        <w:pStyle w:val="SourceNote"/>
      </w:pPr>
      <w:r>
        <w:rPr>
          <w:b/>
        </w:rPr>
        <w:t>Available abstract (not full text):</w:t>
      </w:r>
      <w:r>
        <w:t xml:space="preserve"> Understanding black box models has become paramount as systems based on opaque Artificial Intelligence (AI) continue to flourish in diverse real-world applications. In response, Explainable AI (XAI) has emerged as a field of research with practical and ethical benefits across various domains. This paper highlights the advancements in XAI and its application in real-world scenarios and addresses the ongoing challenges within XAI, emphasizing the need for broader perspectives and collaborative efforts. We bring together experts from diverse fields to identify open problems, striving to synchronize research agendas and accelerate XAI in practical applications. By fostering collaborative discussion and interdisciplinary cooperation, we aim to propel XAI forward, contributing to its continued success. We aim to develop a comprehensive proposal for advancing XAI. To achieve this goal, we present a manifesto of 28 open problems categorized into nine categories. These challenges encapsulate the complexities and nuances of XAI and offer a road map for future research. For each problem, we provide promising research directions in the hope of harnessing the collective intelligence of interested stakeholders.</w:t>
      </w:r>
    </w:p>
    <w:p>
      <w:pPr/>
      <w:r>
        <w:rPr>
          <w:b/>
        </w:rPr>
        <w:t>POSSIBLE 2024:</w:t>
      </w:r>
      <w:r>
        <w:t xml:space="preserve"> Strategic flood impact mitigation in developing countries’ urban road networks: Application to Hanoi — https://doi.org/10.1016/j.ejor.2024.06.035</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Due to climate change, the frequency and scale of flood events worldwide are increasing dramatically. Flood impacts are especially acute in developing countries, where they often revert years of progress in sustainable development and poverty reduction. This paper introduces an optimization-based decision support tool for selecting cost-efficient flood mitigation investments in developing countries’ urban areas. The core of the tool is a scenario-based, multi-period, bi-objective Mixed Integer Linear Programming model which minimizes infrastructure damage and traffic congestion in urban road networks. The tool was developed in collaboration with Vietnamese stakeholders (e.g., local communities and government authorities), and integrates data and inputs from other disciplines, including social science, transport economics, climatology and hydrology. A metaheuristic, combining a Greedy Randomized Adaptive Search Procedure with a Variable Neighborhood Descent algorithm, is developed to solve large scale problem instances. An extensive computational campaign on randomly generated instances demonstrates the efficiency of the metaheuristic in solving realistic problems with hundreds of interdependent flood mitigation interventions. Finally, the applicability of the interdisciplinary approach is demonstrated on a real case study to generate a 20-year plan of mitigation investments for</w:t>
      </w:r>
    </w:p>
    <w:p>
      <w:pPr/>
      <w:r>
        <w:rPr>
          <w:b/>
        </w:rPr>
        <w:t>POSSIBLE 2024:</w:t>
      </w:r>
      <w:r>
        <w:t xml:space="preserve"> Experience Architecture: Developing an Interdisciplinary UX Undergraduate Degree — https://openalex.org/W7215275235</w:t>
      </w:r>
    </w:p>
    <w:p>
      <w:pPr/>
      <w:r>
        <w:rPr>
          <w:b/>
        </w:rPr>
        <w:t>Shared claim-specific concepts:</w:t>
      </w:r>
      <w:r>
        <w:t xml:space="preserve"> interdisciplinary, creation, three, based; EU scope not established. This is a provisional connection, not an outcome finding.</w:t>
      </w:r>
    </w:p>
    <w:p>
      <w:pPr>
        <w:pStyle w:val="SourceNote"/>
      </w:pPr>
      <w:r>
        <w:rPr>
          <w:b/>
        </w:rPr>
        <w:t>Available abstract (not full text):</w:t>
      </w:r>
      <w:r>
        <w:t xml:space="preserve"> This program showcase discusses the creation of an undergraduate user experience program housed in the Arts and Humanities and shared between two programs: the Department of Art, Art History and Design and the Department of Writing, Rhetoric, and Cultures in the College of Arts and Letters at Michigan State University. The design of the program was grounded in three guiding questions: 1) How do we develop a UX degree that is rooted in Humanities at an R1 land-grant university? 2) How do we develop a curriculum that is interdisciplinary and upholds the values of the Humanities? 3) How can we remain agile and create space for curriculum revision that invites iteration in a way that does not chase industry, but produces graduates who can lead industry towards changes fostered by the work in the Humanities? In reflecting on these questions, the Experience Architecture (XA) Program was developed and deployed in the fall of 2013 and was revised in fall of 2020 to better situate the field under the umbrella of XA to filter conversations about human design thinking in and around a humanities centered approach to problem solving. We are humans building and designing systems for other humans, not ones and zeros building for other ones and zeros - our efforts should be grounded in the ethics, morals, and values of what it means to build, design, and care for humanities based systems, be t</w:t>
      </w:r>
    </w:p>
    <w:p>
      <w:pPr/>
      <w:r>
        <w:rPr>
          <w:b/>
        </w:rPr>
        <w:t>POSSIBLE 2024:</w:t>
      </w:r>
      <w:r>
        <w:t xml:space="preserve"> Interdisciplinary STEM education foundational concepts: Implementation for knowledge creation — https://doi.org/10.29333/ejmste/15471</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Interdisciplinary thinking is essential to understanding and solving real-life problems and requires multiple disciplinary viewpoints. Research into STEM education highlights that it promotes an interdisciplinary learning process integrating science, mathematics, engineering, and mathematics knowledge and skills. However, STEM definitions are varied, and implementation recommendations are scant, resulting in diversity in the development and implementation of the learning process. This study critically analyses the literature to determine the fundamental concepts of STEM education and STEM discipline integration. Our analysis discovers six key components of STEM education, encompassing the integration of discipline, utilization of multiple representations, engagement with realistic and relevant problems, application of the engineering design process, encouragement of active collaboration, and emphasis on student-centered learning approaches. Then, we transform these key components to a practical learning process. The STEM-DTaM (STEM with Design Thinking and Makerspace) learning model consists of seven steps. We then unfold how this proposed learning could facilitate interdisciplinary thinking construction.</w:t>
      </w:r>
    </w:p>
    <w:p>
      <w:pPr/>
      <w:r>
        <w:rPr>
          <w:b/>
        </w:rPr>
        <w:t>POSSIBLE 2024:</w:t>
      </w:r>
      <w:r>
        <w:t xml:space="preserve"> Developing Innovative Interdisciplinary Biomedical Engineering Programs in Nigeria: Lessons Learned — https://doi.org/10.18260/1-2--27241</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An interdisciplinary team comprising faculty from the medical school, business school and school of engineering at Northwestern University is in its third year of cultivating "locally grown" healthcare solutions in Nigeria through a grant provided by NIH's Fogarty International Center.Through a series of training sessions at multiple sites in multiple countries, faculty at the University of Lagos (UINLAG) and the University of Ibadan (UI) are gaining the expertise and developing the infrastructure necessary to identify, design, and commercialize solutions to their own healthcare issues.The specific aims of the grant are three-fold: 1) Establish new and strengthen existing training programs in biomedical engineering in sub-Saharan Africa; 2) Train biomedical engineers and medical doctors to evaluate newly developed HIV-related and other testing and therapeutic devices; 3) Train post graduates from business schools to scale-up development and launch new healthcare practices.In support of these specific aims we have created four distinct annual training sessions: 1) week-long annual planning meetings hosted by either UNILAG or UI and facilitated by the NU team; 2) ten-week long biomedical engineering training programs at the University of Cape Town (UCT) facilitated by UCT and NU faculty ; 3) participation in twoweek long Kellogg Field Studies in Africa; 4) four-week long mentorin</w:t>
      </w:r>
    </w:p>
    <w:p>
      <w:pPr/>
      <w:r>
        <w:rPr>
          <w:b/>
        </w:rPr>
        <w:t>POSSIBLE 2023:</w:t>
      </w:r>
      <w:r>
        <w:t xml:space="preserve"> The Belt and Road Initiative: An Integrative Subject for Interdisciplinary Studies about China — https://doi.org/10.65959/eaa.1810</w:t>
      </w:r>
    </w:p>
    <w:p>
      <w:pPr/>
      <w:r>
        <w:rPr>
          <w:b/>
        </w:rPr>
        <w:t>Shared claim-specific concepts:</w:t>
      </w:r>
      <w:r>
        <w:t xml:space="preserve"> interdisciplinary, road, allow; EU scope not established. This is a provisional connection, not an outcome finding.</w:t>
      </w:r>
    </w:p>
    <w:p>
      <w:pPr>
        <w:pStyle w:val="SourceNote"/>
      </w:pPr>
      <w:r>
        <w:rPr>
          <w:b/>
        </w:rPr>
        <w:t>Available abstract (not full text):</w:t>
      </w:r>
      <w:r>
        <w:t xml:space="preserve"> hina's economic transformation altered the global economy in unexpected ways.In 2000 when Bill Clinton encouraged Congress to support China's ascension to the World Trade Organization (WTO), his argument centered on the belief that once Chinese society saw the power and the benefits of capitalism, it would demand political and economic freedom, and the power of free markets would propel China to economic prosperity.Twenty-plus years later, China has discovered its own path to economic wellness, one that continues to support the Chinese Communist Party (CCP) with political power largely unquestioned.The economy is the second largest in the world and the largest under standards of purchasing power parity (the exchange rate that would translate renminbi to dollars and allow someone to buy the same basket of goods in either country).1 China's investment in its own infrastructure and the development of industry in technology, finance, and artificial intelligence make the country a daunting global competitor.Given China's rise and its explicit resolution to follow its own path, an understanding of China's economic transformation and global strategy is imperative for American students preparing for careers.The vast differences in culture and worldview of Chinese society suggest that simply applying the standard business transaction and replacing US dollars with Chinese renminbi is not</w:t>
      </w:r>
    </w:p>
    <w:p>
      <w:pPr/>
      <w:r>
        <w:rPr>
          <w:b/>
        </w:rPr>
        <w:t>POSSIBLE 2022:</w:t>
      </w:r>
      <w:r>
        <w:t xml:space="preserve"> Arctic roads and railways: social and environmental consequences of transport infrastructure in the circumpolar North — https://doi.org/10.1139/as-2021-0033</w:t>
      </w:r>
    </w:p>
    <w:p>
      <w:pPr/>
      <w:r>
        <w:rPr>
          <w:b/>
        </w:rPr>
        <w:t>Shared claim-specific concepts:</w:t>
      </w:r>
      <w:r>
        <w:t xml:space="preserve"> integrated, case; EU scope not established. This is a provisional connection, not an outcome finding.</w:t>
      </w:r>
    </w:p>
    <w:p>
      <w:pPr>
        <w:pStyle w:val="SourceNote"/>
      </w:pPr>
      <w:r>
        <w:rPr>
          <w:b/>
        </w:rPr>
        <w:t>Available abstract (not full text):</w:t>
      </w:r>
      <w:r>
        <w:t xml:space="preserve"> Land-based transport corridors and related infrastructure are increasingly extending into and across the Arctic in support of resource development and population growth, causing large-scale cumulative changes to northern socio-ecological systems. These changes include the increased mobility of people, goods and resources, and environmental impacts on landscapes and ecosystems as the human footprint reaches remote, unindustrialized regions. Arctic climate change is also generating new challenges for the construction and maintenance of these transport systems, requiring adaptive engineering solutions as well as community resilience. In this review article, we consider the complex entanglements between humans, the environment, and land transportation infrastructure in the North and illustrate these interrelations by way of seven case studies: the Baikal–Amur Mainline, Bovanenkovo Railway, Alaska–Canada Highway, Inuvik–Tuktoyatuk Highway, Alaska Railroad, Hudson Bay Railway, and proposed railways on Baffin Island, Canada. As new infrastructure is built and anticipated across the circumpolar North, there is an urgent need for an integrated socio-ecological approach to impact assessment. This would include full consideration of Indigenous knowledge and concerns, collaboration with local communities and user groups in assessment, planning and monitoring, and evaluation of alternative </w:t>
      </w:r>
    </w:p>
    <w:p>
      <w:pPr>
        <w:pStyle w:val="Heading2"/>
      </w:pPr>
      <w:r>
        <w:t>775.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2023:</w:t>
      </w:r>
      <w:r>
        <w:t xml:space="preserve"> Designing Corpus-Creation Tools for Language Revitalization — https://doi.org/10.1353/dic.2023.a915069</w:t>
      </w:r>
    </w:p>
    <w:p>
      <w:pPr/>
      <w:r>
        <w:rPr>
          <w:b/>
        </w:rPr>
        <w:t>Shared claim-specific concepts:</w:t>
      </w:r>
      <w:r>
        <w:t xml:space="preserve"> describe, use, tool; EU scope not established. This is a provisional connection, not an outcome finding.</w:t>
      </w:r>
    </w:p>
    <w:p>
      <w:pPr>
        <w:pStyle w:val="SourceNote"/>
      </w:pPr>
      <w:r>
        <w:rPr>
          <w:b/>
        </w:rPr>
        <w:t>Available abstract (not full text):</w:t>
      </w:r>
      <w:r>
        <w:t xml:space="preserve"> ABSTRACT: We have developed a set of corpus-creation tools to support the documentation and revitalization of Isga I?abi (also known as Stoney ), a Siouan language spoken in Alberta. This project has emerged from a collaboration between community language champions and university-based researchers, with the goal of creating a new generation of Stoney speakers. The initial phase of the project has focused on expanding the documentary record of the language by creating a corpus of spoken Isga I?abi, recorded from nearly a dozen fluent speakers. We describe the particular constraints that informed the design of the project and how they led us to create several new tools for elicitation. First was an adaptation of the Summer Institute of Linguistics' Rapid Words Collection method, where, instead of focusing on individual lexemes, we collected thematically organized sentences displaying targeted grammatical properties. Next, we developed a photo prompter tool, which allows speakers to describe what they see in a photo, but also to discuss the photo with other speakers in spontaneous discourse. These simple tools allow the speakers to handle the day-to-day work of language documentation themselves, without needing a linguist to be present during those sessions. The outputs from this process (currently over fifty hours of audio) will find their way into various resources and activitie</w:t>
      </w:r>
    </w:p>
    <w:p>
      <w:pPr/>
      <w:r>
        <w:rPr>
          <w:b/>
        </w:rPr>
        <w:t>POSSIBLE 2022:</w:t>
      </w:r>
      <w:r>
        <w:t xml:space="preserve"> Creation of new tools and their use for analytical-synthetic method of reading — https://openalex.org/W7135751639</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The aim of the diploma thesis is to create new tools for analytical-synthetic method of reading. In the theoretical part, I present mainly the analytical-synthetic method of reading, but also other alternative methods of reading that are used in schools today. I also analyze in detail the individual stages of the analytical-synthetic method of reading and possible evaluation or diagnostics of reading. Based on the literature, I present the benefits but also the problems that may occur in teaching analytical-synthetic method. I also present teaching aids that can be used in teaching, which support this method. For comparison with aids to teaching reading by the analytical-synthetic method, I present typical aids used in the practice of reading by the genetic method. In the practical part I describe the procedures of creating teaching aids and state the appropriate use of aids in practice. I verified the functionality and usability of the aids at the primary and kindergarten school in Božičany in the district of Karlovy Vary. I created a didactic commentary for each aid, which serves as a guide to a specific aid. I consider the overview of specific activities usable in practice to be the most practical and usable for other colleagues. Thanks to this part, my diploma thesis can serve other colleagues...</w:t>
      </w:r>
    </w:p>
    <w:p>
      <w:pPr/>
      <w:r>
        <w:rPr>
          <w:b/>
        </w:rPr>
        <w:t>POSSIBLE 2021:</w:t>
      </w:r>
      <w:r>
        <w:t xml:space="preserve"> Using the Systems Engineering Initiative for Patient Safety (SEIPS) model to describe the planning and management of the COVID-19 pandemic in Hong Kong — https://doi.org/10.1093/intqhc/mzab042</w:t>
      </w:r>
    </w:p>
    <w:p>
      <w:pPr/>
      <w:r>
        <w:rPr>
          <w:b/>
        </w:rPr>
        <w:t>Shared claim-specific concepts:</w:t>
      </w:r>
      <w:r>
        <w:t xml:space="preserve"> describe, use, planning, tool, five, private; EU scope not established. This is a provisional connection, not an outcome finding.</w:t>
      </w:r>
    </w:p>
    <w:p>
      <w:pPr>
        <w:pStyle w:val="SourceNote"/>
      </w:pPr>
      <w:r>
        <w:rPr>
          <w:b/>
        </w:rPr>
        <w:t>Available abstract (not full text):</w:t>
      </w:r>
      <w:r>
        <w:t xml:space="preserve"> The COVID-19 pandemic has had massive impact on healthcare systems highlighting that the relatively deficient medical facilities to cater the high patient load and the shortage of personal protective equipment (PPE) to ensure staff safety are the major problems to tackle [1, 2]. Hong Kong public hospitals faced the same challenges. It is crucial for the hospital management to formulate decisive strategies through a systems approach and take swift actions to handle these situations. The Systems Engineering Initiative for Patient Safety (SEIPS) model, consisted of five main domains namely organization, person, tasks, technologies and tools, and environment, is a renowned tool which adopts human factors principles and offers a comprehensive conceptual framework in facilitating hospital management to understand its own system [3, 4]. Evidence showed that this model had been successfully applied in handling the COVID-19 pandemic [5]. The aims of this article are to apply the SEIPS model to systematically describe the strategies and actions taken by the five public hospitals in the New Territories West Cluster (NTWC) of Hong Kong Hospital Authority and examine if the SEIPS model could support organizations in planning for and managing a pandemic. The strategies and actions taken in the NTWC since the COVID-19 pandemic in February 2020 are summarized in Table 1, and the key actions of</w:t>
      </w:r>
    </w:p>
    <w:p>
      <w:pPr/>
      <w:r>
        <w:rPr>
          <w:b/>
        </w:rPr>
        <w:t>POSSIBLE 2021:</w:t>
      </w:r>
      <w:r>
        <w:t xml:space="preserve"> Tools creation for procedural environments — https://openalex.org/W7113654776</w:t>
      </w:r>
    </w:p>
    <w:p>
      <w:pPr/>
      <w:r>
        <w:rPr>
          <w:b/>
        </w:rPr>
        <w:t>Shared claim-specific concepts:</w:t>
      </w:r>
      <w:r>
        <w:t xml:space="preserve"> describe, use, tool, creation; EU scope not established. This is a provisional connection, not an outcome finding.</w:t>
      </w:r>
    </w:p>
    <w:p>
      <w:pPr>
        <w:pStyle w:val="SourceNote"/>
      </w:pPr>
      <w:r>
        <w:rPr>
          <w:b/>
        </w:rPr>
        <w:t>Available abstract (not full text):</w:t>
      </w:r>
      <w:r>
        <w:t xml:space="preserve"> Industry exigencies on AAA video games productions are increasing, times are tightening and it becomes harder to plan a large project. Today procedural generation of content allows to make productions faster and more efficient by shortening the times of tedious processes like worlds creation. With this project we want to demonstrate and explain why big video game companies are focusing their efforts on creating tools for designers, how production times are substantially reduced and how these tools are developed. Specifically, we want to describe how Houdini, a software based on nodal systems, allows us to procedurally create impressive environments, models and tools through which generate thousands of high quality results by modifying a few parameters. Considering that a project of this magnitude may involve a great effort and innumerable resources of a big team, we will focus our efforts on reaching an initial basic prototype with the sufficient quality required by the market in the AAA video game industry on each of the produced tools. The results obtained were very satisfactory and fulfilled all the proposed objectives. We believe that our knowledge of Houdini, procedural tools and Unreal Engine has grown greatly and, moreover, as a fact, has been self-taught. We have also managed to get very close to what we chose as references to follow for the project, a very high-quality</w:t>
      </w:r>
    </w:p>
    <w:p>
      <w:pPr/>
      <w:r>
        <w:rPr>
          <w:b/>
        </w:rPr>
        <w:t>POSSIBLE 2020:</w:t>
      </w:r>
      <w:r>
        <w:t xml:space="preserve"> Reasoning versus Planning — https://doi.org/10.1002/9781119720348.ch5</w:t>
      </w:r>
    </w:p>
    <w:p>
      <w:pPr/>
      <w:r>
        <w:rPr>
          <w:b/>
        </w:rPr>
        <w:t>Shared claim-specific concepts:</w:t>
      </w:r>
      <w:r>
        <w:t xml:space="preserve"> use, planning, tool, versus; EU scope not established. This is a provisional connection, not an outcome finding.</w:t>
      </w:r>
    </w:p>
    <w:p>
      <w:pPr>
        <w:pStyle w:val="SourceNote"/>
      </w:pPr>
      <w:r>
        <w:rPr>
          <w:b/>
        </w:rPr>
        <w:t>Available abstract (not full text):</w:t>
      </w:r>
      <w:r>
        <w:t xml:space="preserve"> In this chapter, the author defends the theory that the ability to use and make tools and build constructions is based on technical-reasoning skills, useful for solving physical problems that humans generate themselves. He proposes a revised version of some of the theses supported by cognitive archaeologists, according to which the development of executive functions during our evolution would be the key to explaining complex Tool behaviors. The author describes three key processes concerning executive functions, namely flexibility, inhibition and updating. He also proposes a theoretical development on the contribution of technical reasoning and the potential role of executive functions. The theoretical development provides an alternative scenario where these schemas are not stored, but rather generated either totally (i.e. total planning) or partially (i.e. partial planning).</w:t>
      </w:r>
    </w:p>
    <w:p>
      <w:pPr/>
      <w:r>
        <w:rPr>
          <w:b/>
        </w:rPr>
        <w:t>POSSIBLE 2020:</w:t>
      </w:r>
      <w:r>
        <w:t xml:space="preserve"> Web 2.0 tools as framework for participation and co-creation — https://doi.org/10.24140/2020-sct-vol.4-2.5</w:t>
      </w:r>
    </w:p>
    <w:p>
      <w:pPr/>
      <w:r>
        <w:rPr>
          <w:b/>
        </w:rPr>
        <w:t>Shared claim-specific concepts:</w:t>
      </w:r>
      <w:r>
        <w:t xml:space="preserve"> use, planning, tool; EU scope visible. This is a provisional connection, not an outcome finding.</w:t>
      </w:r>
    </w:p>
    <w:p>
      <w:pPr>
        <w:pStyle w:val="SourceNote"/>
      </w:pPr>
      <w:r>
        <w:rPr>
          <w:b/>
        </w:rPr>
        <w:t>Available abstract (not full text):</w:t>
      </w:r>
      <w:r>
        <w:t xml:space="preserve"> Web 2.0 has brought a plethora of new tools (such as Twitter, Facebook, Instagram and others) and new functionalities, for instance, the ability to co-create web content.The question that is being asked is whether these applications and online tools can be used as an alternative to non-electronic tools for participation in spatial planning processes.The co-creation process that these tools enable is also participation.Participation in urban planning is an important part of space planning that we share with different users of planned space.The chapter shows how the theory of participation can be associated with participatory methods that are used in spatial planning.And how to use them when choosing and creating electronic Web 2.0 tools of.However, to make the use of electronic tools easier for non-professionals from the field of Information and Communication Technology (ICT), we have selected electronic tools designed for collaboration and participation to be integrated into a generative web framework.Various electronic tools are described in this chapter, with different ways of using in the processes of participation and co-creation.One tool that was developed for the needs of a certain European project from the field of integration of local initiatives in revitalizing urban public spaces of contemporary cities and could be used for other similar purposes will be described in </w:t>
      </w:r>
    </w:p>
    <w:p>
      <w:pPr/>
      <w:r>
        <w:rPr>
          <w:b/>
        </w:rPr>
        <w:t>POSSIBLE 2019:</w:t>
      </w:r>
      <w:r>
        <w:t xml:space="preserve"> The Planning in Life and Adapting to Novel Situations (PLANS): An Ecologically Valid Measure of Every-day Planning — https://openalex.org/W3034860865</w:t>
      </w:r>
    </w:p>
    <w:p>
      <w:pPr/>
      <w:r>
        <w:rPr>
          <w:b/>
        </w:rPr>
        <w:t>Shared claim-specific concepts:</w:t>
      </w:r>
      <w:r>
        <w:t xml:space="preserve"> use, planning, effective, capacity; EU scope not established. This is a provisional connection, not an outcome finding.</w:t>
      </w:r>
    </w:p>
    <w:p>
      <w:pPr>
        <w:pStyle w:val="SourceNote"/>
      </w:pPr>
      <w:r>
        <w:rPr>
          <w:b/>
        </w:rPr>
        <w:t>Available abstract (not full text):</w:t>
      </w:r>
      <w:r>
        <w:t xml:space="preserve"> Individuals with brain injuries often experience impairment in executive functioning, including the ability to plan. Planning dysfunction limits the capacity to complete functional planning tasks required for effective independent living and community functioning and is a frequent target of community rehabilitation intervention. Current planning measurement tools have limitations in their ecological validity, and are not sensitive to every-day planning. Research has shown that naturalistic simulated instruments have higher degrees of ecological validity than traditional testing options, and are more predictive of executive functioning limitations observed in real-world contexts. This dissertation project describes three research studies involved with the development and feasibility of a new naturalistic instrument: The Planning in Life and Adapting to Novel Situations (PLANS). The first study conducted a scoping literature review (n=22) and semi-structured interviews (n=8) with community rehabilitation clinicians to inform the context, tasks, and scoring of the PLANS. Second, an analysis of clinical data from the Community Multiple Errands Test (CoMET), by individuals with cognitive disabilities (n=55) was conducted to assess planning performance errors in community functioning. CoMET performance was significantly related to measures of logical reasoning, planning and verbal fl</w:t>
      </w:r>
    </w:p>
    <w:p>
      <w:pPr/>
      <w:r>
        <w:rPr>
          <w:b/>
        </w:rPr>
        <w:t>POSSIBLE 2019:</w:t>
      </w:r>
      <w:r>
        <w:t xml:space="preserve"> Acting and Planning Using Operational Models — https://doi.org/10.1609/aaai.v33i01.33017691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The most common representation formalisms for planning are descriptive models. They abstractly describe what the actions do and are tailored for efficiently computing the next state(s) in a state transition system. But acting requires operational models that describe how to do things, with rich control structures for closed-loop online decision-making. Using descriptive representations for planning and operational representations for acting can lead to problems with developing and verifying consistency of the different models.We define and implement an integrated acting-and-planning system in which both planning and acting use the same operational models, which are written in a general-purpose hierarchical task-oriented language offering rich control structures. The acting component is inspired by the well-known PRS system, except that instead of being purely reactive, it can get advice from the planner. Our planning algorithm, RAEplan, plans by doing Monte Carlo rollout simulations of the actor’s operational models. Our experiments show significant benefits in the efficiency of the acting and planning system.</w:t>
      </w:r>
    </w:p>
    <w:p>
      <w:pPr/>
      <w:r>
        <w:rPr>
          <w:b/>
        </w:rPr>
        <w:t>POSSIBLE 2019:</w:t>
      </w:r>
      <w:r>
        <w:t xml:space="preserve"> A Usability Study of a Tool for Contributor-supplied Metadata Creation: The Use of Metadata Element Definitions and Examples in Online Help — https://doi.org/10.17615/m9ev-xy63</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paper describes a usability study of Botanical Pride, a contributor-supplied metadata creation tool which allows botany enthusiasts to create metadata for images of botanical specimens. Two versions of the interface were tested: a Definitions Only version that included definitions of metadata elements and a Definitions+Examples version that included definitions of metadata elements and one or more examples of metadata element values. Participants used each version of the interface to create a metadata record for a different selected image. Testing was conducted via the World Wide Web. Usability was measured by responses to a satisfaction questionnaire and by mean task completion times. Recommendations are made for the use of examples in the help for Botanical Pride. Implications for the design of future studies of metadata creation tools for use by non-metadata experts are considered.</w:t>
      </w:r>
    </w:p>
    <w:p>
      <w:pPr>
        <w:pStyle w:val="Heading2"/>
      </w:pPr>
      <w:r>
        <w:t>776.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2022:</w:t>
      </w:r>
      <w:r>
        <w:t xml:space="preserve"> Global seasonal forecasts of marine heatwaves — https://doi.org/10.1038/s41586-022-04573-9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pPr/>
      <w:r>
        <w:rPr>
          <w:b/>
        </w:rPr>
        <w:t>POSSIBLE 2021:</w:t>
      </w:r>
      <w:r>
        <w:t xml:space="preserve"> Lightning forecasting in Bangladesh based on the lightning potential index and the electric potential — https://doi.org/10.1016/j.atmosres.2021.105973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This work documents the performances of diagnostic and explicit lightning forecasts for selected high impact weather events over Bangladesh. The lightning flashes are calculated by three methods: (1) a diagnostic lightning parameterization that bases its algorithm on the level of neutral buoyancy from a convective parameterization scheme, (2) lightning potential index (LPI) using local graupel and ice contents, and (3) explicit prediction of electric fields and lightning initiation from WRF-ELEC. Five lightning events that occurred on 02 April 2019, 17 May 2019, 20 April 2020, 26 May 2020, and 20 May 2021 were examined to evaluate the forecasting capability of each scheme for the lightning over a 24-h forecast period. Prior to diagnosing lightning activity, the composite radar reflectivity and the neighborhood score metrics (ETS, FSS) for hourly rainfall were analyzed to determine if the simulated precipitation structure is consistent with the observations. Analyses based on performance diagrams were also included for a better illustration of how simulations perform on predicting precipitation. The spatial distribution of LPI and lightning flashes is compared against the NASA Lightning Imaging Sensor (LIS) dataset. The qualitative results show that in most of the studied cases, there is a good agreement between the observations and the WRF-ELEC-based simulations in terms of det</w:t>
      </w:r>
    </w:p>
    <w:p>
      <w:pPr/>
      <w:r>
        <w:rPr>
          <w:b/>
        </w:rPr>
        <w:t>POSSIBLE 2020:</w:t>
      </w:r>
      <w:r>
        <w:t xml:space="preserve"> Load probability density forecasting by transforming and combining quantile forecasts — https://doi.org/10.1016/j.apenergy.2020.115600</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Compared with traditional deterministic load forecasting, probabilistic load forecasting (PLF) help us understand the potential risks in the power system operation by providing more information about future uncertainties of the loads. Quantile forecasting, as a kind of non-parametric probabilistic forecasting method, has been well developed and widely used in PLF. However, the results of quantile forecasts are discrete, which contain fewer details than density forecasts which provide the most comprehensive information. This paper proposes a novel day-ahead load probability density forecasting method by transforming and combining multiple quantile forecasts. The proposed method includes two main steps: transformation and combination. In the first step, the kernel density estimation method is used to transform the individual quantile forecast into the probability density curve; in the second step, an optimization problem is established to obtain the weighted combination of different probability density forecasts. The perturbation search method is applied to determine the optimal weight of each individual forecast. We demonstrate the effectiveness and superiority of our proposed method using comprehensive case studies on the real-world load data from Guangdong province in China, ISO New England (ISO-NE) in the US and Irish smart meter data. Case studies show that the combined mode</w:t>
      </w:r>
    </w:p>
    <w:p>
      <w:pPr/>
      <w:r>
        <w:rPr>
          <w:b/>
        </w:rPr>
        <w:t>POSSIBLE 2020:</w:t>
      </w:r>
      <w:r>
        <w:t xml:space="preserve"> Forecasting cycles of seizure likelihood — https://doi.org/10.1111/epi.16485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OBJECTIVE: Seizure unpredictability is rated as one of the most challenging aspects of living with epilepsy. Seizure likelihood can be influenced by a range of environmental and physiological factors that are difficult to measure and quantify. However, some generalizable patterns have been demonstrated in seizure onset. A majority of people with epilepsy exhibit circadian rhythms in their seizure times, and many also show slower, multiday patterns. Seizure cycles can be measured using a range of recording modalities, including self-reported electronic seizure diaries. This study aimed to develop personalized forecasts from a mobile seizure diary app. METHODS: Forecasts based on circadian and multiday seizure cycles were tested pseudoprospectively using data from 50 app users (mean of 109 seizures per subject). Individuals' strongest cycles were estimated from their reported seizure times and used to derive the likelihood of future seizures. The forecasting approach was validated using self-reported events and electrographic seizures from the Neurovista dataset, an existing database of long-term electroencephalography that has been widely used to develop forecasting algorithms. RESULTS: The validation dataset showed that forecasts of seizure likelihood based on self-reported cycles were predictive of electrographic seizures for approximately half the cohort. Forecasts using only</w:t>
      </w:r>
    </w:p>
    <w:p>
      <w:pPr/>
      <w:r>
        <w:rPr>
          <w:b/>
        </w:rPr>
        <w:t>POSSIBLE 2020:</w:t>
      </w:r>
      <w:r>
        <w:t xml:space="preserve"> Potential for Early Forecast of Moroccan Wheat Yields Based on Climatic Drivers — https://doi.org/10.1029/2020gl087516</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Wheat production plays an important role in Morocco. Current wheat forecast systems use weather and vegetation data during the crop growing phase, thus limiting the earliest possible release date to early spring. However, Morocco ' s wheat production is mostly rainfed and thus strongly tied to fluctuations in rainfall, which in turn depend on slowly evolving climate dynamics. This offers a source of predictability at longer time scales. Using physically guided causal discovery algorithms , we extract climate precursors for wheat yield variability from gridded fields of geopotential height and sea surface temperatures which show potential for accurate yield forecasts already in December, with around 50% explained variance in an out‐of‐sample cross validation. The detected interactions are physically meaningful and consistent with documented ocean‐atmosphere feedbacks. Reliable yield forecasts at such long lead times could provide farmers and policy makers with necessary information for early action and strategic adaptation measurements to support food security.</w:t>
      </w:r>
    </w:p>
    <w:p>
      <w:pPr/>
      <w:r>
        <w:rPr>
          <w:b/>
        </w:rPr>
        <w:t>POSSIBLE 2020:</w:t>
      </w:r>
      <w:r>
        <w:t xml:space="preserve"> In Search of a Job: Forecasting Employment Growth Using Google Trends — https://doi.org/10.1080/07350015.2020.1791133</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We show that Google search activity on relevant terms is a strong out-of-sample predictor for future employment growth in the United States over the period 2004–2019 at both short and long horizons. Starting from an initial search term “jobs,” we construct a large panel of 172 variables using Google’s own algorithms to find semantically related search queries. The best Google Trends model achieves an out-of-sample R2 between 29% and 62% at horizons spanning from one month to one year ahead, strongly outperforming benchmarks based on a single search query or a large set of macroeconomic, financial, and sentiment predictors. This strong predictability is due to heterogeneity in search terms and extends to industry-level and state-level employment growth using state-level specific search activity. Encompassing tests indicate that when the Google Trends panel is exploited using a nonlinear model, it fully encompasses the macroeconomic forecasts and provides significant information in excess of those.</w:t>
      </w:r>
    </w:p>
    <w:p>
      <w:pPr/>
      <w:r>
        <w:rPr>
          <w:b/>
        </w:rPr>
        <w:t>POSSIBLE 2020:</w:t>
      </w:r>
      <w:r>
        <w:t xml:space="preserve"> Forecasting COVID-19 — https://doi.org/10.3389/fphy.2020.00127</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The World Health Organization declared the coronavirus disease 2019 a pandemic on March 11th, pointing to the over 118,000 cases in over 110 countries and territories around the world at that time. At the time of writing this manuscript, the number of confirmed cases has been surging rapidly past the half-million mark, emphasizing the sustained risk of further global spread. Governments around the world are imposing various containment measures while the healthcare system is bracing itself for tsunamis of infected individuals that will seek treatment. It is therefore important to know what to expect in terms of the growth of the number of cases, and to understand what is needed to arrest the very worrying trends. To that effect, we here show forecasts obtained with a simple iteration method that needs only the daily values of confirmed cases as input. The method takes into account expected recoveries and deaths, and it determines maximally allowed daily growth rates that lead away from exponential increase toward stable and declining numbers. Forecasts show that daily growth rates should be kept at least below 5% if we wish to see plateaus any time soon—unfortunately far from reality in most countries to date. We provide an executable as well as the source code for a straightforward application of the method on data from other countries.</w:t>
      </w:r>
    </w:p>
    <w:p>
      <w:pPr/>
      <w:r>
        <w:rPr>
          <w:b/>
        </w:rPr>
        <w:t>POSSIBLE 2019:</w:t>
      </w:r>
      <w:r>
        <w:t xml:space="preserve"> Current and potential use of ensemble forecasts in operational TC forecasting: results from a global forecaster survey — https://doi.org/10.1016/j.tcrr.2019.10.005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In order to understand the current and potential use of ensemble forecasts in operational tropical cyclone (TC) forecasting, a questionnaire on the use of dynamic ensembles was conducted at operational TC forecast centers across the world, in association with the World Meteorological Organisation (WMO) High-Impact Weather Project (HIWeather). The results of the survey are presented, and show that ensemble forecasts are used by nearly all respondents, particularly in TC track and genesis forecasting, with several examples of where ensemble forecasts have been pulled through successfully into the operational TC forecasting process. There is still, however, a notable difference between the high proportion of operational TC forecasters who use and value ensemble forecast information, and the slower pull-through into operational forecast warnings and products of the probabilistic guidance and uncertainty information that ensembles can provide. Those areas of research and development that would help TC forecasters to make increased use of ensemble forecast information in the future include improved access to ensemble forecast data, verification and visualizations, the development of hazard and impact-based products, an improvement in the skill of the ensembles (particularly for intensity and structure), and improved guidance on how to use ensembles and optimally combine forecasts fro</w:t>
      </w:r>
    </w:p>
    <w:p>
      <w:pPr/>
      <w:r>
        <w:rPr>
          <w:b/>
        </w:rPr>
        <w:t>POSSIBLE 2019:</w:t>
      </w:r>
      <w:r>
        <w:t xml:space="preserve"> The future of forecasting for renewable energy — https://doi.org/10.1002/wene.365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Forecasting for wind and solar renewable energy is becoming more important as the amount of energy generated from these sources increases. Forecast skill is improving, but so too is the way forecasts are being used. In this paper, we present a brief overview of the state‐of‐the‐art of forecasting wind and solar energy. We describe approaches in statistical and physical modeling for time scales from minutes to days ahead, for both deterministic and probabilistic forecasting. Our focus changes then to consider the future of forecasting for renewable energy. We discuss recent advances which show potential for great improvement in forecast skill. Beyond the forecast itself, we consider new products which will be required to aid decision making subject to risk constraints. Future forecast products will need to include probabilistic information, but deliver it in a way tailored to the end user and their specific decision making problems. Businesses operating in this sector may see a change in business models as more people compete in this space, with different combinations of skills, data and modeling being required for different products. The transaction of data itself may change with the adoption of blockchain technology, which could allow providers and end users to interact in a trusted, yet decentralized way. Finally, we discuss new industry requirements and challenges f</w:t>
      </w:r>
    </w:p>
    <w:p>
      <w:pPr>
        <w:pStyle w:val="Heading2"/>
      </w:pPr>
      <w:r>
        <w:t>777.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2023:</w:t>
      </w:r>
      <w:r>
        <w:t xml:space="preserve"> The right to translation in the criminal procedure and the meaning of essential documents – three recent cases of the European Court of Justice in the field of criminal cooperation between Member States — https://doi.org/10.15170/pjiel.2023.1.7</w:t>
      </w:r>
    </w:p>
    <w:p>
      <w:pPr/>
      <w:r>
        <w:rPr>
          <w:b/>
        </w:rPr>
        <w:t>Shared claim-specific concepts:</w:t>
      </w:r>
      <w:r>
        <w:t xml:space="preserve"> right, set, member, states, legislative; EU scope visible. This is a provisional connection, not an outcome finding.</w:t>
      </w:r>
    </w:p>
    <w:p>
      <w:pPr>
        <w:pStyle w:val="SourceNote"/>
      </w:pPr>
      <w:r>
        <w:rPr>
          <w:b/>
        </w:rPr>
        <w:t>Available abstract (not full text):</w:t>
      </w:r>
      <w:r>
        <w:t xml:space="preserve"> The case note concerns three preliminary rulings of the European Court of Justice (hereinafter referred to as ECJ). Case C-242/22 PPU TL, C-338/20 Prokuratura Rejonowa Łódź-Bałuty and case C-278/16 Sleutjes each concerned the right to translation in the criminal procedure and legal remedies in the event of not providing that right. Thus, the basis of adjudication of the cases was Directive 2010/64/EU of the European Parliament and of the Council on the right to interpretation translation and in the criminal proceedings. The case note sheds light on the deficiencies of the Directive which are the consequences of the legislative technique applied in this legislative instrument, namely that Member States retain great discretion in implementing its often-vague regulations on the right to translation. However, through the preliminary ruling procedure, the ECJ clarified the meaning of the essential document which is subject to translation according to the Directive, found that a final decision shall be considered a judgement even if formally it is not, and finally, it set out the essential parts of a judgement or other decision that are subject to translation for the purpose of safeguarding the right to a fair trial.</w:t>
      </w:r>
    </w:p>
    <w:p>
      <w:pPr/>
      <w:r>
        <w:rPr>
          <w:b/>
        </w:rPr>
        <w:t>POSSIBLE 2023:</w:t>
      </w:r>
      <w:r>
        <w:t xml:space="preserve"> The right to education: international standards and their influence on the constitutional legislation of the member states of the Council of Europe — https://doi.org/10.24144/2307-3322.2023.79.2.47</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The article draws attention to the UN Charter, which proclaims the task of reaffirming faith in basic human rights, in the dignity and value of the human person, in the equality of men and women, and in the equality of rights of large and small nations. Attention is focused on the principle of UN activity - implementation of international cooperation in the promotion and development of respect for human rights and basic freedoms for all, without distinction of race, sex, language and religion. International acts on human rights of a universal nature are characterized, in which for the first time at the international level everyone’s right to education was enshrined: the Universal Declaration of Human Rights, the International Covenant on Economic, Social and Cultural Rights of 1966, the Convention against Discrimination in Education of 1960, the Convention on the rights of the child of 1989. Attention is drawn to the minimum standards of the right to education that the state must ensure. The relationship between the right to education, which was first enshrined at the international level in the Universal Declaration of Human Rights, and human dignity and the value of the human personality is defined. Emphasis is placed on the right to education and criteria for determining the degree of respect and observance of fundamental norms related to this human right throughout the world</w:t>
      </w:r>
    </w:p>
    <w:p>
      <w:pPr/>
      <w:r>
        <w:rPr>
          <w:b/>
        </w:rPr>
        <w:t>POSSIBLE 2023:</w:t>
      </w:r>
      <w:r>
        <w:t xml:space="preserve"> Features of exercising the right to education for persons granted temporary protection in European Union member states — https://doi.org/10.56215/naia-herald/2.2023.71</w:t>
      </w:r>
    </w:p>
    <w:p>
      <w:pPr/>
      <w:r>
        <w:rPr>
          <w:b/>
        </w:rPr>
        <w:t>Shared claim-specific concepts:</w:t>
      </w:r>
      <w:r>
        <w:t xml:space="preserve"> right, member, states, view, july; EU scope visible. This is a provisional connection, not an outcome finding.</w:t>
      </w:r>
    </w:p>
    <w:p>
      <w:pPr>
        <w:pStyle w:val="SourceNote"/>
      </w:pPr>
      <w:r>
        <w:rPr>
          <w:b/>
        </w:rPr>
        <w:t>Available abstract (not full text):</w:t>
      </w:r>
      <w:r>
        <w:t xml:space="preserve"> The Council of the European Union, by an implementing decision on March 4, 2022, put into effect Directive No. 2001/55/EU of July 20, 2001, on minimum standards for the provision of temporary protection in the event of a mass influx of displaced persons and measures promoting the balancing of efforts between member states to receive such persons and solving the consequences thereof. The problems of exercising the right to education as a natural human right by persons granted temporary protection in the European Union are urgent. In view of the above, the purpose of the study was to address the unique aspects of exercising of the right to education by persons who were granted temporary protection in the member states of the European Union. The methodological basis of the research is the dialectical method and methods of analysis, synthesis, comparison, modelling, system and functional approach, statistical, and formal legal. The paper defines that access to education for persons granted temporary protection in the European Union is provided for by Council Directive No. 2001/55/EU, according to which the member states of the European Union provide full access to the education system for all minors who were granted temporary protection status, on an equal basis with their citizens. It is noted that member states of the European Union may provide for restrictions on such access by </w:t>
      </w:r>
    </w:p>
    <w:p>
      <w:pPr/>
      <w:r>
        <w:rPr>
          <w:b/>
        </w:rPr>
        <w:t>POSSIBLE 2022:</w:t>
      </w:r>
      <w:r>
        <w:t xml:space="preserve"> Making Sure That Orphan Incentives Tip the Right Way in Europe — https://doi.org/10.3390/healthcare10091600</w:t>
      </w:r>
    </w:p>
    <w:p>
      <w:pPr/>
      <w:r>
        <w:rPr>
          <w:b/>
        </w:rPr>
        <w:t>Shared claim-specific concepts:</w:t>
      </w:r>
      <w:r>
        <w:t xml:space="preserve"> right, incentives, current; EU scope visible. This is a provisional connection, not an outcome finding.</w:t>
      </w:r>
    </w:p>
    <w:p>
      <w:pPr>
        <w:pStyle w:val="SourceNote"/>
      </w:pPr>
      <w:r>
        <w:rPr>
          <w:b/>
        </w:rPr>
        <w:t>Available abstract (not full text):</w:t>
      </w:r>
      <w:r>
        <w:t xml:space="preserve"> The delicate balance of funding research and development of treatments for rare disease is only imperfectly achieved in Europe, and even the current provisional equilibrium is under a new threat from well-intentioned policy changes now in prospect that could-in addition to the intrinsic complexities of research-reduce the incentives on which commercial activity in this area is dependent. The European Union review of its pharmaceutical legislation, for which proposals are scheduled to appear before the end of 2022, envisages adjusting the decade-old incentives to meet objectives that are more precisely targeted. However, researchers, physicians, patients and industry have expressed concerns that ill-considered modifications could have unintended consequences in disrupting the current balance and could reduce rather than increase the flow of innovative treatments for rare diseases.</w:t>
      </w:r>
    </w:p>
    <w:p>
      <w:pPr/>
      <w:r>
        <w:rPr>
          <w:b/>
        </w:rPr>
        <w:t>POSSIBLE 2022:</w:t>
      </w:r>
      <w:r>
        <w:t xml:space="preserve"> Incentives and constraints: a configurational account of European involvement in the anti-Daesh coalition — https://doi.org/10.1017/s1755773921000333</w:t>
      </w:r>
    </w:p>
    <w:p>
      <w:pPr/>
      <w:r>
        <w:rPr>
          <w:b/>
        </w:rPr>
        <w:t>Shared claim-specific concepts:</w:t>
      </w:r>
      <w:r>
        <w:t xml:space="preserve"> incentives, member, states, literature, legislative; EU scope visible. This is a provisional connection, not an outcome finding.</w:t>
      </w:r>
    </w:p>
    <w:p>
      <w:pPr>
        <w:pStyle w:val="SourceNote"/>
      </w:pPr>
      <w:r>
        <w:rPr>
          <w:b/>
        </w:rPr>
        <w:t>Available abstract (not full text):</w:t>
      </w:r>
      <w:r>
        <w:t xml:space="preserve"> Abstract In 2014, the USA initiated the formation of a multilateral military operation against Daesh in Syria and Iraq. Eventually, more than 70 states joined the anti-Daesh coalition. However, contributions to the military effort have been characterized by great variance, especially among EU member states. While some states took leading roles in the airstrikes, others provided training for Iraqi and Kurdish forces, and still others did not get involved beyond voicing their support for the policy. Against this backdrop, this article makes a two-fold contribution to the literature on military coalitions and security policy. Empirically, the article provides a mapping of the then 28 EU member states’ military engagement in the fight against Daesh in Syria and Iraq. Analytically, fuzzy-set Qualitative Comparative Analysis (fsQCA) is applied to account for the observed pattern of military involvement, using an integrative framework that combines international and domestic factors. The results demonstrate that multiple paths led towards EU military involvement in the anti-Daesh coalition. At the same time, international-level incentives, such as external threat and/or alliance value feature prominently in all three identified paths. The analysis further underscores the value of a configurational perspective, because neither an external threat nor alliance value are sufficient on the</w:t>
      </w:r>
    </w:p>
    <w:p>
      <w:pPr/>
      <w:r>
        <w:rPr>
          <w:b/>
        </w:rPr>
        <w:t>POSSIBLE 2021:</w:t>
      </w:r>
      <w:r>
        <w:t xml:space="preserve"> OPTIMAL INCENTIVES FOR ECONOMIC GROWTH IN CENTRAL EUROPEAN COUNTRIES: A MICRO APPROACH — https://doi.org/10.12775/cjfa.2021.009</w:t>
      </w:r>
    </w:p>
    <w:p>
      <w:pPr/>
      <w:r>
        <w:rPr>
          <w:b/>
        </w:rPr>
        <w:t>Shared claim-specific concepts:</w:t>
      </w:r>
      <w:r>
        <w:t xml:space="preserve"> incentives, view; EU scope visible. This is a provisional connection, not an outcome finding.</w:t>
      </w:r>
    </w:p>
    <w:p>
      <w:pPr>
        <w:pStyle w:val="SourceNote"/>
      </w:pPr>
      <w:r>
        <w:rPr>
          <w:b/>
        </w:rPr>
        <w:t>Available abstract (not full text):</w:t>
      </w:r>
      <w:r>
        <w:t xml:space="preserve"> Financial crisis of 2008 and the ongoing pandemic are continuing to have a negative impact on the economies of all countries even tough interest rates have been decreased significantly. This paper attempted to view the problem from a micro point of view to suggest more effective incentives for growth. The specific objective of the study is to determine and examine the effects of these incentives on economic growth in Central European countries.</w:t>
      </w:r>
    </w:p>
    <w:p>
      <w:pPr/>
      <w:r>
        <w:rPr>
          <w:b/>
        </w:rPr>
        <w:t>POSSIBLE 2021:</w:t>
      </w:r>
      <w:r>
        <w:t xml:space="preserve"> Encouraging the Development of New Antibiotics: Are Financial Incentives the Right Way Forward? A Systematic Review and Case Study — https://doi.org/10.2147/idr.s287792</w:t>
      </w:r>
    </w:p>
    <w:p>
      <w:pPr/>
      <w:r>
        <w:rPr>
          <w:b/>
        </w:rPr>
        <w:t>Shared claim-specific concepts:</w:t>
      </w:r>
      <w:r>
        <w:t xml:space="preserve"> right, incentives, literature; EU scope not established. This is a provisional connection, not an outcome finding.</w:t>
      </w:r>
    </w:p>
    <w:p>
      <w:pPr>
        <w:pStyle w:val="SourceNote"/>
      </w:pPr>
      <w:r>
        <w:rPr>
          <w:b/>
        </w:rPr>
        <w:t>Available abstract (not full text):</w:t>
      </w:r>
      <w:r>
        <w:t xml:space="preserve"> Antibiotic resistance is an urgent public health threat that has received substantial attention from the world's leading health agencies and national governmental bodies alike. However, despite increasing rates of antibiotic resistance, pharmaceutical companies are reluctant to develop new antibiotics due to scientific, regulatory, and financial barriers. Nonetheless, only a handful of countries have addressed this by implementing or proposing financial incentive models to promote antibiotic innovation. This study is comprised of a systematic review that aimed to understand which antibiotic incentive strategies are most recommended within the literature and subsequently analyzed these incentives to determine which are most likely to sustainably revitalize the antibiotic pipeline. Through a case study of Canada, we apply our incentive analysis to the Canadian landscape to provide decision-makers with a possible path forward. Based on our findings, we propose that Canada support the ongoing efforts of other countries by implementing a fully delinked subscription-based market entry reward. This paper seeks to spark action in Canada by shifting the national paradigm to one where antibiotic research and development is prioritized as a key element to addressing antibiotic resistance.</w:t>
      </w:r>
    </w:p>
    <w:p>
      <w:pPr/>
      <w:r>
        <w:rPr>
          <w:b/>
        </w:rPr>
        <w:t>POSSIBLE 2021:</w:t>
      </w:r>
      <w:r>
        <w:t xml:space="preserve"> Openness to Industry 4.0 and performance: The impact of barriers and incentives — https://doi.org/10.1016/j.techfore.2021.120756</w:t>
      </w:r>
    </w:p>
    <w:p>
      <w:pPr/>
      <w:r>
        <w:rPr>
          <w:b/>
        </w:rPr>
        <w:t>Shared claim-specific concepts:</w:t>
      </w:r>
      <w:r>
        <w:t xml:space="preserve"> incentives, literature; EU scope visible. This is a provisional connection, not an outcome finding.</w:t>
      </w:r>
    </w:p>
    <w:p>
      <w:pPr>
        <w:pStyle w:val="SourceNote"/>
      </w:pPr>
      <w:r>
        <w:rPr>
          <w:b/>
        </w:rPr>
        <w:t>Available abstract (not full text):</w:t>
      </w:r>
      <w:r>
        <w:t xml:space="preserve"> The impact of barriers and incentives on the relationship between openness to Industry 4.0 and performance have so far received little scholarly attention. As a result, this paper explores this relationship by employing a mixed methods approach. A qualitative analysis using in-depth interviews and multiple case studies identifies prominent barriers and incentives, whilst a quantitative analysis on a representative sample of 500 local manufacturing units in Piedmont (a region of Northern Italy) is undertaken via an OLS regression-based path analysis. The results of the parallel-serial multiple mediation model show that: (1) greater openness to Industry 4.0 is related to better performance; (2) greater openness to Industry 4.0 leads to a higher perception of barriers; (3) greater knowledge-related and economic and financial barriers improve performance, abstracting from the adoption of incentives; and (4) greater openness to Industry 4.0 drives the adoption of incentives. However, perceived economic and financial barriers are found not to drive firms to adopt more incentives. The study contributes to the Industry 4.0 literature by identifying previously unidentified strengths and weaknesses to barriers and incentives, and highlights the necessity of policies that reflect real firms’ needs.</w:t>
      </w:r>
    </w:p>
    <w:p>
      <w:pPr/>
      <w:r>
        <w:rPr>
          <w:b/>
        </w:rPr>
        <w:t>POSSIBLE 2021:</w:t>
      </w:r>
      <w:r>
        <w:t xml:space="preserve"> The EU press publishers’ right: where do Member States stand? — https://doi.org/10.1093/jiplp/jpab105</w:t>
      </w:r>
    </w:p>
    <w:p>
      <w:pPr/>
      <w:r>
        <w:rPr>
          <w:b/>
        </w:rPr>
        <w:t>Shared claim-specific concepts:</w:t>
      </w:r>
      <w:r>
        <w:t xml:space="preserve"> right, member, states, current, legislative, proposal; EU scope visible. This is a provisional connection, not an outcome finding.</w:t>
      </w:r>
    </w:p>
    <w:p>
      <w:pPr>
        <w:pStyle w:val="SourceNote"/>
      </w:pPr>
      <w:r>
        <w:rPr>
          <w:b/>
        </w:rPr>
        <w:t>Available abstract (not full text):</w:t>
      </w:r>
      <w:r>
        <w:t xml:space="preserve"> Ula Furgał is a postdoctoral researcher at the CREATe Centre, University of Glasgow. This article This article offers an opinion on the current state of the implementation of the press publishers’ right, a related right introduced by Directive 2019/790 on Copyright in the Digital Single Market. It outlines the ongoing policy discussions and decisions taken by Member States with regard to selected aspects of the press publishers’ right, including its scope, the appropriate share of revenues due to authors, and licensing mechanisms. It submits that the implementation of the press publishers’ right is unlikely to bring the news media vs digital platforms saga to an end, as not all uncertainties concerning the new right’s scope will be tackled; calls for further regulatory interventions are likely to follow. The tension between news media and digital platforms has been growing for years. Platforms capture an overwhelming majority of the digital advertising revenue, causing the business models of legacy news organizations to become unsustainable. While strongly objecting to platforms using their content for free, news organizations depend on platforms as a key source of referral traffic and a forum for reaching their audiences.1 The year 2021 has been an eventful year so far for those following the news media vs digital platforms saga. Australia has finally adopted its News Media Ba</w:t>
      </w:r>
    </w:p>
    <w:p>
      <w:pPr>
        <w:pStyle w:val="Heading2"/>
      </w:pPr>
      <w:r>
        <w:t>778.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2024:</w:t>
      </w:r>
      <w:r>
        <w:t xml:space="preserve"> The Successful Factors for Digital Transformation in Project Management — https://doi.org/10.54254/2754-1169/79/20241858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In the era of Industry 4.0, the advent of the digital revolution is reshaping project management processes, and digital transformation is advancing with a heightened focus on its influence on project success. Research on the success factors for digital transformation in project management is limited, particularly in drawing industry-specific conclusions, owing to varying levels of digitization across projects. The exploration of success factors' impact on the digital transformation process and the distinctive characteristics of different industries remains largely uncharted territory. This research aimed to explore key aspects of digital transformation projects, focusing on success factors that significantly influence their outcomes. A Thematic analysis approach was used to draw insights. The analysis delves into four crucial success factors. These key themes included organizational change management, organizational efficiency enhancement, organizational process management, sustainability, and societal management. Each factor is examined for its role in shaping successful digital transformations. The conclusion succinctly summarizes the key findings and emphasizes the importance of these success factors in the context of digital transformation initiatives. These findings go beyond the scope of prior research, delving into the intricacies of industry perspectives, which can driv</w:t>
      </w:r>
    </w:p>
    <w:p>
      <w:pPr/>
      <w:r>
        <w:rPr>
          <w:b/>
        </w:rPr>
        <w:t>POSSIBLE 2024:</w:t>
      </w:r>
      <w:r>
        <w:t xml:space="preserve"> University transformation in evaluations of project team participants — https://doi.org/10.21684/2411-7897-2024-10-2-46-56</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The format of project activities is firmly rooted in the higher education system. This approach is used intensively in the implementation of strategic changes at the level of higher education institutions. This paper examines the transformation process in Russian universities from the perspective of project team members who are responsible for the result. The empirical basis for the analysis is a questionnaire survey (N = 79) of participants of transformation project teams from four Russian universities of different types (classical / technical). The types of transformation projects being implemented in Russian universities were identified. The results show that the main initiator of such projects is primarily the university itself or its individual units. The hierarchy of success factors of university transformation projects implementation in the understanding of their direct executors was determined, among which the most important are the competence of team members (71%), financial and resource support of the project (63%). The principles of project team formation are analyzed, which is mainly (37%) created based on the functional activity of the university employee outside the project. The most pronounced signs of success of a particular transformation project depending on its type are outlined. In the conclusion, we formulate the areas for further research on this topic.</w:t>
      </w:r>
    </w:p>
    <w:p>
      <w:pPr/>
      <w:r>
        <w:rPr>
          <w:b/>
        </w:rPr>
        <w:t>POSSIBLE 2024:</w:t>
      </w:r>
      <w:r>
        <w:t xml:space="preserve"> The Effect of Transformational Leadership on Team Performance on Construction Projects — https://doi.org/10.35870/ijmsit.v4i1.2679</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This research aims to analyze the influence of transformational leadership on team performance in construction projects. In the construction industry, leadership effectiveness is a key factor influencing project success. This study uses a quantitative approach with a descriptive survey design, involving 150 respondents consisting of 30 project managers and 120 team members from various construction projects in Indonesia. Data was collected through a questionnaire that measured four dimensions of transformational leadership: ideal influence, inspirational motivation, intellectual stimulation, and individual consideration, as well as team performance based on timely task completion, quality of work results, and cost efficiency. The regression test results show that transformational leadership has a significant positive influence on team performance. The motivational dimensions of inspiration and ideal influence showed the highest correlation with team performance, with beta coefficients of 0.45 and 0.42, respectively (p &lt; 0.05). The dimensions of intellectual stimulation and individual consideration also showed a positive influence with beta coefficients of 0.32 and 0.30 respectively (p &lt; 0.05). Job satisfaction was found to be a significant intervening variable, where transformational leadership increased job satisfaction which then increased team performance. This research high</w:t>
      </w:r>
    </w:p>
    <w:p>
      <w:pPr/>
      <w:r>
        <w:rPr>
          <w:b/>
        </w:rPr>
        <w:t>POSSIBLE 2023:</w:t>
      </w:r>
      <w:r>
        <w:t xml:space="preserve"> Impacts of Carbon Emission Trading Markets on Energy Transformation: A Review of the Existing Literature — https://doi.org/10.56397/jwe.2023.06.04</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In the current era, carbon emission trading markets seem to be a booster when the global society vigorously advocates energy transformation. Different scholars mainly focus on analyzing the transmission mechanism of carbon emission trading markets on energy transition, the role of carbon emission trading markets on renewable energy, and the impact of carbon emission trading markets with other policies on energy mix. However, the conclusions on whether carbon emission trading markets can indeed contribute to energy transformation vary. Therefore, this article presents research papers on the impact of carbon emission trading markets on energy structure transformation in recent years through literature review and summarizes hot topics to facilitate future scholars to fill the research gap in this field.</w:t>
      </w:r>
    </w:p>
    <w:p>
      <w:pPr/>
      <w:r>
        <w:rPr>
          <w:b/>
        </w:rPr>
        <w:t>POSSIBLE 2022:</w:t>
      </w:r>
      <w:r>
        <w:t xml:space="preserve"> Goals and benefits of digital transformation projects: Insights into project selection criteria — https://doi.org/10.4102/sajems.v25i1.4158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Background: Digital transformation (DT) is an increasingly relevant concept for businesses to remain competitive. As DT projects are disruptive to an organisation and are significantly different from traditional information technology projects, it is important to understand the value that specific DT projects will bring to an organisation before they are implemented, so that DT project portfolios can be optimally managed.Aim: This study aims to determine the key goals and benefits of DT projects, as well as the selection criteria for DT projects in South African businesses. The study also explores the most influential technologies for driving the implementation of DT projects.Setting: South Africa is an emerging economy. The study was performed in the initial phases of nationwide lockdown owing to COVID-19.Methods: Semi-structured interviews were conducted with 11 leaders from South African businesses of varying sizes, but all in significant local markets. Content analysis using CAQDAS was used to analyse the primary data, using both inductive and deductive coding methods.Results: South African businesses use a combination of financial and non-financial project selection criteria across four main goals and benefit categories: customer experience, operational efficiency, business culture, and traditional project evaluation. The fifth proposed goal (new business models) was not u</w:t>
      </w:r>
    </w:p>
    <w:p>
      <w:pPr/>
      <w:r>
        <w:rPr>
          <w:b/>
        </w:rPr>
        <w:t>POSSIBLE 2022:</w:t>
      </w:r>
      <w:r>
        <w:t xml:space="preserve"> Assessing the likelihood for transformational change at the Green Climate Fund: An analysis using self-reported project data — https://doi.org/10.1016/j.crm.2022.100398</w:t>
      </w:r>
    </w:p>
    <w:p>
      <w:pPr/>
      <w:r>
        <w:rPr>
          <w:b/>
        </w:rPr>
        <w:t>Shared claim-specific concepts:</w:t>
      </w:r>
      <w:r>
        <w:t xml:space="preserve"> four, transformational, project; EU scope not established. This is a provisional connection, not an outcome finding.</w:t>
      </w:r>
    </w:p>
    <w:p>
      <w:pPr>
        <w:pStyle w:val="SourceNote"/>
      </w:pPr>
      <w:r>
        <w:rPr>
          <w:b/>
        </w:rPr>
        <w:t>Available abstract (not full text):</w:t>
      </w:r>
      <w:r>
        <w:t xml:space="preserve"> Climate finance institutions have been tasked with effectively and efficiently allocating funds to spur the transition to low-carbon, climate-resilient economies. The Green Climate Fund (GCF) is expected to assist the most vulnerable adapt to and mitigate climate change because of its mandate to contribute to a paradigm shift. To understand if the GCF’s portfolio is on track to achieve this aim, we review the project documents of GCF investments through March 2020 (N = 125 projects). We examine attributes of these investments by applying a framework for potential transformational change, comprised of eight components. We use bivariate statistics and multivariate cluster analysis to examine the GCF’s project portfolio of mitigation, cross-cutting and adaptation projects. Bivariate tests find that adaptation projects show the greater intention to integrate policy change into national planning processes and that both adaptation and cross-cutting projects require a greater need for and expectation of behaviour change. Results from cluster analysis shows how adaptation projects dominate clusters with high and medium potential for transformational change (with 47% and 78% of projects, respectively). However, even the high potential cluster only displays the highest average scores for four of the eight components in our framework of transformational change. These findings present lear</w:t>
      </w:r>
    </w:p>
    <w:p>
      <w:pPr/>
      <w:r>
        <w:rPr>
          <w:b/>
        </w:rPr>
        <w:t>POSSIBLE 2021:</w:t>
      </w:r>
      <w:r>
        <w:t xml:space="preserve"> Why radical transformation is necessary for gender equality and a zero carbon European construction sector — https://doi.org/10.4324/9781003052821-12</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is set in the context of European Union (EU) policy to reduce environment carbon emissions through the European Performance of Buildings Directive (EPBD), which – despite EU equality objectives – remains gender-blind and in accordance with ecological modernisation, technology-driven, and oriented to innovation. Difficulties in implementing the EPBD relate to vocational education and training (VET) and the labour process requirements for nearly zero energy building (NZEB). The reasons for the failure of VET and labour market policies and practices to improve the participation of women and what is needed to overcome barriers to their inclusion are highlighted. Combined, the requirements for the inclusion of women and a sustainable construction process, provide the pillars on which a transformed industry can be constructed. In examining local and organisational examples of where women have been successfully included and/or NZEB has been achieved, the ingredients are identified for developing an eco-equitable and socially useful construction sector and the coalition of actors involved – above all the public authorities, VET institutions, unions, women in construction, and environmental organisations.</w:t>
      </w:r>
    </w:p>
    <w:p>
      <w:pPr/>
      <w:r>
        <w:rPr>
          <w:b/>
        </w:rPr>
        <w:t>POSSIBLE 2020:</w:t>
      </w:r>
      <w:r>
        <w:t xml:space="preserve"> Fostering digital transformation of SMEs: a four levels approach — https://doi.org/10.1108/md-07-2019-0939</w:t>
      </w:r>
    </w:p>
    <w:p>
      <w:pPr/>
      <w:r>
        <w:rPr>
          <w:b/>
        </w:rPr>
        <w:t>Shared claim-specific concepts:</w:t>
      </w:r>
      <w:r>
        <w:t xml:space="preserve"> four, project, used; EU scope visible. This is a provisional connection, not an outcome finding.</w:t>
      </w:r>
    </w:p>
    <w:p>
      <w:pPr>
        <w:pStyle w:val="SourceNote"/>
      </w:pPr>
      <w:r>
        <w:rPr>
          <w:b/>
        </w:rPr>
        <w:t>Available abstract (not full text):</w:t>
      </w:r>
      <w:r>
        <w:t xml:space="preserve"> Purpose The purpose of this paper is to analyse how digital technologies trigger changes in the business process of manufacturing small and medium-sized enterprises (SMEs) in the Apulia Region (South Italy). As SMEs play an essential role in the process value creation of industries and countries, the article examines the enablers of Industry 4.0 in a regional contexts characterized by delay in research and development and innovation performances where the companies' competitiveness is based on limited knowledge and technological assets. Design/methodology/approach The case study of Smart District 4.0, an ongoing project aimed to promote the digitalization of SMEs operating in the Agri–Food, Clothing–Footwear and Mechanics–Mechatronics in the Apulia Region (South Italy) is analysed. The project has been financed by the Italian Ministry of Economic Development with the final aim to sustain the digital transformation of SMEs in South Italy. Findings The results introduce a four levels approach of engagement of SMEs in the adoption of digital technologies, namely, digital awareness, digital enquirement, digital collaboration and digital transformation. Furthermore, for each level of engagement the study describes and discusses some relevant variables that could be used by managers and entrepreneurs to assess the level of readiness for utilization of digital technologies and how to </w:t>
      </w:r>
    </w:p>
    <w:p>
      <w:pPr/>
      <w:r>
        <w:rPr>
          <w:b/>
        </w:rPr>
        <w:t>POSSIBLE 2019:</w:t>
      </w:r>
      <w:r>
        <w:t xml:space="preserve"> Continuous Transformation and Neo-Carbon Energy Scenarios — https://openalex.org/W2946377064</w:t>
      </w:r>
    </w:p>
    <w:p>
      <w:pPr/>
      <w:r>
        <w:rPr>
          <w:b/>
        </w:rPr>
        <w:t>Shared claim-specific concepts:</w:t>
      </w:r>
      <w:r>
        <w:t xml:space="preserve"> four, neo-carbon, energy, project, groups; EU scope not established. This is a provisional connection, not an outcome finding.</w:t>
      </w:r>
    </w:p>
    <w:p>
      <w:pPr>
        <w:pStyle w:val="SourceNote"/>
      </w:pPr>
      <w:r>
        <w:rPr>
          <w:b/>
        </w:rPr>
        <w:t>Available abstract (not full text):</w:t>
      </w:r>
      <w:r>
        <w:t xml:space="preserve"> This report describes the process and results of Futures Clinique held 22nd May 2015 at Aalto University. At the Futures Clinique − titled Creatively Sustainable Built Environment in Neo-Carbon Energy Worlds − students of Continuous Transformation Course elaborated four tentative scenarios of an on-going Tekes-funded project called Neo-Carbon Energy. The goal of the research project is to explore futures based on renewable energy system. The report begins by describing the method, project, and the theoretical framework. This is followed by the description of the process and results of the Futures Clinique. The nature of change and transformation is also discussed. Working in four groups, the participants focused on a chosen scenario through a multi-staged process. As the report is given to the participants for feedback as well as for further discussion and development, comments on the results are also presented. The conclusive chapter presents observations on transformation and futures learning.</w:t>
      </w:r>
    </w:p>
    <w:p>
      <w:pPr>
        <w:pStyle w:val="Heading2"/>
      </w:pPr>
      <w:r>
        <w:t>779.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r>
        <w:rPr>
          <w:b/>
        </w:rPr>
        <w:t>POSSIBLE 2023:</w:t>
      </w:r>
      <w:r>
        <w:t xml:space="preserve"> Google and Apple mobility data as predictors for European tourism during the COVID-19 pandemic: A neural network approach — https://doi.org/10.24136/eq.2023.013</w:t>
      </w:r>
    </w:p>
    <w:p>
      <w:pPr/>
      <w:r>
        <w:rPr>
          <w:b/>
        </w:rPr>
        <w:t>Shared claim-specific concepts:</w:t>
      </w:r>
      <w:r>
        <w:t xml:space="preserve"> purpose, tourism, domestic; EU scope visible. This is a provisional connection, not an outcome finding.</w:t>
      </w:r>
    </w:p>
    <w:p>
      <w:pPr>
        <w:pStyle w:val="SourceNote"/>
      </w:pPr>
      <w:r>
        <w:rPr>
          <w:b/>
        </w:rPr>
        <w:t>Available abstract (not full text):</w:t>
      </w:r>
      <w:r>
        <w:t xml:space="preserve"> Research background: The COVID-19 pandemic has caused unprecedented disruptions to the global tourism industry, resulting in significant impacts on both human and economic activities. Travel restrictions, border closures, and quarantine measures have led to a sharp decline in tourism demand, causing businesses to shut down, jobs to be lost, and economies to suffer. Purpose of the article: This study aims to examine the correlation and causal relationship between real-time mobility data and statistical data on tourism, specifically tourism overnights, across eleven European countries during the first 14 months of the pandemic. We analyzed the short longitudinal connections between two dimensions of tourism and related activities. Methods: Our method is to use Google and Apple's observational data to link with tourism statistical data, enabling the development of early predictive models and econometric models for tourism overnights (or other tourism indices). This approach leverages the more timely and more reliable mobility data from Google and Apple, which is published with less delay than tourism statistical data. Findings &amp; value added: Our findings indicate statistically significant correlations between specific mobility dimensions, such as recreation and retail, parks, and tourism statistical data, but poor or insignificant relations with workplace and transit dimensions. W</w:t>
      </w:r>
    </w:p>
    <w:p>
      <w:pPr/>
      <w:r>
        <w:rPr>
          <w:b/>
        </w:rPr>
        <w:t>POSSIBLE 2022:</w:t>
      </w:r>
      <w:r>
        <w:t xml:space="preserve"> SMART-TECHNOLOGIES IN THE TOURISM INDUSTRY OF EUROPE — https://doi.org/10.31651/2076-5843-2022-3-4-109-117</w:t>
      </w:r>
    </w:p>
    <w:p>
      <w:pPr/>
      <w:r>
        <w:rPr>
          <w:b/>
        </w:rPr>
        <w:t>Shared claim-specific concepts:</w:t>
      </w:r>
      <w:r>
        <w:t xml:space="preserve"> purpose, real, tourism, expert, product; EU scope visible. This is a provisional connection, not an outcome finding.</w:t>
      </w:r>
    </w:p>
    <w:p>
      <w:pPr>
        <w:pStyle w:val="SourceNote"/>
      </w:pPr>
      <w:r>
        <w:rPr>
          <w:b/>
        </w:rPr>
        <w:t>Available abstract (not full text):</w:t>
      </w:r>
      <w:r>
        <w:t xml:space="preserve"> Introduction. Today, the tourism sector needs to adapt to a changing environment and strengthen competitiveness. The introduction of smart technologies characterizes the current stage of tourism development, which is influenced by the evolution of information technology and becomes a promising way to confront new market conditions. Travel smart technologies include the automation of travel and related processes, saving time, reducing costs and creating a more seamless travel experience for tourists. These technologies can be applied to improve the customer experience: before, during and after the trip itself. Smart technologies provide an opportunity in tourism activities to streamline and automate processes that traditionally require active human involvement. This can potentially help businesses reduce the need for staff, cut costs and increase revenue, leading to improved financial results. The application of smart technologies and the concept of smart tourism in destinations can strengthen countries' competitiveness and lead to better satisfaction of tourists' needs. Europe is one of the leaders in the development of smart technologies and experience in their application in tourism activities. Purpose. Analysis of the development of smart technologies in the tourism sector of leading European countries, in particular in the most famous tourist destinations. Methods. The arti</w:t>
      </w:r>
    </w:p>
    <w:p>
      <w:pPr/>
      <w:r>
        <w:rPr>
          <w:b/>
        </w:rPr>
        <w:t>POSSIBLE 2022:</w:t>
      </w:r>
      <w:r>
        <w:t xml:space="preserve"> Digital accessibility of smart cities - tourism for all and reducing inequalities: Tourism Agenda 2030 — https://doi.org/10.1108/tr-02-2022-0091</w:t>
      </w:r>
    </w:p>
    <w:p>
      <w:pPr/>
      <w:r>
        <w:rPr>
          <w:b/>
        </w:rPr>
        <w:t>Shared claim-specific concepts:</w:t>
      </w:r>
      <w:r>
        <w:t xml:space="preserve"> purpose, analyze, tourism; EU scope visible. This is a provisional connection, not an outcome finding.</w:t>
      </w:r>
    </w:p>
    <w:p>
      <w:pPr>
        <w:pStyle w:val="SourceNote"/>
      </w:pPr>
      <w:r>
        <w:rPr>
          <w:b/>
        </w:rPr>
        <w:t>Available abstract (not full text):</w:t>
      </w:r>
      <w:r>
        <w:t xml:space="preserve"> Purpose There is widespread agreement that the tourism sector should address the issue of sustainability. The purpose of this study is to analyze the digital accessibility of the cities awarded as European Capitals of Smart Tourism for their innovative, accessible and sustainable practices by the European Commission. Design/methodology/approach An analysis of the digital level of accessibility of 50 uniform resource locator (URL) of European cities was undertaken. The analysis followed the international evaluation requirements of the World Wide Web (W3C). Findings The results show that none of the official Web pages analyzed obtained 100% in relation to the digital accessibility requirements. The main factors that pose barriers to communication and interaction were identified. Practical implications The paper encourages smart tourism destinations to overcome the challenge of matching both dimensions of accessibility to obtain barrier-free information to ensure cities are inclusive and sustainable in line with Agenda 2030 (sustainable development goal [SDG] 11). Originality/value The concept of tourism for all receives special attention in the sector, and this notion is reflected in the UN SDGs. However, accessibility has not been extensively analyzed in relation to the cohesion between the digital and the physical dimension. Tourism research tends to focus on accessible experie</w:t>
      </w:r>
    </w:p>
    <w:p>
      <w:pPr/>
      <w:r>
        <w:rPr>
          <w:b/>
        </w:rPr>
        <w:t>POSSIBLE 2021:</w:t>
      </w:r>
      <w:r>
        <w:t xml:space="preserve"> PROVING THE IMPORTANCE OF SEA TOURISM FOR THE EUROPE'S ECONOMY — https://doi.org/10.32843/bses.64-18</w:t>
      </w:r>
    </w:p>
    <w:p>
      <w:pPr/>
      <w:r>
        <w:rPr>
          <w:b/>
        </w:rPr>
        <w:t>Shared claim-specific concepts:</w:t>
      </w:r>
      <w:r>
        <w:t xml:space="preserve"> purpose, real, tourism, economy; EU scope visible. This is a provisional connection, not an outcome finding.</w:t>
      </w:r>
    </w:p>
    <w:p>
      <w:pPr>
        <w:pStyle w:val="SourceNote"/>
      </w:pPr>
      <w:r>
        <w:rPr>
          <w:b/>
        </w:rPr>
        <w:t>Available abstract (not full text):</w:t>
      </w:r>
      <w:r>
        <w:t xml:space="preserve"> The article emphasizes that the dynamic development of maritime tourism is especially important for all industries and its importance is constantly growing. Where to direct such development, how to ensure the conditions for its sustainable development are the main issues for countries at the regional level. It is noted that the demand in the European maritime tourism market has specific development factors that need to be studied. The main areas in which maritime tourism contributes to the European economy are highlighted. Indirect effects of maritime tourism, which are manifested as a driving force in the development of other ancillary activities. Peculiarities of legislative regulation of maritime tourism in European countries with developed and transition economies are considered. Their features and examples are given. Resource-based and tourism-based models of maritime tourism development are described. Various classifications of the tourist market in general and the maritime tourism market in particular are presented and analyzed. It is emphasized that all classifications have their specific real purpose and purpose. For effective marketing management of tourist destinations it is necessary to identify and assess its potential. The question of the concept of "new market", which is of particular importance for the development of the maritime tourism industry. It is emphasiz</w:t>
      </w:r>
    </w:p>
    <w:p>
      <w:pPr/>
      <w:r>
        <w:rPr>
          <w:b/>
        </w:rPr>
        <w:t>POSSIBLE 2020:</w:t>
      </w:r>
      <w:r>
        <w:t xml:space="preserve"> Virtual reality and modern tourism — https://doi.org/10.1108/jtf-01-2020-0004</w:t>
      </w:r>
    </w:p>
    <w:p>
      <w:pPr/>
      <w:r>
        <w:rPr>
          <w:b/>
        </w:rPr>
        <w:t>Shared claim-specific concepts:</w:t>
      </w:r>
      <w:r>
        <w:t xml:space="preserve"> purpose, analyze, tourism; EU scope not established. This is a provisional connection, not an outcome finding.</w:t>
      </w:r>
    </w:p>
    <w:p>
      <w:pPr>
        <w:pStyle w:val="SourceNote"/>
      </w:pPr>
      <w:r>
        <w:rPr>
          <w:b/>
        </w:rPr>
        <w:t>Available abstract (not full text):</w:t>
      </w:r>
      <w:r>
        <w:t xml:space="preserve"> Purpose The purpose of this paper is to provide an insight as to how recent trends in virtual reality (VR) have changed the way tourism and hospitality industry communicates their offerings and meets the tourists’ needs. Design/methodology/approach The approach is based on systematic literature review, where the relations between focal concepts are given to analyze potential future developments concerning VR. Findings The paper identifies and analyzes how VR technology affected tourism and hospitality industry through three main touch points – future tourism planning and management, technology-based marketing of tourism destinations and VR potential in changing consumer requirements. These concepts were analyzed to identify changing forces and suggest potential paradigm shifts that tourism and hospitality suppliers and marketers need to consider. These included realistic virtual travel replacements, the importance of interactive experiences and innovation in future tourism systems. Originality/value While there has been increasingly larger number of discussions on how tourists and tourism and hospitality industry have been using information and communication technology recently, there is little evidence of scholars and practitioners applying such methods. This paper used systematic literature review to illustrate means in which VR could be ingrained into tourism and hospitality</w:t>
      </w:r>
    </w:p>
    <w:p>
      <w:pPr/>
      <w:r>
        <w:rPr>
          <w:b/>
        </w:rPr>
        <w:t>POSSIBLE 2020:</w:t>
      </w:r>
      <w:r>
        <w:t xml:space="preserve"> Aspects of Digitalization and Related Impact on Green Tourism in European Countries — https://doi.org/10.3390/info11110507</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The digital world requires the implementation of new technologies and customer-driven business transformation. As the tourism sector may experience unanticipated ways of developing new technologies due to the current global health crisis, the standard travel experience could be changed. The main aim of this study was to analyze the influence of digitalization and tourists’ preferences in terms of accommodation and economic well-being implying sustainability. This paper applied a regression analysis and principal component analysis to achieve the above objective. Research exposed the fact that tourists’ preferences towards green destinations and ecological accommodation establishments, as well as Internet use in travel planning, may have a significant influence on the sustainability of tourism. This study identified behavioral models of 30 European countries from the sustainable tourism and digitalization perspective and made recommendations on economic and social policy measures to ensure the sustainable nature of tourism activity.</w:t>
      </w:r>
    </w:p>
    <w:p>
      <w:pPr/>
      <w:r>
        <w:rPr>
          <w:b/>
        </w:rPr>
        <w:t>POSSIBLE 2020:</w:t>
      </w:r>
      <w:r>
        <w:t xml:space="preserve"> Innovative Tools for Tourism and Cultural Tourism Impact Assessment — https://doi.org/10.3390/su12187470</w:t>
      </w:r>
    </w:p>
    <w:p>
      <w:pPr/>
      <w:r>
        <w:rPr>
          <w:b/>
        </w:rPr>
        <w:t>Shared claim-specific concepts:</w:t>
      </w:r>
      <w:r>
        <w:t xml:space="preserve"> real, tourism, economy; EU scope visible. This is a provisional connection, not an outcome finding.</w:t>
      </w:r>
    </w:p>
    <w:p>
      <w:pPr>
        <w:pStyle w:val="SourceNote"/>
      </w:pPr>
      <w:r>
        <w:rPr>
          <w:b/>
        </w:rPr>
        <w:t>Available abstract (not full text):</w:t>
      </w:r>
      <w:r>
        <w:t xml:space="preserve"> The importance of data and evidence has increased considerably in policy planning, implementation, and evaluation. There is unprecedented availability of open and big data, and there are rapid developments in intelligence gathering and the application of analytical tools. While cultural heritage holds many tangible and intangible values for local communities and society in general, there is a knowledge gap regarding suitable methods and data sources to measure the impacts and develop data-driven policies of cultural tourism. In the tourism sector, rapid developments are particularly taking place around novel uses of mobile positioning data, web scraping, and open application programming interface (API) data, data on sharing, and collaborative economy and passenger data. Based on feedback from 15 European cultural tourism regions, recommendations are developed regarding the use of innovative tools and data sources in tourism management. In terms of potential analytical depth, it is especially advisable to explore the use of mobile positioning data. Yet, there are considerable barriers, especially in terms of privacy protection and ethics, in using such data. User-generated big data from social media, web searches, and website visits constitute another promising data source as it is often publicly available in real time and has low usage barriers. Due to the emergence of new plat</w:t>
      </w:r>
    </w:p>
    <w:p>
      <w:pPr/>
      <w:r>
        <w:rPr>
          <w:b/>
        </w:rPr>
        <w:t>POSSIBLE 2018:</w:t>
      </w:r>
      <w:r>
        <w:t xml:space="preserve"> EUROPEAN TOURISM MANAGEMENT COMPETITIVENESS AND PECULIARITIES — https://doi.org/10.31410/tmt.2018.473</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The scope of this research paper is to analyze the tourism sector and the tourism competitiveness in the frame of European Union (EU-28). The methodology of the paper is classic based on comparative analysis between EU-28 countries, using the analysis, the comparisons and the synthesis of available information.The main source of the data used is Eurostat database.The methodology of the paper is based on the data collected from numerous official, and semi-official published reports, research journals, newspaper reports, research articles, websites and works of the individual scholars : The Travel &amp; Tourism Competitiveness Report 2017 from World Economic Forum, Travel &amp; Tourism Economic Impact 2018 from World Travel &amp; Tourism Council.Finally, the paper concludes and aims recommendation and solution for tourism management in order to increase the European tourism efficiency and competitiveness facing worldwide major challenges regarding resources scarcity, climate change and world security.</w:t>
      </w:r>
    </w:p>
    <w:p>
      <w:pPr>
        <w:pStyle w:val="Heading2"/>
      </w:pPr>
      <w:r>
        <w:t>780.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decarbonizing, transportation, sector, greenhouse, gas, emissions;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Decarbonizing road freight transportation: recent advances and future trends — https://doi.org/10.1080/01605682.2024.2446655</w:t>
      </w:r>
    </w:p>
    <w:p>
      <w:pPr/>
      <w:r>
        <w:rPr>
          <w:b/>
        </w:rPr>
        <w:t>Shared claim-specific concepts:</w:t>
      </w:r>
      <w:r>
        <w:t xml:space="preserve"> decarbonizing, transportation, energy; EU scope not established. This is a provisional connection, not an outcome finding.</w:t>
      </w:r>
    </w:p>
    <w:p>
      <w:pPr>
        <w:pStyle w:val="SourceNote"/>
      </w:pPr>
      <w:r>
        <w:rPr>
          <w:b/>
        </w:rPr>
        <w:t>Available abstract (not full text):</w:t>
      </w:r>
      <w:r>
        <w:t xml:space="preserve"> This is a survey of decarbonization for road freight transportation. It offers a focused overview of planning models and presents a narrative that contextualizes the journey and evolution of decarbonization efforts. It first reports on recent advances in the field under the classification of operational tactical and strategic planning. It then identifies future trends in the areas of technology, infrastructure, market, behaviour, energy and regulations. The paper closes with a discussion on emerging models and presents a methodological outlook.</w:t>
      </w:r>
    </w:p>
    <w:p>
      <w:pPr/>
      <w:r>
        <w:rPr>
          <w:b/>
        </w:rPr>
        <w:t>POSSIBLE 2025:</w:t>
      </w:r>
      <w:r>
        <w:t xml:space="preserve"> The legal development of ENTSO-E as a tool for energy security and decarbonization of the European Union — https://doi.org/10.24144/2307-3322.2025.90.5.25</w:t>
      </w:r>
    </w:p>
    <w:p>
      <w:pPr/>
      <w:r>
        <w:rPr>
          <w:b/>
        </w:rPr>
        <w:t>Shared claim-specific concepts:</w:t>
      </w:r>
      <w:r>
        <w:t xml:space="preserve"> realize, vision, energy, system, within; EU scope visible. This is a provisional connection, not an outcome finding.</w:t>
      </w:r>
    </w:p>
    <w:p>
      <w:pPr>
        <w:pStyle w:val="SourceNote"/>
      </w:pPr>
      <w:r>
        <w:rPr>
          <w:b/>
        </w:rPr>
        <w:t>Available abstract (not full text):</w:t>
      </w:r>
      <w:r>
        <w:t xml:space="preserve"> The article examines the institutional and legal evolution of the European Network of Transmission System Operators for Electricity (ENTSO-E) within the broader framework of the European Union’s climate policy and its strategic vision of a climate-neutral Europe by 2050. It explores how key legislative instruments – including Regulation (EU) 2019/943, Directive (EU) 2019/944, the network codes, and the Third Energy Package – have progressively transformed ENTSO-E from a primarily technical coordination platform into a central institutional actor in the EU’s green energy transition. Particular attention is paid to the legal framework that governs the integration of renewable energy sources into the grid, the phase-out of fossil fuel-based generation, the development of advanced balancing mechanisms, and the expansion of regional coordination centers (RCCs). These developments reflect the EU’s commitment to a decarbonized, interconnected, and resilient energy system. The article further examines the impact of the legal principle of unbundling, which aims to ensure non-discriminatory access to energy networks and promote competitive electricity markets. In addition, the study addresses the external and geopolitical dimension of ENTSO-E’s role, notably the emergency synchronization of Ukraine and Moldova with the Continental European electricity grid in March 2022. This synchroniza</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sector, net, greenhouse, gas, emissions,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2024:</w:t>
      </w:r>
      <w:r>
        <w:t xml:space="preserve"> DECARBONIZING FREIGHT TRANSPORTATION IN BRAZIL: METHODOLOGIES, RESULTS AND PRACTICAL IMPLICATIONS — https://doi.org/10.26668/businessreview/2024.v9i10.4667</w:t>
      </w:r>
    </w:p>
    <w:p>
      <w:pPr/>
      <w:r>
        <w:rPr>
          <w:b/>
        </w:rPr>
        <w:t>Shared claim-specific concepts:</w:t>
      </w:r>
      <w:r>
        <w:t xml:space="preserve"> decarbonizing, transportation, ghg, emissions, two; EU scope not established. This is a provisional connection, not an outcome finding.</w:t>
      </w:r>
    </w:p>
    <w:p>
      <w:pPr>
        <w:pStyle w:val="SourceNote"/>
      </w:pPr>
      <w:r>
        <w:rPr>
          <w:b/>
        </w:rPr>
        <w:t>Available abstract (not full text):</w:t>
      </w:r>
      <w:r>
        <w:t xml:space="preserve"> Objective: The objective of this technological article is to present a practical tool for calculating CO2 emissions based on fuel consumption applied in a small road freight transport company. Theoretical Framework: There are 4 methods available in the literature for calculating CO2 emissions produced during cargo transport, which stand out for their applicability: (1) GHG Procol; (2) MNT; (3) DEFRA; and (4) GLEC. The authors (Leonardi &amp; Baumgartner, 2004; Lewis et al., 2016) have methodologies for calculating emissions from freight transport, which currently present significant variability in the approaches and databases recommended. The main methodologies in this area are based on two main foundations: (1) fuel-based methodologies; (2) activity-based methodologies. Method: The calculation methodology used is based on fuel consumption (bottom-up), which considered the characteristics of the target fleet, the number of vehicles and their technological phase, the actual intensity of fleet use in operation, and real fuel consumption. Results and Discussion: From this initial information, it was possible to obtain the volume of CO2 emissions specific to the fleet, considering vehicles using regular diesel and biodiesel (S10). The results indicated a fleet CO2 emission of 1,643 tons per year with the use of biodiesel (S10), representing a 10.5% reduction compared to the total CO2 e</w:t>
      </w:r>
    </w:p>
    <w:p>
      <w:pPr/>
      <w:r>
        <w:rPr>
          <w:b/>
        </w:rPr>
        <w:t>POSSIBLE 2024:</w:t>
      </w:r>
      <w:r>
        <w:t xml:space="preserve"> Decarbonization with induced technical change: Exploring the niche potential of hydrogen in heavy transportation — https://doi.org/10.1016/j.jclepro.2024.140743</w:t>
      </w:r>
    </w:p>
    <w:p>
      <w:pPr/>
      <w:r>
        <w:rPr>
          <w:b/>
        </w:rPr>
        <w:t>Shared claim-specific concepts:</w:t>
      </w:r>
      <w:r>
        <w:t xml:space="preserve"> transportation, sector, energy, one; EU scope visible. This is a provisional connection, not an outcome finding.</w:t>
      </w:r>
    </w:p>
    <w:p>
      <w:pPr>
        <w:pStyle w:val="SourceNote"/>
      </w:pPr>
      <w:r>
        <w:rPr>
          <w:b/>
        </w:rPr>
        <w:t>Available abstract (not full text):</w:t>
      </w:r>
      <w:r>
        <w:t xml:space="preserve"> Fuel cells and electric batteries are competing technologies for the energy transition in heavy transportation. We explore the conditions for the survival of a unique technology in the long term. Learning by doing suggests focusing on a single technology while differentiation and decreasing return to scale (cost convexity) favor diversification. Exogenous technical change also plays a role. The interaction between these factors is analyzed in a general model. It is proved that in absence of convexity and exogenous technical change, only one technology is used for the whole transition. We then apply this framework to analyze the competition between fuel-cell electric buses (FCEBs) and battery electric buses (BEB) in the European bus sector, considering both learning by doing and exogenous technical change. The model is calibrated and solved. It is shown that the existence of a niche for FCEBs critically depends on the speed at which cost reductions are achieved. The speed depends both on the size of the niche and the rate of learning by doing for FCEBs. Public policies to decentralize the socially optimal trajectory in terms of carbon tax and subsidies to learning by doing are derived.</w:t>
      </w:r>
    </w:p>
    <w:p>
      <w:pPr/>
      <w:r>
        <w:rPr>
          <w:b/>
        </w:rPr>
        <w:t>POSSIBLE 2024:</w:t>
      </w:r>
      <w:r>
        <w:t xml:space="preserve"> The Significance of Economic Complexity and Renewable Energy for Decarbonization in Eastern European Countries — https://doi.org/10.3390/en17215271</w:t>
      </w:r>
    </w:p>
    <w:p>
      <w:pPr/>
      <w:r>
        <w:rPr>
          <w:b/>
        </w:rPr>
        <w:t>Shared claim-specific concepts:</w:t>
      </w:r>
      <w:r>
        <w:t xml:space="preserve"> emissions, energy; EU scope visible. This is a provisional connection, not an outcome finding.</w:t>
      </w:r>
    </w:p>
    <w:p>
      <w:pPr>
        <w:pStyle w:val="SourceNote"/>
      </w:pPr>
      <w:r>
        <w:rPr>
          <w:b/>
        </w:rPr>
        <w:t>Available abstract (not full text):</w:t>
      </w:r>
      <w:r>
        <w:t xml:space="preserve"> Emerging states’ path to enhancing the welfare of their citizens has been strongly accompanied by environmental degradation; climate change effects often abrogate their economic results. This zero-sum game must change, and environmental concerns should be considered when the development of a country is discussed and assessed. In this sense, this study’s objective is to analyze the impact of economic complexity and renewable energy consumption in the presence of economic growth and urbanization in selected emerging European countries from 1995 to 2021. We used a multiple-methodologic approach to highlight the supportive effects of economic complexity and renewable energy consumption in mitigating carbon emissions. Furthermore, the effects of economic growth and urbanization were emphasized by applying the cointegration regression (CCR), fully modified OLS, and dynamic OLS (FMOLS–DOLS) approaches. Additionally, we used Driscoll–Kraay estimation regression to test the robustness of our results. The results reveal the beneficial role of renewable energy consumption and economic complexity in the decarbonization process of selected countries. Furthermore, the study highlighted the detrimental influence of urbanization and economic growth, which were feasible considering the emerging status of the countries included in the panel.</w:t>
      </w:r>
    </w:p>
    <w:p>
      <w:pPr>
        <w:pStyle w:val="Heading2"/>
      </w:pPr>
      <w:r>
        <w:t>781.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penetration, rates,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Multi-V2X: A Large Scale Multi-modal Multi-penetration-rate Dataset for Cooperative Perception — https://doi.org/10.48550/arxiv.2409.04980</w:t>
      </w:r>
    </w:p>
    <w:p>
      <w:pPr/>
      <w:r>
        <w:rPr>
          <w:b/>
        </w:rPr>
        <w:t>Shared claim-specific concepts:</w:t>
      </w:r>
      <w:r>
        <w:t xml:space="preserve"> penetration, rates, vehicles, potential; EU scope not established. This is a provisional connection, not an outcome finding.</w:t>
      </w:r>
    </w:p>
    <w:p>
      <w:pPr>
        <w:pStyle w:val="SourceNote"/>
      </w:pPr>
      <w:r>
        <w:rPr>
          <w:b/>
        </w:rPr>
        <w:t>Available abstract (not full text):</w:t>
      </w:r>
      <w:r>
        <w:t xml:space="preserve"> Cooperative perception through vehicle-to-everything (V2X) has garnered significant attention in recent years due to its potential to overcome occlusions and enhance long-distance perception. Great achievements have been made in both datasets and algorithms. However, existing real-world datasets are limited by the presence of few communicable agents, while synthetic datasets typically cover only vehicles. More importantly, the penetration rate of connected and autonomous vehicles (CAVs) , a critical factor for the deployment of cooperative perception technologies, has not been adequately addressed. To tackle these issues, we introduce Multi-V2X, a large-scale, multi-modal, multi-penetration-rate dataset for V2X perception. By co-simulating SUMO and CARLA, we equip a substantial number of cars and roadside units (RSUs) in simulated towns with sensor suites, and collect comprehensive sensing data. Datasets with specified CAV penetration rates can be obtained by masking some equipped cars as normal vehicles. In total, our Multi-V2X dataset comprises 549k RGB frames, 146k LiDAR frames, and 4,219k annotated 3D bounding boxes across six categories. The highest possible CAV penetration rate reaches 86.21%, with up to 31 agents in communication range, posing new challenges in selecting agents to collaborate with. We provide comprehensive benchmarks for cooperative 3D object detection t</w:t>
      </w:r>
    </w:p>
    <w:p>
      <w:pPr/>
      <w:r>
        <w:rPr>
          <w:b/>
        </w:rPr>
        <w:t>POSSIBLE 2024:</w:t>
      </w:r>
      <w:r>
        <w:t xml:space="preserve"> Socioeconomic Burden of Pulmonary Embolism in Europe: Shifting Priorities and Challenges for Novel Reperfusion Strategies — https://doi.org/10.1055/a-2505-8711</w:t>
      </w:r>
    </w:p>
    <w:p>
      <w:pPr/>
      <w:r>
        <w:rPr>
          <w:b/>
        </w:rPr>
        <w:t>Shared claim-specific concepts:</w:t>
      </w:r>
      <w:r>
        <w:t xml:space="preserve"> penetration, rates, among, different, potential; EU scope visible. This is a provisional connection, not an outcome finding.</w:t>
      </w:r>
    </w:p>
    <w:p>
      <w:pPr>
        <w:pStyle w:val="SourceNote"/>
      </w:pPr>
      <w:r>
        <w:rPr>
          <w:b/>
        </w:rPr>
        <w:t>Available abstract (not full text):</w:t>
      </w:r>
      <w:r>
        <w:t xml:space="preserve"> In-hospital case fatality related to acute pulmonary embolism (PE) has been falling since the beginning of this century. However, annual incidence rates continue to climb, and an increasing number of PE survivors need long-term follow-up, chronic anticoagulation treatment, and readmission(s) to the hospital. In European countries, median reimbursed hospital costs for acute PE are still moderate compared with the United States but can increase several-fold in patients with comorbidities and those necessitating potentially life-saving reperfusion treatment. The use of catheter-directed treatment (CDT) has constantly increased in the United States since the past decade, and it has now entered a rapid growth phase in Europe as well, estimated to reach an annual penetration rate of up to 31% among patients with intermediate-high- or high-risk PE by 2030. Ongoing randomised controlled trials are currently investigating the clinical efficacy and safety of these devices. In addition, they will deliver data permitting calculation of their cost-effectiveness in different health care reimbursement systems, by revealing the extent to which they can reduce complications and consequently the need for intensive care and the overall length of hospital stay. After discharge, key cost drivers are related to chronic cardiopulmonary diseases (other than PE itself) leading to frequent readmissions,</w:t>
      </w:r>
    </w:p>
    <w:p>
      <w:pPr/>
      <w:r>
        <w:rPr>
          <w:b/>
        </w:rPr>
        <w:t>POSSIBLE 2024:</w:t>
      </w:r>
      <w:r>
        <w:t xml:space="preserve"> A Survey on Penetration Path Planning in Automated Penetration Testing — https://doi.org/10.3390/app14188355</w:t>
      </w:r>
    </w:p>
    <w:p>
      <w:pPr/>
      <w:r>
        <w:rPr>
          <w:b/>
        </w:rPr>
        <w:t>Shared claim-specific concepts:</w:t>
      </w:r>
      <w:r>
        <w:t xml:space="preserve"> penetration, automated, identify, paths; EU scope not established. This is a provisional connection, not an outcome finding.</w:t>
      </w:r>
    </w:p>
    <w:p>
      <w:pPr>
        <w:pStyle w:val="SourceNote"/>
      </w:pPr>
      <w:r>
        <w:rPr>
          <w:b/>
        </w:rPr>
        <w:t>Available abstract (not full text):</w:t>
      </w:r>
      <w:r>
        <w:t xml:space="preserve"> Penetration Testing (PT) is an effective proactive security technique that simulates hacker attacks to identify vulnerabilities in networks or systems. However, traditional PT relies on specialized experience and costs extraordinary time and effort. With the advancement of artificial intelligence technologies, automated PT has emerged as a promising solution, attracting attention from researchers increasingly. In automated PT, penetration path planning is a core task that involves selecting the optimal attack paths to maximize the overall efficiency and success rate of the testing process. Recent years have seen significant progress in the field of penetration path planning, with diverse methods being proposed. This survey aims to comprehensively examine and summarize the research findings in this domain. Our work first outlines the background and challenges of penetration path planning and establishes the framework for research methods. It then provides a detailed analysis of existing studies from three key aspects: penetration path planning models, penetration path planning methods, and simulation environments. Finally, this survey offers insights into the future development trends of penetration path planning in PT. This paper aims to provide comprehensive references for academia and industry, promoting further research and application of automated PT path planning methods.</w:t>
      </w:r>
    </w:p>
    <w:p>
      <w:pPr/>
      <w:r>
        <w:rPr>
          <w:b/>
        </w:rPr>
        <w:t>POSSIBLE 2023:</w:t>
      </w:r>
      <w:r>
        <w:t xml:space="preserve"> Investigation into Factors Affecting Penetration Rate and Favorable Ground Types of Pipe Jacking — https://doi.org/10.2174/18748368-v17-2305300-2022-24</w:t>
      </w:r>
    </w:p>
    <w:p>
      <w:pPr/>
      <w:r>
        <w:rPr>
          <w:b/>
        </w:rPr>
        <w:t>Shared claim-specific concepts:</w:t>
      </w:r>
      <w:r>
        <w:t xml:space="preserve"> penetration, among, identify; EU scope not established. This is a provisional connection, not an outcome finding.</w:t>
      </w:r>
    </w:p>
    <w:p>
      <w:pPr>
        <w:pStyle w:val="SourceNote"/>
      </w:pPr>
      <w:r>
        <w:rPr>
          <w:b/>
        </w:rPr>
        <w:t>Available abstract (not full text):</w:t>
      </w:r>
      <w:r>
        <w:t xml:space="preserve"> Introduction: Improper assessment of the penetration rate (PR) of pipe jacking (PJ) may lead to serious schedule delays and cost overruns. In the current practice, PR is estimated on the basis of the experience of practitioners. This has resulted in predicted PR values that are not consistent with the actual ones. A guideline that can be used to reliably predict PR and account for the effects of the significantly controlling factors is not available. This negatively affects the estimated project time and cost. The problems stem from the many factors that affect PR such as the ground conditions, installation depth, machine type, operator experience, and pipe diameter. Little research has been made in this regard. So this research will focus on two main objectives; the first is to identify, categorize and rank the factors that affect PR, and the second is to investigate the common types of ground and PJ machines in Egypt and the Middle East to determine the favorable ground types for PJ machines. Methods: To determine the factors that affect the PR of PJ and their relative importance, interviews were made with 17 PJ experts in Egypt. Then, a questionnaire was sent to 149 PJ experts in Egypt and the Middle East. The obtained responses were analyzed and the relative importance of all factors was determined. Based on the interviews with experts and the questionnaire survey, the favo</w:t>
      </w:r>
    </w:p>
    <w:p>
      <w:pPr/>
      <w:r>
        <w:rPr>
          <w:b/>
        </w:rPr>
        <w:t>POSSIBLE 2022:</w:t>
      </w:r>
      <w:r>
        <w:t xml:space="preserve"> Impact of the Connected Vehicles Penetration Rate on the Speed Transition Matrices Accuracy — https://doi.org/10.1016/j.trpro.2022.09.029</w:t>
      </w:r>
    </w:p>
    <w:p>
      <w:pPr/>
      <w:r>
        <w:rPr>
          <w:b/>
        </w:rPr>
        <w:t>Shared claim-specific concepts:</w:t>
      </w:r>
      <w:r>
        <w:t xml:space="preserve"> penetration, between, vehicles, fully, estimate, traffic; EU scope not established. This is a provisional connection, not an outcome finding.</w:t>
      </w:r>
    </w:p>
    <w:p>
      <w:pPr>
        <w:pStyle w:val="SourceNote"/>
      </w:pPr>
      <w:r>
        <w:rPr>
          <w:b/>
        </w:rPr>
        <w:t>Available abstract (not full text):</w:t>
      </w:r>
      <w:r>
        <w:t xml:space="preserve"> The development of the Vehicle to Everything (V2X) communication technology can provide crucial data for traffic analysis on the microscopic level. Real-time data from Connected Vehicles (CVs) opens new research possibilities providing detailed insight into the actual traffic state. Speed Transition Matrices (STMs) can be used for this insight and can be created within a fully observable traffic environment. By introducing CVs into the traffic network, it is possible to obtain a partial observation of the traffic environment. This paper explores how the data collected from CVs can be used for the creation of STMs at an isolated intersection in a simulated environment. An emphasis is given on how the CVs penetration rate impacts the accuracy of the created STM. The results show that by increasing the CVs penetration rate, the STM estimate accuracy is also increased, although the relation between estimate accuracy and the penetration rate is not linear. Obtained results show that the error of STM estimation rapidly decreases in the lower CVs penetration rate range.</w:t>
      </w:r>
    </w:p>
    <w:p>
      <w:pPr/>
      <w:r>
        <w:rPr>
          <w:b/>
        </w:rPr>
        <w:t>POSSIBLE 2021:</w:t>
      </w:r>
      <w:r>
        <w:t xml:space="preserve"> The Broadband Penetration in Europe — https://doi.org/10.57017/jaes.v16.3(73).07</w:t>
      </w:r>
    </w:p>
    <w:p>
      <w:pPr/>
      <w:r>
        <w:rPr>
          <w:b/>
        </w:rPr>
        <w:t>Shared claim-specific concepts:</w:t>
      </w:r>
      <w:r>
        <w:t xml:space="preserve"> penetration, expected, different, estimate; EU scope visible. This is a provisional connection, not an outcome finding.</w:t>
      </w:r>
    </w:p>
    <w:p>
      <w:pPr>
        <w:pStyle w:val="SourceNote"/>
      </w:pPr>
      <w:r>
        <w:rPr>
          <w:b/>
        </w:rPr>
        <w:t>Available abstract (not full text):</w:t>
      </w:r>
      <w:r>
        <w:t xml:space="preserve"> In this article we estimate the determinants of broadband penetration in Europe. We use data from the European Innovation Scoreboard of the European Commission for 37 countries in the period 2010-2019. We apply Panel Data with Fixed Effects, Panel Data with Random Effects, WLS, OLS and Dynamic Panel. We found that the level of “Broadband Penetration” in Europe is positively associated to “Enterprises Providing ICT Training”, “Innovative Sales Share”, “Intellectual Assets”, “Knowledge-Intensive Service Exports”, “Turnover Share SMEs”, “Innovation Friendly Environment” and negatively associated with “Government procurement of advanced technology products”, “Sales Impact”, “Firm Investments”, “Opportunity-Driven Entrepreneurship”, “Most Cited Publications”, “Rule of Law”. In adjunct we perform a clusterization with k-Means algorithm optimized with the Silhouette Coefficient and we find the presence of three different clusters. Finally, we apply eight machine learning algorithms to predict the level of “Broadband Penetration” in Europe and we find that the Polynomial Regression algorithm is the best predictor and that the level of the variable is expected to increase of 10,4%.</w:t>
      </w:r>
    </w:p>
    <w:p>
      <w:pPr/>
      <w:r>
        <w:rPr>
          <w:b/>
        </w:rPr>
        <w:t>POSSIBLE 2021:</w:t>
      </w:r>
      <w:r>
        <w:t xml:space="preserve"> DEM study of particle scale and penetration rate on the installation mechanisms of screw piles in sand — https://doi.org/10.1016/j.compgeo.2021.104380</w:t>
      </w:r>
    </w:p>
    <w:p>
      <w:pPr/>
      <w:r>
        <w:rPr>
          <w:b/>
        </w:rPr>
        <w:t>Shared claim-specific concepts:</w:t>
      </w:r>
      <w:r>
        <w:t xml:space="preserve"> penetration, different, behaviour; EU scope not established. This is a provisional connection, not an outcome finding.</w:t>
      </w:r>
    </w:p>
    <w:p>
      <w:pPr>
        <w:pStyle w:val="SourceNote"/>
      </w:pPr>
      <w:r>
        <w:rPr>
          <w:b/>
        </w:rPr>
        <w:t>Available abstract (not full text):</w:t>
      </w:r>
      <w:r>
        <w:t xml:space="preserve"> Screw piles are efficient anchors to sustain large uplift loads and can be installed with low noise or vibration. Screw piles dimensions are currently increasing, renewing research interest to reduce the installation requirements (torque and crowd or vertical force). The Discrete Element Method (DEM) is an ideal technique to investigate the complex soil behaviour during screw pile installation. Different techniques such as particle upscaling or increase of pile penetration rate have been used to reduce the CPU time to more acceptable durations (e.g. few days or weeks). This paper investigates how such techniques can affect the accuracy of the results and change the installation mechanisms. Results show that maintaining a low particle scaling factor is essential to reproduce the correct mechanism at low pile advancement ratio (AR, defined as the vertical displacement per rotation divided by the helix pitch). The pile overflighting (AR ≤ 1) creates an upwards movement of particles, which in turn creates some tension in the pile. Smaller advancement ratios require smaller particles to accurately capture this effect. Results also show that the pile penetration rate must be maintained relatively low to avoid spurious inertial effects.</w:t>
      </w:r>
    </w:p>
    <w:p>
      <w:pPr/>
      <w:r>
        <w:rPr>
          <w:b/>
        </w:rPr>
        <w:t>POSSIBLE 2021:</w:t>
      </w:r>
      <w:r>
        <w:t xml:space="preserve"> Cosmetics Europe evaluation of 6 in silico skin penetration models — https://doi.org/10.1016/j.comtox.2021.100177</w:t>
      </w:r>
    </w:p>
    <w:p>
      <w:pPr/>
      <w:r>
        <w:rPr>
          <w:b/>
        </w:rPr>
        <w:t>Shared claim-specific concepts:</w:t>
      </w:r>
      <w:r>
        <w:t xml:space="preserve"> penetration, different, between; EU scope visible. This is a provisional connection, not an outcome finding.</w:t>
      </w:r>
    </w:p>
    <w:p>
      <w:pPr>
        <w:pStyle w:val="SourceNote"/>
      </w:pPr>
      <w:r>
        <w:rPr>
          <w:b/>
        </w:rPr>
        <w:t>Available abstract (not full text):</w:t>
      </w:r>
      <w:r>
        <w:t xml:space="preserve"> The ADME TF aims to develop in silico skin penetration models using in vitro human skin penetration data for 25 chemicals solubilized in wataer. Since there are widely differing opinions on different in silico models, we evaluated 3 open source (DermWin™, CDC and the University of Surrey models) and 3 commercial models (DSkin, SimCyp and TCAT). Simulation of cutaneous distribution used a finite dose exposure scenario. None of the models adequately predicted the amount of chemical that evaporated. This was important since the prediction of dermal delivery (DD) was improved when the evaporated amount was accounted for in the simulations. The ability to predict the amounts in skin layers varied between models, and the DD were generally over-predicted by 4 models and under-predicted by 1 model. Interestingly, measured partition and diffusion coefficients for the stratum corneum (SC) improved the DD prediction by one model from R2 = 0.23 to R2 = 0.57, while DD was predicted well by other models using QSAR values with higher R2 = 0.80. The effect of ethanol on DD was indicated by 5 of the models used, although they all over-predicted the DD. In conclusion, our evaluation highlighted important differences in 6 models and identified required improvement of in silico models.</w:t>
      </w:r>
    </w:p>
    <w:p>
      <w:pPr>
        <w:pStyle w:val="Heading2"/>
      </w:pPr>
      <w:r>
        <w:t>782.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2022:</w:t>
      </w:r>
      <w:r>
        <w:t xml:space="preserve"> The European Registry for Patients with Mechanical Circulatory Support of the European Association for Cardio-Thoracic Surgery: third report — https://doi.org/10.1093/ejcts/ezac032</w:t>
      </w:r>
    </w:p>
    <w:p>
      <w:pPr/>
      <w:r>
        <w:rPr>
          <w:b/>
        </w:rPr>
        <w:t>Shared claim-specific concepts:</w:t>
      </w:r>
      <w:r>
        <w:t xml:space="preserve"> third, range; EU scope visible. This is a provisional connection, not an outcome finding.</w:t>
      </w:r>
    </w:p>
    <w:p>
      <w:pPr>
        <w:pStyle w:val="SourceNote"/>
      </w:pPr>
      <w:r>
        <w:rPr>
          <w:b/>
        </w:rPr>
        <w:t>Available abstract (not full text):</w:t>
      </w:r>
      <w:r>
        <w:t xml:space="preserve"> OBJECTIVES: In the third report of the European Registry for Patients with Mechanical Circulatory Support of the European Association for Cardio-Thoracic Surgery, outcomes of patients receiving mechanical circulatory support are reviewed in relation to implant era. METHODS: Procedures in adult patients (January 2011-June 2020) were included. Patients from centres with &lt;60% follow-ups completed were excluded. Outcomes were stratified into 3 eras (2011-2013, 2014-2017 and 2018-2020). Adverse event rates (AERs) were calculated and stratified into early phase (&lt;3 months) and late phase (&gt;3 months). Risk factors for death were explored using univariable Cox regression with a stepwise time-varying hazard ratio (&lt;3 vs &gt;3 months). RESULTS: In total, 4834 procedures in 4486 individual patients (72 hospitals) were included, with a median follow-up of 1.1 (interquartile range: 0.3-2.6) years. The annual number of implants (range: 346-600) did not significantly change (P = 0.41). Both Interagency Registry for Mechanically Assisted Circulatory Support class (classes 4-7: 23, 25 and 33%; P &lt; 0.001) and in-hospital deaths (18.5, 17.2 and 11.2; P &lt; 0.001) decreased significantly between eras. Overall, mortality, transplants and the probability of weaning were 55, 25 and 2% at 5 years after the implant, respectively. Major infections were mainly noted early after the implant occurred (AER&lt;3 mon</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permanent, land, use;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2021:</w:t>
      </w:r>
      <w:r>
        <w:t xml:space="preserve"> ERA5-Land: a state-of-the-art global reanalysis dataset for land applications — https://doi.org/10.5194/essd-13-4349-2021</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Abstract. Framed within the Copernicus Climate Change Service of the European Commission, the European Centre for Medium-Range Weather Forecasts (ECMWF) is producing an enhanced global dataset for the land component of the 5th generation of European ReAnalysis (ERA5), hereafter named as ERA5-Land. Once completed, the period covered will span from 1950 to present, with continuous updates to support land monitoring applications. ERA5-Land describes the evolution of the water and energy cycles over land in a consistent manner over the production period, enabling the characterisation of trends and anomalies. This is achieved through global high resolution numerical integrations of the ECMWF land surface model driven by the downscaled meteorological forcing from the ERA5 climate reanalysis, including an elevation correction for the thermodynamic near-surface state. ERA5-Land shares with ERA5 most of the parametrizations that guarantees the use of the state-of-the-art land surface modeling applied to Numerical Weather Prediction (NWP) models. A main advantage of ERA5-Land compared to ERA5 and the older ERA-Interim is the horizontal resolution, which is enhanced globally to 9 km compared to 31 km (ERA5) or 80 km (ERA-Interim), whereas the temporal resolution is hourly as in ERA5. Evaluation against independent in situ observations and global model or satellite-based reference datasets</w:t>
      </w:r>
    </w:p>
    <w:p>
      <w:pPr/>
      <w:r>
        <w:rPr>
          <w:b/>
        </w:rPr>
        <w:t>POSSIBLE 2021:</w:t>
      </w:r>
      <w:r>
        <w:t xml:space="preserve"> A new European land systems representation accounting for landscape characteristics — https://doi.org/10.1007/s10980-021-01227-5</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Abstract Context While land use change is the main driver of biodiversity loss, most biodiversity assessments either ignore it or use a simple land cover representation. Land cover representations lack the representation of land use and landscape characteristics relevant to biodiversity modeling. Objectives We developed a comprehensive and high-resolution representation of European land systems on a 1-km2 grid integrating important land use and landscape characteristics. Methods Combining the recent data on land cover and land use intensities, we applied an expert-based hierarchical classification approach and identified land systems that are common in Europe and meaningful for studying biodiversity. We tested the benefits of using this map as compared to land cover information to predict the distribution of bird species having different vulnerability to landscape and land use change. Results Next to landscapes dominated by one land cover, mosaic landscapes cover 14.5% of European terrestrial surface. When using the land system map, species distribution models demonstrate substantially higher predictive ability (up to 19% higher) as compared to models based on land cover maps. Our map consistently contributes more to the spatial distribution of the tested species than the use of land cover data (3.9 to 39.1% higher). Conclusions A land systems classification including essential</w:t>
      </w:r>
    </w:p>
    <w:p>
      <w:pPr/>
      <w:r>
        <w:rPr>
          <w:b/>
        </w:rPr>
        <w:t>POSSIBLE 2021:</w:t>
      </w:r>
      <w:r>
        <w:t xml:space="preserve"> Sentinel-2 Time Series Analysis for Identification of Underutilized Land in Europe — https://doi.org/10.3390/rs13234920</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Biomass and bioenergy play a central role in Europe’s Green Transition. Currently, biomass is representing half of the renewable energy sources used. While the role of renewables in the energy mix is undisputed, there have been many controversial discussions on the use of biomass for energy due to the “food versus fuel” debate. Using previously underutilized lands for bioenergy is one possibility to prevent this discussion. This study supports the attempts to increase biomass for bioenergy through the provision of improved methods to identify underutilized lands in Europe. We employ advanced analysis methods based on time series modelling using Sentinel-2 (S2) data from 2017 to 2019 in order to distinguish utilized from underutilized land in twelve study areas in different bio-geographical regions (BGR) across Europe. The calculated parameters of the computed model function combined with temporal statistics were used to train a random forest classifier (RF). The achieved overall accuracies (OA) per study area vary between 80.25 and 96.76%, with confidence intervals (CI) ranging between 1.77% and 6.28% at a 95% confidence level. All in all, nearly 500,000 ha of underutilized land potentially available for agricultural bioenergy production were identified in this study, with the greatest amount mapped in Eastern Europe.</w:t>
      </w:r>
    </w:p>
    <w:p>
      <w:pPr/>
      <w:r>
        <w:rPr>
          <w:b/>
        </w:rPr>
        <w:t>POSSIBLE 2021:</w:t>
      </w:r>
      <w:r>
        <w:t xml:space="preserve"> Large variability in response to projected climate and land‐use changes among European bumblebee species — https://doi.org/10.1111/gcb.15780</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Bumblebees (Bombus ssp.) are among the most important wild pollinators, but many species have suffered from range declines. Land-use change, agricultural intensification, and the associated loss of habitat have been identified as drivers of the observed dynamics, amplifying pressures from a changing climate. However, these drivers are still underrepresented in continental-scale species distribution modeling. Here, we project the potential distribution of 47 European bumblebee species in 2050 and 2080 from existing European-scale distribution maps, based on a set of climate and land-use futures simulated through a regional integrated assessment model and consistent with the RCP-SSP scenario framework. We compare projections including (1) dynamic climate and constant land use (CLIM); (2) constant climate and dynamic land use (LU); and (3) dynamic climate and dynamic land use (COMB) to disentangle the effects of land use and climate change on future habitat suitability, providing the first rigorous continental-scale assessment of linked climate-land-use futures for bumblebees. We find that direct climate impacts, although variable across species, dominate responses for most species, especially under high-end climate change scenarios (up to 99% range loss). Land-use impacts are highly variable across species and scenarios, ranging from severe losses (up to 75% loss) to considerable</w:t>
      </w:r>
    </w:p>
    <w:p>
      <w:pPr/>
      <w:r>
        <w:rPr>
          <w:b/>
        </w:rPr>
        <w:t>POSSIBLE 2020:</w:t>
      </w:r>
      <w:r>
        <w:t xml:space="preserve"> European Union Responses to the Covid-19 Pandemic: adaptability in times of Permanent Emergency — https://doi.org/10.1080/07036337.2020.1853120</w:t>
      </w:r>
    </w:p>
    <w:p>
      <w:pPr/>
      <w:r>
        <w:rPr>
          <w:b/>
        </w:rPr>
        <w:t>Shared claim-specific concepts:</w:t>
      </w:r>
      <w:r>
        <w:t xml:space="preserve"> permanent, across; EU scope visible. This is a provisional connection, not an outcome finding.</w:t>
      </w:r>
    </w:p>
    <w:p>
      <w:pPr>
        <w:pStyle w:val="SourceNote"/>
      </w:pPr>
      <w:r>
        <w:rPr>
          <w:b/>
        </w:rPr>
        <w:t>Available abstract (not full text):</w:t>
      </w:r>
      <w:r>
        <w:t xml:space="preserve"> Exploring the challenges of Covid-19 for the European Union (EU) during March-August 2020, this article argues that contrary to prior crises the EU has demonstrated a certain degree of adaptability to a ‘permanent’ emergency mode. This adaptability varies across policy areas under study. Inter-crisis learning has been higher in state aid and economic governance than in the area of Schengen. Discursive shifts co-exist and have been central to the areas of cybercrime, economic governance and climate change. Additionally, and despite the tensions, there are signs of renewed political commitment to the European project and an acceleration of decisions and initiatives that had been decided or discussed before the pandemic. Although de-politicization and politicization trends continue to co-exist, we observe politicization at the top with European elites perceiving the Covid-19 emergency as an existential threat for the EU. Finally, we argue that the EU’s adaptability and acceleration of prior trends do not necessarily involve a race that favor supranational tendencies.</w:t>
      </w:r>
    </w:p>
    <w:p>
      <w:pPr/>
      <w:r>
        <w:rPr>
          <w:b/>
        </w:rPr>
        <w:t>POSSIBLE 2020:</w:t>
      </w:r>
      <w:r>
        <w:t xml:space="preserve"> A classification of European agricultural land using an energy-based intensity indicator and detailed crop description — https://doi.org/10.1016/j.landurbplan.2020.103793</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With agricultural areas covering almost half of European land, proper management of agro-ecosystems is key to achieve the European Union’s environmental and climate objectives. This requires spatially explicit methods and indicators. We developed an approach for the classification of agricultural land by combining two main dimensions i) land cover, using detailed geo-spatialized census data covering 63 individual crops; ii) management intensity, measured as the anthropogenic energy required in the primary crop production. As a result we identified 10 main crop systems further classified into 30 ‘crop-management systems’ at a spatial resolution of 5 arcminutes. The resulting maps show the spatial patterns of agricultural management intensity across Europe, both in absolute terms (total energy input per hectare) and relative to the dominant crop system in the spatial unit of analysis. The use of multiple intensity dimensions provides new, more detailed insights on agricultural intensity by which areas that were previously classified as low-medium intensive - some permanent crops systems or irrigated arable land - appear now as highly intensive. An expert-based evaluation was carried out on the intensity maps and corroborated the obtained results. The generated maps can be used to support decision-making in designing more targeted, context-specific agricultural and territorial pol</w:t>
      </w:r>
    </w:p>
    <w:p>
      <w:pPr/>
      <w:r>
        <w:rPr>
          <w:b/>
        </w:rPr>
        <w:t>POSSIBLE 2019:</w:t>
      </w:r>
      <w:r>
        <w:t xml:space="preserve"> Developing stakeholder-driven scenarios on land sharing and land sparing – Insights from five European case studies — https://doi.org/10.1016/j.jenvman.2019.03.050</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Empirical research on land sharing and land sparing has been criticized because preferences of local stakeholders, socio-economic aspects, a bundle of ecosystem services and the local context were only rarely integrated. Using storylines and scenarios is a common approach to include land use drivers and local contexts or to cope with the uncertainties of future developments. The objective of the presented research is to develop comparable participatory regional land use scenarios for the year 2030 reflecting land sharing, land sparing and more intermediate developments across five different European landscapes (Austria, Germany, Switzerland, The Netherlands and Spain). In order to ensure methodological consistency among the five case studies, a hierarchical multi-scale scenario approach was developed, which consisted of i) the selection of a common global storyline to frame a common sphere of uncertainty for all case studies, ii) the definition of three contrasting qualitative European storylines (representing developments for land sharing, land sparing and a balanced storyline), and iii) the development of three explorative case study-specific land use scenarios with regional stakeholders in workshops. Land use transition rules defined by stakeholders were used to generate three different spatially-explicit scenarios for each case study by means of high-resolution land use map</w:t>
      </w:r>
    </w:p>
    <w:p>
      <w:pPr>
        <w:pStyle w:val="Heading2"/>
      </w:pPr>
      <w:r>
        <w:t>783.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784.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r>
        <w:rPr>
          <w:b/>
        </w:rPr>
        <w:t>POSSIBLE 2024:</w:t>
      </w:r>
      <w:r>
        <w:t xml:space="preserve"> Influence of social determinants of health in the evolution of the quality of life of older adults in Europe: A comparative analysis between men and women — https://doi.org/10.1057/s41599-024-02899-5</w:t>
      </w:r>
    </w:p>
    <w:p>
      <w:pPr/>
      <w:r>
        <w:rPr>
          <w:b/>
        </w:rPr>
        <w:t>Shared claim-specific concepts:</w:t>
      </w:r>
      <w:r>
        <w:t xml:space="preserve"> female, life, expectancy, men, approach; EU scope visible. This is a provisional connection, not an outcome finding.</w:t>
      </w:r>
    </w:p>
    <w:p>
      <w:pPr>
        <w:pStyle w:val="SourceNote"/>
      </w:pPr>
      <w:r>
        <w:rPr>
          <w:b/>
        </w:rPr>
        <w:t>Available abstract (not full text):</w:t>
      </w:r>
      <w:r>
        <w:t xml:space="preserve"> Abstract Population aging is a global phenomenon due to declining birth rates and increased life expectancy. This demographic shift poses a challenge to society, requiring adaptation of policies, economies, and healthcare systems to safeguard the well-being of older individuals. Health inequalities, influenced by social determinants such as education, economic status, and place of residence, impact this population group, with notable differences between men and women. Several studies have demonstrated that social determinants of health (SDH) affect the quality of life (QoL) of older individuals, especially women. In general, women report lower quality of life indicators, lower educational levels, and poorer health compared to men. This study aims to examine how social determinants of health can influence the quality of life of the population aged 50 or older in different European countries, from a sex perspective, through a longitudinal approach. The main SDHs associated with poorer QoL were female sex advanced age, economic hardship, educational level, and geographic location within Europe. Depression in women and men in Southern Europe was associated with a decrease in QoL scores.</w:t>
      </w:r>
    </w:p>
    <w:p>
      <w:pPr/>
      <w:r>
        <w:rPr>
          <w:b/>
        </w:rPr>
        <w:t>POSSIBLE 2023:</w:t>
      </w:r>
      <w:r>
        <w:t xml:space="preserve"> Stalling life expectancy trends in Europe and decomposition analysis of mortality data — https://doi.org/10.1093/eurpub/ckad160.919</w:t>
      </w:r>
    </w:p>
    <w:p>
      <w:pPr/>
      <w:r>
        <w:rPr>
          <w:b/>
        </w:rPr>
        <w:t>Shared claim-specific concepts:</w:t>
      </w:r>
      <w:r>
        <w:t xml:space="preserve"> life, expectancy, over, increase, two, similar; EU scope visible. This is a provisional connection, not an outcome finding.</w:t>
      </w:r>
    </w:p>
    <w:p>
      <w:pPr>
        <w:pStyle w:val="SourceNote"/>
      </w:pPr>
      <w:r>
        <w:rPr>
          <w:b/>
        </w:rPr>
        <w:t>Available abstract (not full text):</w:t>
      </w:r>
      <w:r>
        <w:t xml:space="preserve"> Abstract Background Life expectancy (LE) is an important population health metric over the life course. LE has increased significantly, over the past two centuries but has showed signs of slowing recently in Europe, the United Kingdom, and the United States. Several drivers have been suggested to be causing the slowdown, including slowing improvements in cardiovascular mortality. We set out to investigate trends in LE across Europe from 1990-2019, and how deaths from different causes have contributed to annual average change in LE across two time periods: 2007-2009 to 2012-2014 and 2012-2014 to 2017-2019. Methods Data were obtained from the Global Burden of Disease (GBD) Study 2019, which are in public domain. The GBD Study is a comprehensive global epidemiologic data resource employing standardized methodology for comparability. Joinpoint regression analysis was utilised to identify trends. The Arriaga decomposition method was applied to produce estimates of the contribution of different age groups and underlying causes of death to changes in LE at birth for the two periods. Results Overall, LE in Europe was 72.6 years in 1990- increasing to 78.3 years in 2019, with significant variations within EU countries. However, LE showed a slower pace from 2012 onwards in Europe- much slower in Western Europe, and more pronounced among females. LE in females fell from an annual increase</w:t>
      </w:r>
    </w:p>
    <w:p>
      <w:pPr/>
      <w:r>
        <w:rPr>
          <w:b/>
        </w:rPr>
        <w:t>POSSIBLE 2023:</w:t>
      </w:r>
      <w:r>
        <w:t xml:space="preserve"> Global Trends in Life Expectancy and Healthy Life Expectancy — https://doi.org/10.1093/acrefore/9780190632366.013.384</w:t>
      </w:r>
    </w:p>
    <w:p>
      <w:pPr/>
      <w:r>
        <w:rPr>
          <w:b/>
        </w:rPr>
        <w:t>Shared claim-specific concepts:</w:t>
      </w:r>
      <w:r>
        <w:t xml:space="preserve"> life, expectancy, likely, country, increase, see; EU scope visible. This is a provisional connection, not an outcome finding.</w:t>
      </w:r>
    </w:p>
    <w:p>
      <w:pPr>
        <w:pStyle w:val="SourceNote"/>
      </w:pPr>
      <w:r>
        <w:rPr>
          <w:b/>
        </w:rPr>
        <w:t>Available abstract (not full text):</w:t>
      </w:r>
      <w:r>
        <w:t xml:space="preserve"> Abstract In the known history of humanity, life expectancy scarcely exceeded 30 years, with half of newborns dying before age five, up to the 18th century. However, from the 18th century onward, major epidemics were combatted more efficiently, famines became less frequent, and life expectancy thus began to increase, first in Northwest Europe, then spreading to North America, Australia, Japan, and to the rest of Europe. The health transition reached Latin America, the rest of Asia, and Africa only in the 20th century. In 2015–2020, worldwide life expectancy at birth reached 72.5 years. However, differences remained large between regions and countries. The Japanese experienced the highest level at 84.4 years, thanks to their increasingly effective noncommunicable disease (NCD) control and an especially dramatic decrease in cardiovascular mortality. On average, life expectancy was 80.9 years in high income countries, 71.4 in middle income countries and 63.4 in low income countries. It was only 60 years in sub-Saharan Africa, with some countries barely exceeding 50. High mortality countries suffer a heavy burden from both infectious and NCDs. Due to increasing life expectancy, deaths shifting to older ages, and changing cause-of-death patterns, questions arise concerning the health of populations. The health expectancies made available mainly in high income countries are indicators</w:t>
      </w:r>
    </w:p>
    <w:p>
      <w:pPr/>
      <w:r>
        <w:rPr>
          <w:b/>
        </w:rPr>
        <w:t>POSSIBLE 2023:</w:t>
      </w:r>
      <w:r>
        <w:t xml:space="preserve"> LIFE STRATEGIES OF RUSSIAN AND EUROPEAN FEMALE STUDENTS: — https://doi.org/10.18316/rcd.v15i38.11034</w:t>
      </w:r>
    </w:p>
    <w:p>
      <w:pPr/>
      <w:r>
        <w:rPr>
          <w:b/>
        </w:rPr>
        <w:t>Shared claim-specific concepts:</w:t>
      </w:r>
      <w:r>
        <w:t xml:space="preserve"> female, life, men; EU scope visible. This is a provisional connection, not an outcome finding.</w:t>
      </w:r>
    </w:p>
    <w:p>
      <w:pPr>
        <w:pStyle w:val="SourceNote"/>
      </w:pPr>
      <w:r>
        <w:rPr>
          <w:b/>
        </w:rPr>
        <w:t>Available abstract (not full text):</w:t>
      </w:r>
      <w:r>
        <w:t xml:space="preserve"> Contemporary society provides people with various ways of personality development. Young people are most susceptible to changes that occur in economics, politics, and technology. Different types of life strategies are formed and realized by young women and men, and they eventually transform public consciousness in general. The article is devoted to the analysis of life strategies and scenarios of female students living in Russia and European countries. For this purpose, a series of in-depth interviews with girls was conducted, as well as a visual analysis of the accounts of young women on the social network Instagram. Today, the process of westernization is observable – the adoption of Western European structures, practices, and lifestyles by non-European societies and countries has become a significant cultural phenomenon. Thus, based on the data obtained, it is possible to define a life strategy as a system of ideas and guidelines of the individual, aimed at the conscious design of the future. It determines and directs the behavior of individuals, reflecting the idea of the future and life path. A life strategy includes not only orientations, but also ways to achieve and realize certain goals and expectations.</w:t>
      </w:r>
    </w:p>
    <w:p>
      <w:pPr/>
      <w:r>
        <w:rPr>
          <w:b/>
        </w:rPr>
        <w:t>POSSIBLE 2023:</w:t>
      </w:r>
      <w:r>
        <w:t xml:space="preserve"> Influence of Social Determinants of Health on the Quality of Life of Older Adults in Europe: A Sex Analysis — https://doi.org/10.21203/rs.3.rs-3401316/v1</w:t>
      </w:r>
    </w:p>
    <w:p>
      <w:pPr/>
      <w:r>
        <w:rPr>
          <w:b/>
        </w:rPr>
        <w:t>Shared claim-specific concepts:</w:t>
      </w:r>
      <w:r>
        <w:t xml:space="preserve"> female, life, over, men; EU scope visible. This is a provisional connection, not an outcome finding.</w:t>
      </w:r>
    </w:p>
    <w:p>
      <w:pPr>
        <w:pStyle w:val="SourceNote"/>
      </w:pPr>
      <w:r>
        <w:rPr>
          <w:b/>
        </w:rPr>
        <w:t>Available abstract (not full text):</w:t>
      </w:r>
      <w:r>
        <w:t xml:space="preserve"> Introduction: The global aging population poses challenges for society such as health inequalities among older persons and between genders. Objectives: To determine how Social Determinants of Health (SDH) influence the quality of life (QoL) of individuals over 50 years old in various European countries, taking a gender perspective in a longitudinal study. Materials and methods: Sample of 11,493 individuals from 13 European countries from Waves 5 (2013), 6 (2015), and 7 (2017) of the SHARE study. Instruments: CASP-12 (QoL), EURO-D (depression), SDH: gender, age, educational level, socioeconomic status, ethnicity, place of residence, and European region. Sociodemographic and clinical variables. Statistical analysis: Bivariate and multivariate mixed linear models. Results: The bivariate analysis showed higher economic hardship and lower education in women compared to men. The CASP-12 score was higher in men than in women. In the multivariate analysis, the variables associated with lower QoL scores among men and women from Wave 5 to Wave 7 were: (β:-0.196, 95% CI: -0.345; -0.047) vs (β:0.038, 95% CI: -0.122; 0.197); economic hardship; and the European region between South and North (β: 2.709, 95% CI: 2.403; 3.015) vs men (β: 2.224, 95% CI: 1.896; 2.551). Conclusions: The main SDH associated with poorer QoL were female gender, advanced age, economic hardship, educational level, and </w:t>
      </w:r>
    </w:p>
    <w:p>
      <w:pPr/>
      <w:r>
        <w:rPr>
          <w:b/>
        </w:rPr>
        <w:t>POSSIBLE 2023:</w:t>
      </w:r>
      <w:r>
        <w:t xml:space="preserve"> Gains in life expectancy from decreasing cardiovascular disease and cancer mortality – an analysis of 28 European countries 1995–2019 — https://doi.org/10.1007/s10654-023-01039-8</w:t>
      </w:r>
    </w:p>
    <w:p>
      <w:pPr/>
      <w:r>
        <w:rPr>
          <w:b/>
        </w:rPr>
        <w:t>Shared claim-specific concepts:</w:t>
      </w:r>
      <w:r>
        <w:t xml:space="preserve"> female, life, expectancy, over, men, country; EU scope visible. This is a provisional connection, not an outcome finding.</w:t>
      </w:r>
    </w:p>
    <w:p>
      <w:pPr>
        <w:pStyle w:val="SourceNote"/>
      </w:pPr>
      <w:r>
        <w:rPr>
          <w:b/>
        </w:rPr>
        <w:t>Available abstract (not full text):</w:t>
      </w:r>
      <w:r>
        <w:t xml:space="preserve"> BACKGROUND: Life expectancy (LE) is an indicator of societal progress among rapidly aging populations. In recent decades, the displacement of deaths from cardiovascular disease (CVD) and cancer have been key drivers in further extending LE on the continent, though improvements vary markedly by country, sex, and over time. This study provides a comparative overview of the age-specific contributions of CVD and cancer to increasing LE in the 27 European Union member states, plus the U.K. METHODS: Cause-by-age decompositions of national changes in LE were conducted for the years 1995-1999 and 2015-2019 based on the standard approach of multiple decrement life tables to quantify the relative impact over time. The contributions of CVD and cancer mortality changes to differences in LE were computed by sex and age for each of the 28 countries. We examine the difference between the member states before 2004 ("founding countries") and those which accessed the EU after 2004 ("A10 countries"). RESULTS: Among men, declines in CVD mortality in the founding countries of the EU were larger contributors to increasing LE over the last decades than malignant neoplasms: 2.26 years were gained by CVD declines versus 1.07 years for cancer, with 2.23 and 0.84 years gained in A10 countries, respectively. Among women in founding countries, 1.81 and 0.54 additional life years were attributable to CVD an</w:t>
      </w:r>
    </w:p>
    <w:p>
      <w:pPr/>
      <w:r>
        <w:rPr>
          <w:b/>
        </w:rPr>
        <w:t>POSSIBLE 2022:</w:t>
      </w:r>
      <w:r>
        <w:t xml:space="preserve"> Life expectancy changes since COVID-19 — https://doi.org/10.1038/s41562-022-01450-3</w:t>
      </w:r>
    </w:p>
    <w:p>
      <w:pPr/>
      <w:r>
        <w:rPr>
          <w:b/>
        </w:rPr>
        <w:t>Shared claim-specific concepts:</w:t>
      </w:r>
      <w:r>
        <w:t xml:space="preserve"> life, expectancy, over, chile; EU scope visible. This is a provisional connection, not an outcome finding.</w:t>
      </w:r>
    </w:p>
    <w:p>
      <w:pPr>
        <w:pStyle w:val="SourceNote"/>
      </w:pPr>
      <w:r>
        <w:rPr>
          <w:b/>
        </w:rPr>
        <w:t>Available abstract (not full text):</w:t>
      </w:r>
      <w:r>
        <w:t xml:space="preserve"> Abstract The COVID-19 pandemic triggered an unprecedented rise in mortality that translated into life expectancy losses around the world, with only a few exceptions. We estimate life expectancy changes in 29 countries since 2020, including most of Europe, the US and Chile, attribute them to mortality changes by age group, and compare them to historic life expectancy shocks. Our results show divergence in mortality impacts of the pandemic in 2021. While countries in Western Europe experienced bounce-backs from life expectancy losses of 2020, Eastern Europe and the US witnessed sustained and substantial life expectancy deficits. Life expectancy deficits among ages 60+ were strongly correlated with measures of vaccination uptake. In contrast to 2020, the age profile of excess mortality in 2021 was younger with those in under-80 age groups contributing more to life expectancy losses. However, even in 2021, registered COVID-19 deaths continued to account for most life expectancy losses. Research in context Evidence before this study The COVID-19 pandemic disrupted mortality trends around the world. Most high-income countries experienced life expectancy declines in 2020, and emerging evidence from low-to-middle income shows substantial losses in life expectancy with large regional variation. These analyses emphasise the impact of COVID-19 deaths and also highlight the effect of exces</w:t>
      </w:r>
    </w:p>
    <w:p>
      <w:pPr/>
      <w:r>
        <w:rPr>
          <w:b/>
        </w:rPr>
        <w:t>POSSIBLE 2022:</w:t>
      </w:r>
      <w:r>
        <w:t xml:space="preserve"> The Role of Parenthood for Life Satisfaction of Older Women and Men in Europe — https://doi.org/10.1007/s10902-022-00600-8</w:t>
      </w:r>
    </w:p>
    <w:p>
      <w:pPr/>
      <w:r>
        <w:rPr>
          <w:b/>
        </w:rPr>
        <w:t>Shared claim-specific concepts:</w:t>
      </w:r>
      <w:r>
        <w:t xml:space="preserve"> life, men, approach; EU scope visible. This is a provisional connection, not an outcome finding.</w:t>
      </w:r>
    </w:p>
    <w:p>
      <w:pPr>
        <w:pStyle w:val="SourceNote"/>
      </w:pPr>
      <w:r>
        <w:rPr>
          <w:b/>
        </w:rPr>
        <w:t>Available abstract (not full text):</w:t>
      </w:r>
      <w:r>
        <w:t xml:space="preserve"> Abstract Previous research has widely addressed the gap in well-being between parents and childless individuals. While cross-sectional studies have regularly reported lower levels of well-being for parents, recent longitudinal studies suggest a short-term positive effect with a back-to-baseline adaptation. Whether, why, and how parenthood may affect well-being in older age is, however, still largely unclear. In this paper, a holistic view of well-being developments across the process of aging is combined with a transition-centered, gender sensitive approach to analyze the effects of health decline on the self-reported life satisfaction of parents and childless individuals. Life satisfaction in older age is hypothesized to be influenced by the onset of and coping with health limitations, which themselves may differ by parental status and gender. Using group-specific growth curve analysis based on data from the Survey of Health, Ageing and Retirement in Europe (SHARE) and accounting for selection into parenthood, we demonstrate how the life satisfaction of men and women evolves in the later life depending on parental status. Results show that from age 50 onwards, parents’ life satisfaction develops somewhat less favorably compared to that of childless individuals, but this difference is not significant. However, fathers' health evolves more favorably while they react less negativ</w:t>
      </w:r>
    </w:p>
    <w:p>
      <w:pPr/>
      <w:r>
        <w:rPr>
          <w:b/>
        </w:rPr>
        <w:t>POSSIBLE 2021:</w:t>
      </w:r>
      <w:r>
        <w:t xml:space="preserve"> Inequality in life expectancies across Europe and the US — https://doi.org/10.1002/hec.4284</w:t>
      </w:r>
    </w:p>
    <w:p>
      <w:pPr/>
      <w:r>
        <w:rPr>
          <w:b/>
        </w:rPr>
        <w:t>Shared claim-specific concepts:</w:t>
      </w:r>
      <w:r>
        <w:t xml:space="preserve"> life, expectancy, advantage; EU scope visible. This is a provisional connection, not an outcome finding.</w:t>
      </w:r>
    </w:p>
    <w:p>
      <w:pPr>
        <w:pStyle w:val="SourceNote"/>
      </w:pPr>
      <w:r>
        <w:rPr>
          <w:b/>
        </w:rPr>
        <w:t>Available abstract (not full text):</w:t>
      </w:r>
      <w:r>
        <w:t xml:space="preserve"> We use harmonized household panel data from Europe and the US and a three-state survival model to provide comparable measurements of education and gender inequalities in total, healthy, and unhealthy life expectancies at age 50. Common across countries, the education advantage in total life expectancy is larger for males but the education advantage in (fewer) unhealthy years is larger for females. Counterfactual decompositions show that these results arise because the education advantage in conditional survival rates is relatively more important for males, while the education advantage in better health transitions is relatively more important for females. Across countries, the US stands out with the largest education gradient in healthy life expectancy.</w:t>
      </w:r>
    </w:p>
    <w:p>
      <w:pPr/>
      <w:r>
        <w:rPr>
          <w:b/>
        </w:rPr>
        <w:t>POSSIBLE 2021:</w:t>
      </w:r>
      <w:r>
        <w:t xml:space="preserve"> Quantifying impacts of the COVID-19 pandemic through life-expectancy losses: a population-level study of 29 countries — https://doi.org/10.1093/ije/dyab207</w:t>
      </w:r>
    </w:p>
    <w:p>
      <w:pPr/>
      <w:r>
        <w:rPr>
          <w:b/>
        </w:rPr>
        <w:t>Shared claim-specific concepts:</w:t>
      </w:r>
      <w:r>
        <w:t xml:space="preserve"> life, expectancy, chile; EU scope visible. This is a provisional connection, not an outcome finding.</w:t>
      </w:r>
    </w:p>
    <w:p>
      <w:pPr>
        <w:pStyle w:val="SourceNote"/>
      </w:pPr>
      <w:r>
        <w:rPr>
          <w:b/>
        </w:rPr>
        <w:t>Available abstract (not full text):</w:t>
      </w:r>
      <w:r>
        <w:t xml:space="preserve"> BACKGROUND: Variations in the age patterns and magnitudes of excess deaths, as well as differences in population sizes and age structures, make cross-national comparisons of the cumulative mortality impacts of the COVID-19 pandemic challenging. Life expectancy is a widely used indicator that provides a clear and cross-nationally comparable picture of the population-level impacts of the pandemic on mortality. METHODS: Life tables by sex were calculated for 29 countries, including most European countries, Chile and the USA, for 2015-2020. Life expectancy at birth and at age 60 years for 2020 were contextualized against recent trends between 2015 and 2019. Using decomposition techniques, we examined which specific age groups contributed to reductions in life expectancy in 2020 and to what extent reductions were attributable to official COVID-19 deaths. RESULTS: Life expectancy at birth declined from 2019 to 2020 in 27 out of 29 countries. Males in the USA and Lithuania experienced the largest losses in life expectancy at birth during 2020 (2.2 and 1.7 years, respectively), but reductions of more than an entire year were documented in 11 countries for males and 8 among females. Reductions were mostly attributable to increased mortality above age 60 years and to official COVID-19 deaths. CONCLUSIONS: The COVID-19 pandemic triggered significant mortality increases in 2020 of a magnit</w:t>
      </w:r>
    </w:p>
    <w:p>
      <w:pPr>
        <w:pStyle w:val="Heading2"/>
      </w:pPr>
      <w:r>
        <w:t>785.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2023:</w:t>
      </w:r>
      <w:r>
        <w:t xml:space="preserve"> A Comprehensive Evaluation of Factors Influencing Acceptance of Robotic Assistants in Field Construction Work — https://doi.org/10.1061/jmenea.meeng-5227</w:t>
      </w:r>
    </w:p>
    <w:p>
      <w:pPr/>
      <w:r>
        <w:rPr>
          <w:b/>
        </w:rPr>
        <w:t>Shared claim-specific concepts:</w:t>
      </w:r>
      <w:r>
        <w:t xml:space="preserve"> evaluate, key, field, human, work; EU scope not established. This is a provisional connection, not an outcome finding.</w:t>
      </w:r>
    </w:p>
    <w:p>
      <w:pPr>
        <w:pStyle w:val="SourceNote"/>
      </w:pPr>
      <w:r>
        <w:rPr>
          <w:b/>
        </w:rPr>
        <w:t>Available abstract (not full text):</w:t>
      </w:r>
      <w:r>
        <w:t xml:space="preserve"> The adoption of human–robot collaboration (HRC) in various forms is widely expected to help improve productivity, reduce human physical workload, and alleviate the issues created by a skilled labor shortage in the construction industry. One potential deterrent to adoption of such collaborative work methods often cited by industry stakeholders is resistance by workers stemming from their fear of losing their jobs or having to learn new approaches and methods of performing construction work. Although significant prior studies have used path analyses to statistically evaluate hypotheses about technology adoption models by estimating the relationships in the models, no research has specifically investigated the intention to work in HRC through such an approach. This study addresses this knowledge gap and empirically investigates the factors affecting construction personnel’s behavioral intention to accept HRC. HRC in this study is envisioned as robotic assistants performing the physically demanding repetitive work while construction personnel focus on cognitive tasks necessary to plan and supervise the work. An HRC adoption model based on the technology acceptance model (TAM) and innovation diffusion theory (IDT) is presented. This study expands a TAM-IDT model with new constructs such as job satisfaction and openness to training to explore an improved model that increases the unde</w:t>
      </w:r>
    </w:p>
    <w:p>
      <w:pPr/>
      <w:r>
        <w:rPr>
          <w:b/>
        </w:rPr>
        <w:t>POSSIBLE 2022:</w:t>
      </w:r>
      <w:r>
        <w:t xml:space="preserve"> Evaluating Research Trends Using Key Term Occurrences and Multivariate Mann-Kendall Test — https://doi.org/10.1109/isetc56213.2022.10010222</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This paper offers a quantifiable means for assessing the trend in the interest of scientific community in a particular research theme. Representing the research theme as a set of key terms, we investigate its trend within the scientific literature, using a corpus of paper metadata belonging to flagship journals and conferences that are relevant for the encompassing domain. Our method employs a multivariate version of the Mann-Kendall test that is applied to a multivariate time series of key term occurrences in order to discover if the trend of the research theme is ascending, descending or if there is no monotonic trend. Finally, an illustrative case study, examining the effectiveness of the proposed method for three research themes from Electronic Design Automation field, is presented.</w:t>
      </w:r>
    </w:p>
    <w:p>
      <w:pPr/>
      <w:r>
        <w:rPr>
          <w:b/>
        </w:rPr>
        <w:t>POSSIBLE 2022:</w:t>
      </w:r>
      <w:r>
        <w:t xml:space="preserve"> EVALUATING QUALITY OF GOVERNMENT REGULATORY ENFORCEMENT AND INSPECTION ACTIVITY FROM THE VIEWPOINT OF PRIVAT BUSINESS: KEY TRENDS — https://doi.org/10.5281/zenodo.7333284</w:t>
      </w:r>
    </w:p>
    <w:p>
      <w:pPr/>
      <w:r>
        <w:rPr>
          <w:b/>
        </w:rPr>
        <w:t>Shared claim-specific concepts:</w:t>
      </w:r>
      <w:r>
        <w:t xml:space="preserve"> evaluate, key, trends, regarding; EU scope not established. This is a provisional connection, not an outcome finding.</w:t>
      </w:r>
    </w:p>
    <w:p>
      <w:pPr>
        <w:pStyle w:val="SourceNote"/>
      </w:pPr>
      <w:r>
        <w:rPr>
          <w:b/>
        </w:rPr>
        <w:t>Available abstract (not full text):</w:t>
      </w:r>
      <w:r>
        <w:t xml:space="preserve"> Enhancing the government’s regulatory enforcement and oversight performance has been considered among critical measures aimed at improving the business environment in Russia; this makes the study relevant for the current governance agenda. The objective of this paper is to evaluate the dynamics of private businesses’ perceptions regarding the justified nature, efficacy, and efficiency of state oversight measures in 2017 – 2021. The subject of the study is the quality of state regulatory enforcement and oversight, including its rationality, efficacy, and efficiency. The key method used in this study is a representative sociological survey of private business entities conducted in 2021. The findings were then compared with those from similar surveys carried out in 2017 and 2020. The results presented in this paper include the analysis of businesses’ perceptions regarding all quality parameters of state regulatory and oversight interference (how justified, effective, and efficient it is). The study concludes that so far, the state regulatory system reform in Russia has not resulted in its performance being more effective (i.e., carrying lower risk of damage to the public values) or more justified. Notably, administrative costs borne by businesses due to state inspections have decreased due to a lower average cost per inspection as well as a reduction in the total number of inspect</w:t>
      </w:r>
    </w:p>
    <w:p>
      <w:pPr/>
      <w:r>
        <w:rPr>
          <w:b/>
        </w:rPr>
        <w:t>POSSIBLE 2022:</w:t>
      </w:r>
      <w:r>
        <w:t xml:space="preserve"> Human–robot collaboration and machine learning: A systematic review of recent research — https://doi.org/10.1016/j.rcim.2022.102432</w:t>
      </w:r>
    </w:p>
    <w:p>
      <w:pPr/>
      <w:r>
        <w:rPr>
          <w:b/>
        </w:rPr>
        <w:t>Shared claim-specific concepts:</w:t>
      </w:r>
      <w:r>
        <w:t xml:space="preserve"> key, trends, different, human, life; EU scope not established. This is a provisional connection, not an outcome finding.</w:t>
      </w:r>
    </w:p>
    <w:p>
      <w:pPr>
        <w:pStyle w:val="SourceNote"/>
      </w:pPr>
      <w:r>
        <w:rPr>
          <w:b/>
        </w:rPr>
        <w:t>Available abstract (not full text):</w:t>
      </w:r>
      <w:r>
        <w:t xml:space="preserve"> Technological progress increasingly envisions the use of robots interacting with people in everyday life. Human–robot collaboration (HRC) is the approach that explores the interaction between a human and a robot, during the completion of a common objective, at the cognitive and physical level. In HRC works, a cognitive model is typically built, which collects inputs from the environment and from the user, elaborates and translates these into information that can be used by the robot itself. Machine learning is a recent approach to build the cognitive model and behavioural block, with high potential in HRC. Consequently, this paper proposes a thorough literature review of the use of machine learning techniques in the context of human–robot collaboration. 45 key papers were selected and analysed, and a clustering of works based on the type of collaborative tasks, evaluation metrics and cognitive variables modelled is proposed. Then, a deep analysis on different families of machine learning algorithms and their properties, along with the sensing modalities used, is carried out. Among the observations, it is outlined the importance of the machine learning algorithms to incorporate time dependencies. The salient features of these works are then cross-analysed to show trends in HRC and give guidelines for future works, comparing them with other aspects of HRC not appeared in the revi</w:t>
      </w:r>
    </w:p>
    <w:p>
      <w:pPr/>
      <w:r>
        <w:rPr>
          <w:b/>
        </w:rPr>
        <w:t>POSSIBLE 2022:</w:t>
      </w:r>
      <w:r>
        <w:t xml:space="preserve"> A RAPID REVIEW ON ROBOTIC (EXOSKELETON) TO EVALUATE BALANCED, STANDING AND WALKING — https://doi.org/10.47750/pnr.2022.13.s06.383</w:t>
      </w:r>
    </w:p>
    <w:p>
      <w:pPr/>
      <w:r>
        <w:rPr>
          <w:b/>
        </w:rPr>
        <w:t>Shared claim-specific concepts:</w:t>
      </w:r>
      <w:r>
        <w:t xml:space="preserve"> evaluate, key, human; EU scope not established. This is a provisional connection, not an outcome finding.</w:t>
      </w:r>
    </w:p>
    <w:p>
      <w:pPr>
        <w:pStyle w:val="SourceNote"/>
      </w:pPr>
      <w:r>
        <w:rPr>
          <w:b/>
        </w:rPr>
        <w:t>Available abstract (not full text):</w:t>
      </w:r>
      <w:r>
        <w:t xml:space="preserve"> Balance evaluation during standing and walking is efficient chiefly in people with neural compensations. Rehabilitation robots, on the other hand, might make evaluation processes easier and increase their clinical usefulness. We analysed the possible use of robotic instruments for such assessments based on this overview. The uniqueness and presumed key benefits of utilising robots for assessment include their capacity to assess severely afflicted patients by offering assistance-when-needed, as well as their ability to give constant perturbations while standing and walking while recording the patient's reactions. We classify robotic devices based on three factors that are significant to their potential application in balance assessment: 1) the device's interaction with the human body; 2) on what surface the individual stands or walks when using the gadget, and 3) To what extent the wearable devices are. Also, robotic support was easy to use with no undesirable effects of skin abrasions or soreness.</w:t>
      </w:r>
    </w:p>
    <w:p>
      <w:pPr/>
      <w:r>
        <w:rPr>
          <w:b/>
        </w:rPr>
        <w:t>POSSIBLE 2022:</w:t>
      </w:r>
      <w:r>
        <w:t xml:space="preserve"> Educational Robotics: Evaluating the Role of Computational Thinking in Attaining 21st Century Skills — https://doi.org/10.1515/edu-2022-0174</w:t>
      </w:r>
    </w:p>
    <w:p>
      <w:pPr/>
      <w:r>
        <w:rPr>
          <w:b/>
        </w:rPr>
        <w:t>Shared claim-specific concepts:</w:t>
      </w:r>
      <w:r>
        <w:t xml:space="preserve"> key, field, robotics; EU scope not established. This is a provisional connection, not an outcome finding.</w:t>
      </w:r>
    </w:p>
    <w:p>
      <w:pPr>
        <w:pStyle w:val="SourceNote"/>
      </w:pPr>
      <w:r>
        <w:rPr>
          <w:b/>
        </w:rPr>
        <w:t>Available abstract (not full text):</w:t>
      </w:r>
      <w:r>
        <w:t xml:space="preserve"> Abstract Educational Robotics (ER) has gained prominence in the literature on Computational Thinking (CT) because of its modularity, a feature that potentially facilitates the development of abstract thinking through complex robotic parts. The field of robotics encompasses the characteristics of technology, intelligence, embodiment, and interaction, and these characteristics can serve as means of instruction for CT. Essential 21st Century Skills include decomposition, pattern recognition, abstraction, and the use of algorithms; which are fundamental to effective problem-solving skills. Although CT is believed to be the key to developing 21st Century Skills, its role in doing so is significantly underexplored. This paper investigates the influence of CT ability on students’ efficacy in imbibing 21st Century Skills. The study implemented a qualitative case study design, in which students of an Indonesian vocationaleducation school were engaged in ER activities. CT skills and the associated 21st Century Skills were evaluated through several phases of observation and interviews. The findings reveal that CT paves the way for the development of 21st Century Skills. Analysing the development of CT can be a major way in which individuals are empowered to take full advantage of the developments brought about by rapid changes in technology.</w:t>
      </w:r>
    </w:p>
    <w:p>
      <w:pPr/>
      <w:r>
        <w:rPr>
          <w:b/>
        </w:rPr>
        <w:t>POSSIBLE 2021:</w:t>
      </w:r>
      <w:r>
        <w:t xml:space="preserve"> Evaluating Trends and Issues in Distance Learning — https://doi.org/10.4018/978-1-7998-8047-9.ch098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Today's learners are intrinsically motivated in that they are apt to analyze, synthesize, internalize, rebuild, share, and disseminate knowledge not only with their instructors, but also their peers, and the greater community, including a plethora of learning communities from across the world. Web-based technologies play a key role in this learning process. Particularly online social media networks and mobile technologies, the two selected technology trends evaluated in this paper, are thriving in online learning/teaching settings, immensely helping students acquire valid learning gains. These technologies are not a fad, a myth, or talk-of-the-day in learning and teaching environments in any given discipline. With that said, there are also certain issues and challenges that accompany these media and technologies for learning and teaching practices, which will also be addressed in this paper. Finally, future implications on these trends and issues in DL will be further discussed with the hope that educational leaders can draw on them for further inquiry and development in the field.</w:t>
      </w:r>
    </w:p>
    <w:p>
      <w:pPr>
        <w:pStyle w:val="Heading2"/>
      </w:pPr>
      <w:r>
        <w:t>786.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2023:</w:t>
      </w:r>
      <w:r>
        <w:t xml:space="preserve"> A Comprehensive Evaluation of Factors Influencing Acceptance of Robotic Assistants in Field Construction Work — https://doi.org/10.1061/jmenea.meeng-5227</w:t>
      </w:r>
    </w:p>
    <w:p>
      <w:pPr/>
      <w:r>
        <w:rPr>
          <w:b/>
        </w:rPr>
        <w:t>Shared claim-specific concepts:</w:t>
      </w:r>
      <w:r>
        <w:t xml:space="preserve"> evaluate, key, field, human, work; EU scope not established. This is a provisional connection, not an outcome finding.</w:t>
      </w:r>
    </w:p>
    <w:p>
      <w:pPr>
        <w:pStyle w:val="SourceNote"/>
      </w:pPr>
      <w:r>
        <w:rPr>
          <w:b/>
        </w:rPr>
        <w:t>Available abstract (not full text):</w:t>
      </w:r>
      <w:r>
        <w:t xml:space="preserve"> The adoption of human–robot collaboration (HRC) in various forms is widely expected to help improve productivity, reduce human physical workload, and alleviate the issues created by a skilled labor shortage in the construction industry. One potential deterrent to adoption of such collaborative work methods often cited by industry stakeholders is resistance by workers stemming from their fear of losing their jobs or having to learn new approaches and methods of performing construction work. Although significant prior studies have used path analyses to statistically evaluate hypotheses about technology adoption models by estimating the relationships in the models, no research has specifically investigated the intention to work in HRC through such an approach. This study addresses this knowledge gap and empirically investigates the factors affecting construction personnel’s behavioral intention to accept HRC. HRC in this study is envisioned as robotic assistants performing the physically demanding repetitive work while construction personnel focus on cognitive tasks necessary to plan and supervise the work. An HRC adoption model based on the technology acceptance model (TAM) and innovation diffusion theory (IDT) is presented. This study expands a TAM-IDT model with new constructs such as job satisfaction and openness to training to explore an improved model that increases the unde</w:t>
      </w:r>
    </w:p>
    <w:p>
      <w:pPr/>
      <w:r>
        <w:rPr>
          <w:b/>
        </w:rPr>
        <w:t>POSSIBLE 2022:</w:t>
      </w:r>
      <w:r>
        <w:t xml:space="preserve"> Evaluating Research Trends Using Key Term Occurrences and Multivariate Mann-Kendall Test — https://doi.org/10.1109/isetc56213.2022.10010222</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This paper offers a quantifiable means for assessing the trend in the interest of scientific community in a particular research theme. Representing the research theme as a set of key terms, we investigate its trend within the scientific literature, using a corpus of paper metadata belonging to flagship journals and conferences that are relevant for the encompassing domain. Our method employs a multivariate version of the Mann-Kendall test that is applied to a multivariate time series of key term occurrences in order to discover if the trend of the research theme is ascending, descending or if there is no monotonic trend. Finally, an illustrative case study, examining the effectiveness of the proposed method for three research themes from Electronic Design Automation field, is presented.</w:t>
      </w:r>
    </w:p>
    <w:p>
      <w:pPr/>
      <w:r>
        <w:rPr>
          <w:b/>
        </w:rPr>
        <w:t>POSSIBLE 2022:</w:t>
      </w:r>
      <w:r>
        <w:t xml:space="preserve"> EVALUATING QUALITY OF GOVERNMENT REGULATORY ENFORCEMENT AND INSPECTION ACTIVITY FROM THE VIEWPOINT OF PRIVAT BUSINESS: KEY TRENDS — https://doi.org/10.5281/zenodo.7333284</w:t>
      </w:r>
    </w:p>
    <w:p>
      <w:pPr/>
      <w:r>
        <w:rPr>
          <w:b/>
        </w:rPr>
        <w:t>Shared claim-specific concepts:</w:t>
      </w:r>
      <w:r>
        <w:t xml:space="preserve"> evaluate, key, trends, regarding; EU scope not established. This is a provisional connection, not an outcome finding.</w:t>
      </w:r>
    </w:p>
    <w:p>
      <w:pPr>
        <w:pStyle w:val="SourceNote"/>
      </w:pPr>
      <w:r>
        <w:rPr>
          <w:b/>
        </w:rPr>
        <w:t>Available abstract (not full text):</w:t>
      </w:r>
      <w:r>
        <w:t xml:space="preserve"> Enhancing the government’s regulatory enforcement and oversight performance has been considered among critical measures aimed at improving the business environment in Russia; this makes the study relevant for the current governance agenda. The objective of this paper is to evaluate the dynamics of private businesses’ perceptions regarding the justified nature, efficacy, and efficiency of state oversight measures in 2017 – 2021. The subject of the study is the quality of state regulatory enforcement and oversight, including its rationality, efficacy, and efficiency. The key method used in this study is a representative sociological survey of private business entities conducted in 2021. The findings were then compared with those from similar surveys carried out in 2017 and 2020. The results presented in this paper include the analysis of businesses’ perceptions regarding all quality parameters of state regulatory and oversight interference (how justified, effective, and efficient it is). The study concludes that so far, the state regulatory system reform in Russia has not resulted in its performance being more effective (i.e., carrying lower risk of damage to the public values) or more justified. Notably, administrative costs borne by businesses due to state inspections have decreased due to a lower average cost per inspection as well as a reduction in the total number of inspect</w:t>
      </w:r>
    </w:p>
    <w:p>
      <w:pPr/>
      <w:r>
        <w:rPr>
          <w:b/>
        </w:rPr>
        <w:t>POSSIBLE 2022:</w:t>
      </w:r>
      <w:r>
        <w:t xml:space="preserve"> Human–robot collaboration and machine learning: A systematic review of recent research — https://doi.org/10.1016/j.rcim.2022.102432</w:t>
      </w:r>
    </w:p>
    <w:p>
      <w:pPr/>
      <w:r>
        <w:rPr>
          <w:b/>
        </w:rPr>
        <w:t>Shared claim-specific concepts:</w:t>
      </w:r>
      <w:r>
        <w:t xml:space="preserve"> key, trends, different, human, life; EU scope not established. This is a provisional connection, not an outcome finding.</w:t>
      </w:r>
    </w:p>
    <w:p>
      <w:pPr>
        <w:pStyle w:val="SourceNote"/>
      </w:pPr>
      <w:r>
        <w:rPr>
          <w:b/>
        </w:rPr>
        <w:t>Available abstract (not full text):</w:t>
      </w:r>
      <w:r>
        <w:t xml:space="preserve"> Technological progress increasingly envisions the use of robots interacting with people in everyday life. Human–robot collaboration (HRC) is the approach that explores the interaction between a human and a robot, during the completion of a common objective, at the cognitive and physical level. In HRC works, a cognitive model is typically built, which collects inputs from the environment and from the user, elaborates and translates these into information that can be used by the robot itself. Machine learning is a recent approach to build the cognitive model and behavioural block, with high potential in HRC. Consequently, this paper proposes a thorough literature review of the use of machine learning techniques in the context of human–robot collaboration. 45 key papers were selected and analysed, and a clustering of works based on the type of collaborative tasks, evaluation metrics and cognitive variables modelled is proposed. Then, a deep analysis on different families of machine learning algorithms and their properties, along with the sensing modalities used, is carried out. Among the observations, it is outlined the importance of the machine learning algorithms to incorporate time dependencies. The salient features of these works are then cross-analysed to show trends in HRC and give guidelines for future works, comparing them with other aspects of HRC not appeared in the revi</w:t>
      </w:r>
    </w:p>
    <w:p>
      <w:pPr/>
      <w:r>
        <w:rPr>
          <w:b/>
        </w:rPr>
        <w:t>POSSIBLE 2022:</w:t>
      </w:r>
      <w:r>
        <w:t xml:space="preserve"> A RAPID REVIEW ON ROBOTIC (EXOSKELETON) TO EVALUATE BALANCED, STANDING AND WALKING — https://doi.org/10.47750/pnr.2022.13.s06.383</w:t>
      </w:r>
    </w:p>
    <w:p>
      <w:pPr/>
      <w:r>
        <w:rPr>
          <w:b/>
        </w:rPr>
        <w:t>Shared claim-specific concepts:</w:t>
      </w:r>
      <w:r>
        <w:t xml:space="preserve"> evaluate, key, human; EU scope not established. This is a provisional connection, not an outcome finding.</w:t>
      </w:r>
    </w:p>
    <w:p>
      <w:pPr>
        <w:pStyle w:val="SourceNote"/>
      </w:pPr>
      <w:r>
        <w:rPr>
          <w:b/>
        </w:rPr>
        <w:t>Available abstract (not full text):</w:t>
      </w:r>
      <w:r>
        <w:t xml:space="preserve"> Balance evaluation during standing and walking is efficient chiefly in people with neural compensations. Rehabilitation robots, on the other hand, might make evaluation processes easier and increase their clinical usefulness. We analysed the possible use of robotic instruments for such assessments based on this overview. The uniqueness and presumed key benefits of utilising robots for assessment include their capacity to assess severely afflicted patients by offering assistance-when-needed, as well as their ability to give constant perturbations while standing and walking while recording the patient's reactions. We classify robotic devices based on three factors that are significant to their potential application in balance assessment: 1) the device's interaction with the human body; 2) on what surface the individual stands or walks when using the gadget, and 3) To what extent the wearable devices are. Also, robotic support was easy to use with no undesirable effects of skin abrasions or soreness.</w:t>
      </w:r>
    </w:p>
    <w:p>
      <w:pPr/>
      <w:r>
        <w:rPr>
          <w:b/>
        </w:rPr>
        <w:t>POSSIBLE 2022:</w:t>
      </w:r>
      <w:r>
        <w:t xml:space="preserve"> Educational Robotics: Evaluating the Role of Computational Thinking in Attaining 21st Century Skills — https://doi.org/10.1515/edu-2022-0174</w:t>
      </w:r>
    </w:p>
    <w:p>
      <w:pPr/>
      <w:r>
        <w:rPr>
          <w:b/>
        </w:rPr>
        <w:t>Shared claim-specific concepts:</w:t>
      </w:r>
      <w:r>
        <w:t xml:space="preserve"> key, field, robotics; EU scope not established. This is a provisional connection, not an outcome finding.</w:t>
      </w:r>
    </w:p>
    <w:p>
      <w:pPr>
        <w:pStyle w:val="SourceNote"/>
      </w:pPr>
      <w:r>
        <w:rPr>
          <w:b/>
        </w:rPr>
        <w:t>Available abstract (not full text):</w:t>
      </w:r>
      <w:r>
        <w:t xml:space="preserve"> Abstract Educational Robotics (ER) has gained prominence in the literature on Computational Thinking (CT) because of its modularity, a feature that potentially facilitates the development of abstract thinking through complex robotic parts. The field of robotics encompasses the characteristics of technology, intelligence, embodiment, and interaction, and these characteristics can serve as means of instruction for CT. Essential 21st Century Skills include decomposition, pattern recognition, abstraction, and the use of algorithms; which are fundamental to effective problem-solving skills. Although CT is believed to be the key to developing 21st Century Skills, its role in doing so is significantly underexplored. This paper investigates the influence of CT ability on students’ efficacy in imbibing 21st Century Skills. The study implemented a qualitative case study design, in which students of an Indonesian vocationaleducation school were engaged in ER activities. CT skills and the associated 21st Century Skills were evaluated through several phases of observation and interviews. The findings reveal that CT paves the way for the development of 21st Century Skills. Analysing the development of CT can be a major way in which individuals are empowered to take full advantage of the developments brought about by rapid changes in technology.</w:t>
      </w:r>
    </w:p>
    <w:p>
      <w:pPr/>
      <w:r>
        <w:rPr>
          <w:b/>
        </w:rPr>
        <w:t>POSSIBLE 2021:</w:t>
      </w:r>
      <w:r>
        <w:t xml:space="preserve"> Evaluating Trends and Issues in Distance Learning — https://doi.org/10.4018/978-1-7998-8047-9.ch098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Today's learners are intrinsically motivated in that they are apt to analyze, synthesize, internalize, rebuild, share, and disseminate knowledge not only with their instructors, but also their peers, and the greater community, including a plethora of learning communities from across the world. Web-based technologies play a key role in this learning process. Particularly online social media networks and mobile technologies, the two selected technology trends evaluated in this paper, are thriving in online learning/teaching settings, immensely helping students acquire valid learning gains. These technologies are not a fad, a myth, or talk-of-the-day in learning and teaching environments in any given discipline. With that said, there are also certain issues and challenges that accompany these media and technologies for learning and teaching practices, which will also be addressed in this paper. Finally, future implications on these trends and issues in DL will be further discussed with the hope that educational leaders can draw on them for further inquiry and development in the field.</w:t>
      </w:r>
    </w:p>
    <w:p>
      <w:pPr>
        <w:pStyle w:val="Heading2"/>
      </w:pPr>
      <w:r>
        <w:t>787.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2022:</w:t>
      </w:r>
      <w:r>
        <w:t xml:space="preserve"> The Governance Context for Adaptive Heritage Reuse: A Review and Typology of Fifteen European Countries — https://doi.org/10.1080/17567505.2022.2153201</w:t>
      </w:r>
    </w:p>
    <w:p>
      <w:pPr/>
      <w:r>
        <w:rPr>
          <w:b/>
        </w:rPr>
        <w:t>Shared claim-specific concepts:</w:t>
      </w:r>
      <w:r>
        <w:t xml:space="preserve"> governance, complex, engagement; EU scope visible. This is a provisional connection, not an outcome finding.</w:t>
      </w:r>
    </w:p>
    <w:p>
      <w:pPr>
        <w:pStyle w:val="SourceNote"/>
      </w:pPr>
      <w:r>
        <w:rPr>
          <w:b/>
        </w:rPr>
        <w:t>Available abstract (not full text):</w:t>
      </w:r>
      <w:r>
        <w:t xml:space="preserve"> Recent years have seen growing international interest in the practice of ‘adaptive reuse’ of heritage buildings, promoted as a financially more viable and environmentally sustainable way to achieve both regeneration and conservation. In parallel, adaptive reuse has emerged as an aim in national policy frameworks and EU governance. Much of the writing on adaptive reuse reflects its nature as a design practice and concentrates on the material form intervention may take. This paper has a different approach, considering the institutional factors that support adaptive reuse occurring, as part of a multi-faceted and complex conservation-planning assemblage, across fifteen European countries. Focusing on regulatory systems for heritage and planning, governance systems, human and financial resources and policies on civic engagement and participation, thematic analysis is used to generate a typology of approaches across the continent, grouping the countries considered into three clusters. The typology proposed is not fixed, but a way to conceptualise the similarities and differences in institutional and policy-contexts that facilitate or restrict adaptive reuse. It contributes to a more informed overview of the context for adaptive reuse and the possibilities of learning from different policy contexts.</w:t>
      </w:r>
    </w:p>
    <w:p>
      <w:pPr/>
      <w:r>
        <w:rPr>
          <w:b/>
        </w:rPr>
        <w:t>POSSIBLE 2021:</w:t>
      </w:r>
      <w:r>
        <w:t xml:space="preserve"> Ordering global governance complexes: The evolution of the governance complex for international civil aviation — https://doi.org/10.1007/s11558-020-09411-z</w:t>
      </w:r>
    </w:p>
    <w:p>
      <w:pPr/>
      <w:r>
        <w:rPr>
          <w:b/>
        </w:rPr>
        <w:t>Shared claim-specific concepts:</w:t>
      </w:r>
      <w:r>
        <w:t xml:space="preserve"> governance, complex, often, conflict; EU scope not established. This is a provisional connection, not an outcome finding.</w:t>
      </w:r>
    </w:p>
    <w:p>
      <w:pPr>
        <w:pStyle w:val="SourceNote"/>
      </w:pPr>
      <w:r>
        <w:rPr>
          <w:b/>
        </w:rPr>
        <w:t>Available abstract (not full text):</w:t>
      </w:r>
      <w:r>
        <w:t xml:space="preserve"> Many observers worry that growing numbers of international institutions with overlapping functions undermine governance effectiveness via duplication, inconsistency and conflict. Such pessimistic assessments may undervalue the mechanisms available to states and other political agents to reduce conflictual overlap and enhance inter-institutional synergy. Drawing on historical data I examine how states can mitigate conflict within Global Governance Complexes (GGCs) by dissolving or merging existing institutions or by re-configuring their mandates. I further explore how "order in complexity" can emerge through bottom-up processes of adaptation in lieu of state-led reform. My analysis supports three theoretical claims: (1) states frequently refashion governance complexes "top-down" in order to reduce conflictual overlap; (2) "top-down" restructuring and "bottom-up" adaptation present alternative mechanisms for ordering relations among component institutions of GGCs; (3) these twin mechanisms ensure that GGCs tend to (re)produce elements of order over time-albeit often temporarily. Rather than evolving towards ever-greater fragmentation and disorder, complex governance systems thus tend to fluctuate between greater or lesser integration and (dis)order.</w:t>
      </w:r>
    </w:p>
    <w:p>
      <w:pPr/>
      <w:r>
        <w:rPr>
          <w:b/>
        </w:rPr>
        <w:t>POSSIBLE 2021:</w:t>
      </w:r>
      <w:r>
        <w:t xml:space="preserve"> Offshore outsourcing of innovation by SMEs: a 4F perspective of governance — https://doi.org/10.1108/scm-09-2020-0486</w:t>
      </w:r>
    </w:p>
    <w:p>
      <w:pPr/>
      <w:r>
        <w:rPr>
          <w:b/>
        </w:rPr>
        <w:t>Shared claim-specific concepts:</w:t>
      </w:r>
      <w:r>
        <w:t xml:space="preserve"> governance, complex, offshore; EU scope visible. This is a provisional connection, not an outcome finding.</w:t>
      </w:r>
    </w:p>
    <w:p>
      <w:pPr>
        <w:pStyle w:val="SourceNote"/>
      </w:pPr>
      <w:r>
        <w:rPr>
          <w:b/>
        </w:rPr>
        <w:t>Available abstract (not full text):</w:t>
      </w:r>
      <w:r>
        <w:t xml:space="preserve"> Purpose This study aims to investigate how contract complexity and relational trust could impact offshore outsourcing innovation (OOI) performance of small and medium enterprises (SMEs). This study further examines the moderating effects of knowledge routines and joint actions on the relationships between contract complexity, as well as relational trust and OOI performance. Design/methodology/approach The empirical investigation extends transaction cost economics and the relational view of buyer-supplier dyads in the context of offshore outsourcing SMEs. To test the hypotheses, the authors collected and analysed survey data from 200 European manufacturing SMEs that have existing offshore supplier relationships. Findings The results suggest that both complex contracts and relational trust as governance structures positively affect SMEs’ OOI performance. Additionally, while both formal knowledge routines and joint actions help strengthen the relationship between complex contracts and OOI, they showed no significant moderating effect on the relationship between relational trust and OOI. Furthermore, based on the results, the authors also develop a governance framework covering four configurations – fit, firm, flexible and fragile (4F). Originality/value The 4F governance scenarios – fit, firm, flexible and fragile – introduced in this study emphasise the need for a combination of </w:t>
      </w:r>
    </w:p>
    <w:p>
      <w:pPr/>
      <w:r>
        <w:rPr>
          <w:b/>
        </w:rPr>
        <w:t>POSSIBLE 2020:</w:t>
      </w:r>
      <w:r>
        <w:t xml:space="preserve"> The Quality of Governance in Europe: A Guide for the Perplexed — https://openalex.org/W3128833016</w:t>
      </w:r>
    </w:p>
    <w:p>
      <w:pPr/>
      <w:r>
        <w:rPr>
          <w:b/>
        </w:rPr>
        <w:t>Shared claim-specific concepts:</w:t>
      </w:r>
      <w:r>
        <w:t xml:space="preserve"> observe, governance, complex; EU scope visible. This is a provisional connection, not an outcome finding.</w:t>
      </w:r>
    </w:p>
    <w:p>
      <w:pPr>
        <w:pStyle w:val="SourceNote"/>
      </w:pPr>
      <w:r>
        <w:rPr>
          <w:b/>
        </w:rPr>
        <w:t>Available abstract (not full text):</w:t>
      </w:r>
      <w:r>
        <w:t xml:space="preserve"> This paper investigates the quality of governance in the European geographical area for the period 1995–2019 employing the six World Governance Indicators (The World Bank, 2020): control of corruption, government effectiveness, political stability and absence of violence/terrorism, rule of law, regulatory quality, voice and accountability. With regard to EU membership, we partition countries into three blocks: Historical Members, Entrants, and Outsiders. We check systematic differences, static and dynamic, between the three blocks to verify whether EU membership makes a difference. Results highlight a complex scenario: while statically Historical Members outperform Entrants and Entrants outperform Outsiders on all six dimensions, dynamically we find club convergence in growth rates for all variables across the three blocks. Historical Members stand in a high equilibrium club, except for Greece. In a single case, we even observe absolute convergence for a low club of voice and accountability. Several Outsiders stand consistently either in the high or the low club, while Entrants vary widely in their performances. The remote determinants of governance’s quality are very difficult to identify because cultures, institutions and economies interact in complex and unexpected ways; moreover, natural experiments of EU memberships do not exist, so we cannot establish causal effects in th</w:t>
      </w:r>
    </w:p>
    <w:p>
      <w:pPr/>
      <w:r>
        <w:rPr>
          <w:b/>
        </w:rPr>
        <w:t>POSSIBLE 2019:</w:t>
      </w:r>
      <w:r>
        <w:t xml:space="preserve"> European Governance in Adult Education — https://doi.org/10.3384/rela.2000-7426.ojs844</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This article examines the working of complex intergovernmental policies that have brought about new opportunities and structures in European adult education since the 2008 global financial crisis. Drawing on political sociology, it restricts attention on the Renewed European Agenda for Adult Learning (2011), to examine its historical development, and how it bundles together various governance mechanisms, policy instruments, and social actors to govern the adult education policy domain through policy coordination. This points at regulatory politics as a distinctive quality of European governance in adult education. Then, through Social Network Analysis, it explores in depth one of its policy instrument (i.e., coordinated working groups/networks) and the form of network governance it creates. This analysis pinpoints at the comparative advantage of some organizations (i.e., the ministries of Latvia, Finland and Belgium), which partake in this form of network governance. This produces unpredictable contingency in EU policy coordination.</w:t>
      </w:r>
    </w:p>
    <w:p>
      <w:pPr/>
      <w:r>
        <w:rPr>
          <w:b/>
        </w:rPr>
        <w:t>POSSIBLE 2019:</w:t>
      </w:r>
      <w:r>
        <w:t xml:space="preserve"> The integrated offshore grid in Europe: Exploring challenges for regional energy governance — https://doi.org/10.1016/j.erss.2019.02.003</w:t>
      </w:r>
    </w:p>
    <w:p>
      <w:pPr/>
      <w:r>
        <w:rPr>
          <w:b/>
        </w:rPr>
        <w:t>Shared claim-specific concepts:</w:t>
      </w:r>
      <w:r>
        <w:t xml:space="preserve"> governance, offshore; EU scope visible. This is a provisional connection, not an outcome finding.</w:t>
      </w:r>
    </w:p>
    <w:p>
      <w:pPr>
        <w:pStyle w:val="SourceNote"/>
      </w:pPr>
      <w:r>
        <w:rPr>
          <w:b/>
        </w:rPr>
        <w:t>Available abstract (not full text):</w:t>
      </w:r>
      <w:r>
        <w:t xml:space="preserve"> The deployment of offshore wind and power transmission in the European North Sea is accelerating. Stakeholders advocate regional governance for the European grid expansion, which may evolve into a pan-European governance and is key to developing integrated, hybrid offshore projects. However, such projects are still scarce. We thus analyze the governance of the North Sea offshore grid expansion using the dimensions of level, implementation obligation, and implementation discretion. Our exploratory approach identifies five challenges. The challenges relate to 1) the interaction of the European and regional levels; 2) the interaction of the national and regional levels; 3) the participation of non-European Union countries; 4) the dependence of regional planning on national development plans, which consider national interests; and 5) the interaction of cost allocation and European financing for Projects of Common Interest. The recent Clean Energy Package proposal extensively reforms the regulation of the European power system. The Package is part of the Energy Union strategy and focuses on the energy and climate policies’ governance and the power system operation. Thus, regional governance of offshore expansion is largely unaltered, and our identified challenges remain unaddressed.</w:t>
      </w:r>
    </w:p>
    <w:p>
      <w:pPr/>
      <w:r>
        <w:rPr>
          <w:b/>
        </w:rPr>
        <w:t>POSSIBLE 2018:</w:t>
      </w:r>
      <w:r>
        <w:t xml:space="preserve"> Expansion planning of the North Sea offshore grid: Simulation of integrated governance constraints — https://doi.org/10.1016/j.eneco.2018.04.037</w:t>
      </w:r>
    </w:p>
    <w:p>
      <w:pPr/>
      <w:r>
        <w:rPr>
          <w:b/>
        </w:rPr>
        <w:t>Shared claim-specific concepts:</w:t>
      </w:r>
      <w:r>
        <w:t xml:space="preserve"> governance, offshore; EU scope visible. This is a provisional connection, not an outcome finding.</w:t>
      </w:r>
    </w:p>
    <w:p>
      <w:pPr>
        <w:pStyle w:val="SourceNote"/>
      </w:pPr>
      <w:r>
        <w:rPr>
          <w:b/>
        </w:rPr>
        <w:t>Available abstract (not full text):</w:t>
      </w:r>
      <w:r>
        <w:t xml:space="preserve"> The development of offshore transmission and wind power generation in the North Sea of Europe is advancing fast, but there are significant barriers to an integrated offshore grid in the region. This offshore grid is a multi-level, multi-actor system requiring a governance decision-making approach, but there is currently no proven governance framework for it, or for the expansion planning of the European power system in general. In addition, existing offshore expansion planning models do not endogenously include governance considerations, such as country vetoes to integrated lines. We develop a myopic Mixed-Integer Linear Programming model of offshore generation and transmission expansion planning to study the effect of integrated governance constraints. These constraints limit investments in integrated lines: non-conventional lines linking offshore wind farms to other countries or to other farms. Each constraint affects the system (including the main transmission corridors), transmission technologies and welfare distribution differently. We apply our model to a long-term case study of the 2030–2050 offshore expansion pathways using data from the e-Highway2050 project. Results confirm that the offshore grid is beneficial to society. Integrated governance constraints induce a modest loss of social welfare, but do not change significantly the existing welfare distribution asymmetr</w:t>
      </w:r>
    </w:p>
    <w:p>
      <w:pPr/>
      <w:r>
        <w:rPr>
          <w:b/>
        </w:rPr>
        <w:t>POSSIBLE 2018:</w:t>
      </w:r>
      <w:r>
        <w:t xml:space="preserve"> An overview of offshore wind energy resources in Europe under present and future climate — https://doi.org/10.1111/nyas.13924</w:t>
      </w:r>
    </w:p>
    <w:p>
      <w:pPr/>
      <w:r>
        <w:rPr>
          <w:b/>
        </w:rPr>
        <w:t>Shared claim-specific concepts:</w:t>
      </w:r>
      <w:r>
        <w:t xml:space="preserve"> offshore, conflict; EU scope visible. This is a provisional connection, not an outcome finding.</w:t>
      </w:r>
    </w:p>
    <w:p>
      <w:pPr>
        <w:pStyle w:val="SourceNote"/>
      </w:pPr>
      <w:r>
        <w:rPr>
          <w:b/>
        </w:rPr>
        <w:t>Available abstract (not full text):</w:t>
      </w:r>
      <w:r>
        <w:t xml:space="preserve"> Long-term sustainable development of European offshore wind energy requires knowledge of the best places for installing offshore wind farms. To achieve this, a good knowledge of wind resources is needed, as well as knowledge of international, European, and national regulations regarding conflict management, marine environment conservation, biodiversity protection, licensing processes, and support regimes. Such a multidisciplinary approach could help to identify areas where wind resources are abundant and where conflicts with other interests are scarce, support measures are greater, and licensing processes are streamlined. An overview of offshore wind power studies at present, and of their future projections for the 21st century, allows for determining the optimal European locations to install or maintain offshore wind farms. Only northern Europe, the northwest portion of the Iberian Peninsula, the Gulf of Lyon, the Strait of Gibraltar, and the northwest coast of Turkey show no change or increase in wind power, revealing these locations as the most suitable for installing and maintaining offshore wind farms in the future. The installation of wind farms is subject to restrictions established under international law, European law, and the domestic legal framework of each EU member state. Europe is moving toward streamlining of licensing procedures, reducing subsidies, and implemen</w:t>
      </w:r>
    </w:p>
    <w:p>
      <w:pPr>
        <w:pStyle w:val="Heading2"/>
      </w:pPr>
      <w:r>
        <w:t>788.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Zoonotic Threats: The (Re)emergence of Cercarial Dermatitis, Its Dynamics, and Impact in Europe — https://doi.org/10.3390/pathogens13040282</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Cercarial dermatitis (CD), or "Swimmer's itch" as it is also known, is a waterborne illness caused by a blood fluke from the family Schistosomatidae. It occurs when cercariae of trematode species that do not have humans as their definitive host accidentally penetrate human skin (in an aquatic environment) and trigger allergic symptoms at the site of contact. It is an emerging zoonosis that occurs through water and is often overlooked during differential diagnosis. Some of the factors contributing to the emergence of diseases like CD are related to global warming, which brings about climate change, water eutrophication, the colonization of ponds by snails susceptible to the parasite, and sunlight exposure in the summer, associated with migratory bird routes. Therefore, with the increase in tourism, especially at fluvial beaches, it is relevant to analyze the current epidemiological scenario of CD in European countries and the potential regions at risk.</w:t>
      </w:r>
    </w:p>
    <w:p>
      <w:pPr/>
      <w:r>
        <w:rPr>
          <w:b/>
        </w:rPr>
        <w:t>POSSIBLE 2023:</w:t>
      </w:r>
      <w:r>
        <w:t xml:space="preserve"> Tracking climate change and health in Europe — https://doi.org/10.1289/isee.2023.op-169</w:t>
      </w:r>
    </w:p>
    <w:p>
      <w:pPr/>
      <w:r>
        <w:rPr>
          <w:b/>
        </w:rPr>
        <w:t>Shared claim-specific concepts:</w:t>
      </w:r>
      <w:r>
        <w:t xml:space="preserve"> quantify, climate, developed; EU scope visible. This is a provisional connection, not an outcome finding.</w:t>
      </w:r>
    </w:p>
    <w:p>
      <w:pPr>
        <w:pStyle w:val="SourceNote"/>
      </w:pPr>
      <w:r>
        <w:rPr>
          <w:b/>
        </w:rPr>
        <w:t>Available abstract (not full text):</w:t>
      </w:r>
      <w:r>
        <w:t xml:space="preserve"> BACKGROUND AND AIM: Climate change impacts health through complex multidimensional pathways. However, whilst evidence and awareness of the health implications of climate change are increasing, there is a need for accessible information allowing effective communication of complex climate-health trends. Responding to this need in Europe, the Lancet Countdown in Europe (LCDE) developed indicators that monitor and quantify the health-climate change nexus since the 1950s. METHOD: 33 indicators act as summary measures representing the heterogenous climate-health relationships across (1) impact, exposure, and vulnerability; (2) adaption, planning and resilience; (3) mitigation actions and health co-benefits; (4) economics and finance; and (5) politics and governance. RESULTS: Health risks (1) for almost all indicators have been increasing; clinically relevant pollen seasons are starting 10-20 days earlier each year (1981-2020), the climatic suitability for climate-sensitive infectious diseases have been rapidly increasing (1951-2020), and heat exposure is estimated to have increased by 57% between the first and second half of the 21st century. Some encouraging trends for adaptation (2) could be observed. Yet, despite progress in the reduction of the carbon intensity of energy systems and phasing out coal for electricity generation, mitigation efforts remain inadequate to meet reductio</w:t>
      </w:r>
    </w:p>
    <w:p>
      <w:pPr/>
      <w:r>
        <w:rPr>
          <w:b/>
        </w:rPr>
        <w:t>POSSIBLE 2023:</w:t>
      </w:r>
      <w:r>
        <w:t xml:space="preserve"> Antimicrobial resistance in Germany and Europe – A systematic review on the increasing threat accelerated by climate change — https://doi.org/10.25646/11404</w:t>
      </w:r>
    </w:p>
    <w:p>
      <w:pPr/>
      <w:r>
        <w:rPr>
          <w:b/>
        </w:rPr>
        <w:t>Shared claim-specific concepts:</w:t>
      </w:r>
      <w:r>
        <w:t xml:space="preserve"> threat, climate; EU scope visible. This is a provisional connection, not an outcome finding.</w:t>
      </w:r>
    </w:p>
    <w:p>
      <w:pPr>
        <w:pStyle w:val="SourceNote"/>
      </w:pPr>
      <w:r>
        <w:rPr>
          <w:b/>
        </w:rPr>
        <w:t>Available abstract (not full text):</w:t>
      </w:r>
      <w:r>
        <w:t xml:space="preserve"> Background: Antimicrobial Resistance (AMR) is one of the top ten global public health threats facing humanity, alongside climate change. Here, we aim to summarise the effects of climate change (i.e. raise of temperature, change in humidity or precipitation) on spread of antibiotic resistance and on infections with antibiotic-resistant bacteria in Germany. Methods: We conducted a literature search with articles published between January 2012 and July 2022. Two authors screened titles, abstracts and full texts and extracted the data systematically. Results: From originally 2,389 titles, we identified six studies, which met our inclusion criteria. These studies show that an increase in temperature may lead to higher antibiotic resistance rates and an increased risk of colonisation as well as spread of pathogens. Furthermore, the number of healthcare-associated infections increases with increased temperature. Data indicate that higher antibiotic use is present in areas with warmer mean temperature. Conclusions: European data are scarce, but all studies identified point towards an increasing AMR burden due to climate change. However, further studies are needed to draw attention to the links between climatic factors and AMR and develop targeted preventive measures.</w:t>
      </w:r>
    </w:p>
    <w:p>
      <w:pPr/>
      <w:r>
        <w:rPr>
          <w:b/>
        </w:rPr>
        <w:t>POSSIBLE 2023:</w:t>
      </w:r>
      <w:r>
        <w:t xml:space="preserve"> The threat posed by the invasive fungal pathogen of pines Heterobasidion irregulare in Europe: observations and predictions — https://openalex.org/W7216753626</w:t>
      </w:r>
    </w:p>
    <w:p>
      <w:pPr/>
      <w:r>
        <w:rPr>
          <w:b/>
        </w:rPr>
        <w:t>Shared claim-specific concepts:</w:t>
      </w:r>
      <w:r>
        <w:t xml:space="preserve"> aimed, threat, forest, species, climate; EU scope visible. This is a provisional connection, not an outcome finding.</w:t>
      </w:r>
    </w:p>
    <w:p>
      <w:pPr>
        <w:pStyle w:val="SourceNote"/>
      </w:pPr>
      <w:r>
        <w:rPr>
          <w:b/>
        </w:rPr>
        <w:t>Available abstract (not full text):</w:t>
      </w:r>
      <w:r>
        <w:t xml:space="preserve"> Heterobasidion irregulare is a destructive fungal pathogen of pines native to North America and currently recommended for regulation by EPPO. This basidiomycete was introduced during WWII in central Italy, where the native congener H. annosum is also present. In this talk we review the findings that could help to predict the future trajectory of this alien fungal plant pathogen in Italy and in the European continent. While H. irregulare showed a greater sporulation potential, a faster growth rate in wood and a broader host range than the native H. annosum, precise predictions of future impacts of H. irregulare have been hampered by both the high fragmentation of conifer stands and the low incidence of H. annosum in central Italy. Population genetics studies allowed to predict that as the fragmentation of conifer stands decreases, the spread rate of H. irregulare will increase. Unexpectedly, experiments showed that the presence of the native H. annosum may accelerate and not slow down the spread of H. irregulare. Both results paint a troublesome scenario for areas in central and northern Europe characterized by large contiguous forest stands infested by H. annosum. Are these predicted scenarios likely to be true? In order to answer this question, we have studied the interaction between the two pathogens in central Italy. Field evidence shows not only that H. irregulare is truly </w:t>
      </w:r>
    </w:p>
    <w:p>
      <w:pPr/>
      <w:r>
        <w:rPr>
          <w:b/>
        </w:rPr>
        <w:t>POSSIBLE 2022:</w:t>
      </w:r>
      <w:r>
        <w:t xml:space="preserve"> Forest-based climate change mitigation and adaptation in Europe — https://doi.org/10.36333/fs14</w:t>
      </w:r>
    </w:p>
    <w:p>
      <w:pPr/>
      <w:r>
        <w:rPr>
          <w:b/>
        </w:rPr>
        <w:t>Shared claim-specific concepts:</w:t>
      </w:r>
      <w:r>
        <w:t xml:space="preserve"> forest, climate;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Quantifying the role of the large-scale circulation on European summer precipitation change — https://doi.org/10.1007/s00382-022-06250-z</w:t>
      </w:r>
    </w:p>
    <w:p>
      <w:pPr/>
      <w:r>
        <w:rPr>
          <w:b/>
        </w:rPr>
        <w:t>Shared claim-specific concepts:</w:t>
      </w:r>
      <w:r>
        <w:t xml:space="preserve"> quantify, three, climate, circulation; EU scope visible. This is a provisional connection, not an outcome finding.</w:t>
      </w:r>
    </w:p>
    <w:p>
      <w:pPr>
        <w:pStyle w:val="SourceNote"/>
      </w:pPr>
      <w:r>
        <w:rPr>
          <w:b/>
        </w:rPr>
        <w:t>Available abstract (not full text):</w:t>
      </w:r>
      <w:r>
        <w:t xml:space="preserve">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pPr/>
      <w:r>
        <w:rPr>
          <w:b/>
        </w:rPr>
        <w:t>POSSIBLE 2022:</w:t>
      </w:r>
      <w:r>
        <w:t xml:space="preserve"> A probabilistic climate change assessment for Europe — https://doi.org/10.1002/joc.7604</w:t>
      </w:r>
    </w:p>
    <w:p>
      <w:pPr/>
      <w:r>
        <w:rPr>
          <w:b/>
        </w:rPr>
        <w:t>Shared claim-specific concepts:</w:t>
      </w:r>
      <w:r>
        <w:t xml:space="preserve"> quantify, climate;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2022:</w:t>
      </w:r>
      <w:r>
        <w:t xml:space="preserve"> European and American chestnuts: An overview of the main threats and control efforts — https://doi.org/10.3389/fpls.2022.951844</w:t>
      </w:r>
    </w:p>
    <w:p>
      <w:pPr/>
      <w:r>
        <w:rPr>
          <w:b/>
        </w:rPr>
        <w:t>Shared claim-specific concepts:</w:t>
      </w:r>
      <w:r>
        <w:t xml:space="preserve"> level, tree, species, climate, developed; EU scope visible. This is a provisional connection, not an outcome finding.</w:t>
      </w:r>
    </w:p>
    <w:p>
      <w:pPr>
        <w:pStyle w:val="SourceNote"/>
      </w:pPr>
      <w:r>
        <w:rPr>
          <w:b/>
        </w:rPr>
        <w:t>Available abstract (not full text):</w:t>
      </w:r>
      <w:r>
        <w:t xml:space="preserve"> Chestnuts are multipurpose trees significant for the economy and wildlife. These trees are currently found around the globe, demonstrating their genetic adaptation to different environmental conditions. Several biotic and abiotic stresses have challenged these species, contributing to the decline of European chestnut production and the functional extinction of the American chestnut. Several efforts started over the last century to understand the cellular, molecular, and genetic interactions behind all chestnut biotic and abiotic interactions. Most efforts have been toward breeding for the primary diseases, chestnut blight and ink disease caused by the pathogens, Cryphonectria parasitica and Phytophthora cinnamomi , respectively. In Europe and North America, researchers have been using the Asian chestnut species, which co-evolved with the pathogens, to introgress resistance genes into the susceptible species. Breeding woody trees has several limitations which can be mostly related to the long life cycles of these species and the big genome landscapes. Consequently, it takes decades to improve traits of interest, such as resistance to pathogens. Currently, the availability of genome sequences and next-generation sequencing techniques may provide new tools to help overcome most of the problems tree breeding is still facing. This review summarizes European and American chestnut’s m</w:t>
      </w:r>
    </w:p>
    <w:p>
      <w:pPr/>
      <w:r>
        <w:rPr>
          <w:b/>
        </w:rPr>
        <w:t>POSSIBLE 2022:</w:t>
      </w:r>
      <w:r>
        <w:t xml:space="preserve"> European IoT Use in Homes: Opportunity or Threat to Households? — https://doi.org/10.3390/ijerph192114343</w:t>
      </w:r>
    </w:p>
    <w:p>
      <w:pPr/>
      <w:r>
        <w:rPr>
          <w:b/>
        </w:rPr>
        <w:t>Shared claim-specific concepts:</w:t>
      </w:r>
      <w:r>
        <w:t xml:space="preserve"> threat, level, three; EU scope visible. This is a provisional connection, not an outcome finding.</w:t>
      </w:r>
    </w:p>
    <w:p>
      <w:pPr>
        <w:pStyle w:val="SourceNote"/>
      </w:pPr>
      <w:r>
        <w:rPr>
          <w:b/>
        </w:rPr>
        <w:t>Available abstract (not full text):</w:t>
      </w:r>
      <w:r>
        <w:t xml:space="preserve"> The residential sector is characterized by new digital challenges. The Internet of Things (IoT) is a key-driver of innovation and operations management. This study aims to measure and assess IoT devices at the level of individuals, which are households, in European countries. For this scope, through the multi-criteria decision analysis (MCDA), we analyse data from Eurostat providing a mix of indicators allowing information to be aggregated at the level of individual Europeans and disaggregated by age group. The results highlight that only four countries (Netherlands, Denmark, Sweden and Malta) are classified as a high cluster in the examined scenarios. The 16-24 age group is the most involved in the uses of IoT devices, but the previous three northern European countries also show very high values for the 35-44 age group. IoT devices serve as a springboard for achieving a powerful propulsion toward technological innovation in the new business models, identifying opportunities and being a way to make many routine tasks more agile. Training programs and awareness campaigns are policy suggestions for the development of IoT devices favouring a cultural change on their use. However, there is an emerging need for studies that monitor environmental health impacts to prevent possible threats.</w:t>
      </w:r>
    </w:p>
    <w:p>
      <w:pPr>
        <w:pStyle w:val="Heading2"/>
      </w:pPr>
      <w:r>
        <w:t>789.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r>
        <w:rPr>
          <w:b/>
        </w:rPr>
        <w:t>POSSIBLE 2024:</w:t>
      </w:r>
      <w:r>
        <w:t xml:space="preserve"> Warm‐Season Drying Across Europe and Its Links to Atmospheric Circulation — https://doi.org/10.1029/2023ea003434</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Abstract We study drying trends across the central latitude strip of Europe (47.5–52.5°N and 2.5–27.5°E) during 1980–2019 and their links to atmospheric circulation. Daily differences between potential evapotranspiration and precipitation (PET–P) calculated from the E–OBS data are used to characterize dryness, and atmospheric circulation is represented by circulation types classified using daily sea level pressure patterns from the NCEP/NCAR reanalysis. Circulation types favoring dry conditions in vegetation season (April–September) are identified based on daily PET–P, and their temporal changes, seasonal variations, and links to trends in dryness in individual European regions are analyzed. In the early vegetation season (AMJ), drying trends are observed mainly in Western and Central Europe while in the late vegetation season (JAS), they are located predominantly in Eastern Europe. The dry circulation types include all anticyclonic types in all regions, as well as northeast to south (southwest in Eastern Europe) directional types. Trends of the dry circulation types correspond to those of dryness: the largest increase is found during AMJ in Western and Central Europe but during JAS in Eastern Europe. The results show that trends in dryness in the central latitude strip of Europe in the warm half‐year were associated with changes in atmospheric circulation, as the largest incre</w:t>
      </w:r>
    </w:p>
    <w:p>
      <w:pPr/>
      <w:r>
        <w:rPr>
          <w:b/>
        </w:rPr>
        <w:t>POSSIBLE 2024:</w:t>
      </w:r>
      <w:r>
        <w:t xml:space="preserve"> Atmospheric circulation associated with 3D heat wave types in Middle Europe — https://doi.org/10.5194/ems2024-343</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Heat waves are phenomena associated with large negative impacts on society and environment. We evaluate links between atmospheric circulation and three-dimensional (3D) heat wave types in Middle Europe (one of the PRUDENCE regions) over 1979–2022. Heat waves are classified according to their 3D structure of positive temperature anomalies in ERA5 into near-surface (HWG), lower-tropospheric (HWL), higher-tropospheric (HWH), and omnipresent (HWO) types. The Jenkinson–Collison classification is used to identify circulation types (CTs) with increased frequency during the individual heat wave types, and their climatological characteristics (including mean temperature anomaly, precipitation, and Climatic Water Balance index defined as potential evapotranspiration minus precipitation) are studied in station-based E-OBS data. We show that the surface temperature anomalies are largest during HWG (+7.1 °C), while HWL are the driest heat wave type according to mean daily precipitation (0.4 mm). At the same time, HWG types show the driest conditions before HW onset. In all heat wave types there is a large increase in the frequency of southern CTs compared to the June–September climatology, but differences among the heat wave types are found for other CTs. In HWG, the most frequent CT is U (undefined), corresponding to little pronounced pressure pattern over Middle Europe with no clear role </w:t>
      </w:r>
    </w:p>
    <w:p>
      <w:pPr/>
      <w:r>
        <w:rPr>
          <w:b/>
        </w:rPr>
        <w:t>POSSIBLE 2024:</w:t>
      </w:r>
      <w:r>
        <w:t xml:space="preserve"> The role of atmospheric circulation in explaining the summer extreme temperature trends over Europe — https://doi.org/10.5194/ems2024-1069</w:t>
      </w:r>
    </w:p>
    <w:p>
      <w:pPr/>
      <w:r>
        <w:rPr>
          <w:b/>
        </w:rPr>
        <w:t>Shared claim-specific concepts:</w:t>
      </w:r>
      <w:r>
        <w:t xml:space="preserve"> differences, atmospheric, circulation, different, historical, representative; EU scope visible. This is a provisional connection, not an outcome finding.</w:t>
      </w:r>
    </w:p>
    <w:p>
      <w:pPr>
        <w:pStyle w:val="SourceNote"/>
      </w:pPr>
      <w:r>
        <w:rPr>
          <w:b/>
        </w:rPr>
        <w:t>Available abstract (not full text):</w:t>
      </w:r>
      <w:r>
        <w:t xml:space="preserve"> The frequency, duration and intensity of summer extreme temperatures over Europe are increased since the middle of the twentieth century. These trends are expected to further increase in the future due to global warming, which will influence both the thermodynamics and dynamics of these events. In this context, the role played by the thermodynamic changes on trends of extreme temperature events has been largely studied. Differently, the role of dynamic changes in explaining their historical trends as well as their future projections is still under debate.In the present study, we assess the role played by dynamic changes on trends of summer extreme temperatures by assessing the trends in the occurrence of atmospheric circulation patterns (analogs) associated with the most severe heat waves during 1940—2022. Heat wave events are identified adopting the Heat Wave Magnitude Index daily (HWMId) as suggested by Russo et al. (2015). Furthermore, the trends in the number of summer extreme temperatures in the regions of the identified heat waves are decomposed as suggested by Horton et al. (2015), in order to evaluate the relative contribution of dynamic, thermodynamic and interactive terms on the total extreme temperature trends.The analyses are performed using a multi-model initial-condition large ensemble, composed by CMIP5 and CMIP6 models forced with the Representative Concentratio</w:t>
      </w:r>
    </w:p>
    <w:p>
      <w:pPr/>
      <w:r>
        <w:rPr>
          <w:b/>
        </w:rPr>
        <w:t>POSSIBLE 2023:</w:t>
      </w:r>
      <w:r>
        <w:t xml:space="preserve"> Role of Aerosols on Atmospheric Circulation in Regional Climate Experiments over Europe — https://doi.org/10.3390/atmos14030491</w:t>
      </w:r>
    </w:p>
    <w:p>
      <w:pPr/>
      <w:r>
        <w:rPr>
          <w:b/>
        </w:rPr>
        <w:t>Shared claim-specific concepts:</w:t>
      </w:r>
      <w:r>
        <w:t xml:space="preserve"> differences, atmospheric, circulation, different, concentration, forcing; EU scope visible. This is a provisional connection, not an outcome finding.</w:t>
      </w:r>
    </w:p>
    <w:p>
      <w:pPr>
        <w:pStyle w:val="SourceNote"/>
      </w:pPr>
      <w:r>
        <w:rPr>
          <w:b/>
        </w:rPr>
        <w:t>Available abstract (not full text):</w:t>
      </w:r>
      <w:r>
        <w:t xml:space="preserve"> Aerosols can strongly influence atmospheric circulation, and categorizing it into circulation types (CTs) helps in understanding the relationship between atmospheric forcing and surface conditions. However, few studies have considered the impact of interactive aerosols on atmospheric dynamics from a climatic perspective. This contribution aims to assess whether simulations with interactive aerosols (online solving of aerosol–radiation interactions, ARI, and aerosol–radiation–cloud interactions, ARCI) significantly impact atmospheric dynamics over Europe during winter compared to conventional regional climate models with prescribed aerosols. For that, Principal Component Analysis (PCA) has been applied to reduce the dimensionality of the problem in order to cluster different weather patterns. Results showed significant differences in the two predominant patterns, characterized by a western zonal flow (CT1) and a low-pressure system centered in Italy (CT2). The ARI experiment revealed a substantial reduction of surface level pressure over central-eastern Europe for CT1, resulting in a southward shift of the flux direction, and an increase in pressure over Scandinavia for CT2. The ARCI experiment exhibited a similar, but weaker effect. Furthermore, the study demonstrated the impact of aerosols on the frequency of different CTs and on the concentration of black and white aerosols. </w:t>
      </w:r>
    </w:p>
    <w:p>
      <w:pPr/>
      <w:r>
        <w:rPr>
          <w:b/>
        </w:rPr>
        <w:t>POSSIBLE 2023:</w:t>
      </w:r>
      <w:r>
        <w:t xml:space="preserve"> Trends in drought across Europe and their links to atmospheric circulation — https://doi.org/10.5194/egusphere-egu23-6124</w:t>
      </w:r>
    </w:p>
    <w:p>
      <w:pPr/>
      <w:r>
        <w:rPr>
          <w:b/>
        </w:rPr>
        <w:t>Shared claim-specific concepts:</w:t>
      </w:r>
      <w:r>
        <w:t xml:space="preserve"> atmospheric, circulation, sea, level, pressure, identified; EU scope visible. This is a provisional connection, not an outcome finding.</w:t>
      </w:r>
    </w:p>
    <w:p>
      <w:pPr>
        <w:pStyle w:val="SourceNote"/>
      </w:pPr>
      <w:r>
        <w:rPr>
          <w:b/>
        </w:rPr>
        <w:t>Available abstract (not full text):</w:t>
      </w:r>
      <w:r>
        <w:t xml:space="preserve"> We study trends in drought across the central latitude strip of Europe (defined as the region 47.5–52.5 °N and 2.5°W–32.5°E) during 1950–2019, and their links to atmospheric circulation. Drought characteristics are based on difference between potential evapotranspiration and precipitation in E–OBS data, and atmospheric circulation is characterized in terms of circulation types classified using daily sea level pressure patterns from the NCEP–NCAR reanalysis. Circulation types supporting drought in vegetation season (April–September) are identified, and we analyse changes in their occurrence since 1950, seasonal changes, and the connection with drought trends in individual European regions. We find that while in the early vegetation season, drought develops mainly in Central Europe, in the late vegetation season the most pronounced trends are shifted towards west. The circulation types supporting drought depend on regions and seasons, especially for directional types. The largest increase of the dry circulation types is observed in both seasons in Central Europe, and contributes to the pronounced drying.</w:t>
      </w:r>
    </w:p>
    <w:p>
      <w:pPr/>
      <w:r>
        <w:rPr>
          <w:b/>
        </w:rPr>
        <w:t>POSSIBLE 2023:</w:t>
      </w:r>
      <w:r>
        <w:t xml:space="preserve"> Links between major heat waves, drought, and atmospheric circulation in Central Europe — https://doi.org/10.5194/ems2023-430</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Heat waves and drought are phenomena associated with large negative impacts on society and the environment. Their common features include increasing frequency and intensity in recent decades in many regions of Europe, as well as the interconnectedness of the factors that contribute to their development. In this study, we compare the long-term changes in the characteristics of major heat waves and severe drought in Central Europe (during the vegetation period (April-September)), examine the temporal and causal relationships between the two phenomena, their spatial and temporal scales, and the connection with atmospheric circulation. Based on E-OBS (daily temperature and precipitation) data since 1950 for the vegetation period (April-September), drought is characterized by the difference between potential evapotranspiration and precipitation, while heat waves are defined as periods of large positive anomalies of daily temperatures from the mean annual cycle affecting a large area. Heat waves occurring in early/late vegetation period are referred as warm spells due to their lower absolute temperatures and possibly different circulation mechanisms. We use the Jenkinson classification of daily sea level pressure fields from the NCEP/NCAR reanalysis to describe the atmospheric circulation. Circulation types with significantly increased frequency during periods of major heat waves/war</w:t>
      </w:r>
    </w:p>
    <w:p>
      <w:pPr>
        <w:pStyle w:val="Heading2"/>
      </w:pPr>
      <w:r>
        <w:t>790.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2022:</w:t>
      </w:r>
      <w:r>
        <w:t xml:space="preserve"> Mobility in pandemic times: Exploring changes and long-term effects of COVID-19 on urban mobility behavior — https://doi.org/10.1016/j.trip.2022.100668</w:t>
      </w:r>
    </w:p>
    <w:p>
      <w:pPr/>
      <w:r>
        <w:rPr>
          <w:b/>
        </w:rPr>
        <w:t>Shared claim-specific concepts:</w:t>
      </w:r>
      <w:r>
        <w:t xml:space="preserve"> contrast, changing, mobility, travel; EU scope not established. This is a provisional connection, not an outcome finding.</w:t>
      </w:r>
    </w:p>
    <w:p>
      <w:pPr>
        <w:pStyle w:val="SourceNote"/>
      </w:pPr>
      <w:r>
        <w:rPr>
          <w:b/>
        </w:rPr>
        <w:t>Available abstract (not full text):</w:t>
      </w:r>
      <w:r>
        <w:t xml:space="preserve"> The COVID-19 pandemic marked a global disruption of unprecedented scale which was closely associated with human mobility. Since mobility acts as a facilitator for spreading the virus, individuals were forced to reconsider their respective behaviors. Despite numerous studies having detected behavioral changes during the first lockdown period (spring 2020), there is a lack of longitudinal perspectives that can provide insights into the intra-pandemic dynamics and potential long-term effects. This article investigates COVID-19-induced mobility-behavioral transformations by analyzing travel patterns of Berlin residents during a 20-month pandemic period and comparing them to the pre-pandemic situation. Based on quantitative analysis of almost 800,000 recorded trips, our longitudinal examination revealed individuals having reduced average monthly travel distances by ∼20%, trip frequencies by ∼11%, and having switched to individual modes. Public transportation has suffered a continual regression, with trip frequencies experiencing a relative long-term reduction of ∼50%, and a respective decrease of traveled distances by ∼43%. In contrast, the bicycle (rather than the car) was the central beneficiary, indicated by bicycle-related trip frequencies experiencing a relative long-term increase of ∼53%, and travel distances increasing by ∼117%. Comparing behavioral responses to three pandemi</w:t>
      </w:r>
    </w:p>
    <w:p>
      <w:pPr/>
      <w:r>
        <w:rPr>
          <w:b/>
        </w:rPr>
        <w:t>POSSIBLE 2021:</w:t>
      </w:r>
      <w:r>
        <w:t xml:space="preserve"> The changing map of international student mobility — https://doi.org/10.46786/ac21.7444</w:t>
      </w:r>
    </w:p>
    <w:p>
      <w:pPr/>
      <w:r>
        <w:rPr>
          <w:b/>
        </w:rPr>
        <w:t>Shared claim-specific concepts:</w:t>
      </w:r>
      <w:r>
        <w:t xml:space="preserve"> changing, ideas, mobility; EU scope not established. This is a provisional connection, not an outcome finding.</w:t>
      </w:r>
    </w:p>
    <w:p>
      <w:pPr>
        <w:pStyle w:val="SourceNote"/>
      </w:pPr>
      <w:r>
        <w:rPr>
          <w:b/>
        </w:rPr>
        <w:t>Available abstract (not full text):</w:t>
      </w:r>
      <w:r>
        <w:t xml:space="preserve"> This article presents fifteen essays following a prompt on the changing map of international student mobility through three disruptions, namely Brexit, America First and COVID-19. These essays written by postgraduate students at Beijing Normal University were collected during the Spring semester of 2020 and edited by Stephanie Hollings and Zhang Man under the supervision of Professor Michael Peters. The fifteen texts, written in the midst of the COVID-19 pandemic, highlight the many factors and faces of the changing map of international student mobility from fifteen different perspectives. The world map is a key aspect of these essays as it is not only important as a geographical concept but as a discourse of knowledge, power, identity and ideas that will be reflected in each student’s interpretation of international student mobility. Each student draws on their own diverse background and lived experiences, some as Chinese students and some as international students in China, to give light to these disruptions through the eyes of ‘globally mobile’ students, making an important contribution to global discussions on international student mobility. These students, reflecting on being in the midst of a pandemic spreading across the world map, imagine the future post-COVID-19 and how that will interplay with the other two major student mobility disruptions of recent years (Brexit an</w:t>
      </w:r>
    </w:p>
    <w:p>
      <w:pPr/>
      <w:r>
        <w:rPr>
          <w:b/>
        </w:rPr>
        <w:t>POSSIBLE 2020:</w:t>
      </w:r>
      <w:r>
        <w:t xml:space="preserve"> How ideas matter in public policy: a review of concepts, mechanisms, and methods — https://doi.org/10.4000/irpp.1343</w:t>
      </w:r>
    </w:p>
    <w:p>
      <w:pPr/>
      <w:r>
        <w:rPr>
          <w:b/>
        </w:rPr>
        <w:t>Shared claim-specific concepts:</w:t>
      </w:r>
      <w:r>
        <w:t xml:space="preserve"> ideas, decision-making, processes, approaches; EU scope not established. This is a provisional connection, not an outcome finding.</w:t>
      </w:r>
    </w:p>
    <w:p>
      <w:pPr>
        <w:pStyle w:val="SourceNote"/>
      </w:pPr>
      <w:r>
        <w:rPr>
          <w:b/>
        </w:rPr>
        <w:t>Available abstract (not full text):</w:t>
      </w:r>
      <w:r>
        <w:t xml:space="preserve"> The recent ideational turn in political science and public administration implies that ideas matter. Ideas are an essential explanatory concept for understanding policy changes and decision-making processes. The aim of the paper is to specify how ideas matter as a variable in public policy research, providing students and scholars of public policy with a stock take of the current state-of-the-art literature on ideas in political science and public administration. The paper first identifies three approaches to ideas as a variable in the policy process. It then discusses where ideas come from and the dynamics and drivers of ideational change to shed light on the ideational mechanisms underpinning policy processes. Furthermore, it taps into different research methods that can be used to study ideas. Finally, the paper concludes with five lessons for future research endeavours on the study of ideas in public policy.</w:t>
      </w:r>
    </w:p>
    <w:p>
      <w:pPr/>
      <w:r>
        <w:rPr>
          <w:b/>
        </w:rPr>
        <w:t>POSSIBLE 2020:</w:t>
      </w:r>
      <w:r>
        <w:t xml:space="preserve"> Smart Roads: An Overview of What Future Mobility Will Look Like — https://doi.org/10.3390/infrastructures5120107</w:t>
      </w:r>
    </w:p>
    <w:p>
      <w:pPr/>
      <w:r>
        <w:rPr>
          <w:b/>
        </w:rPr>
        <w:t>Shared claim-specific concepts:</w:t>
      </w:r>
      <w:r>
        <w:t xml:space="preserve"> mobility, look, like; EU scope not established. This is a provisional connection, not an outcome finding.</w:t>
      </w:r>
    </w:p>
    <w:p>
      <w:pPr>
        <w:pStyle w:val="SourceNote"/>
      </w:pPr>
      <w:r>
        <w:rPr>
          <w:b/>
        </w:rPr>
        <w:t>Available abstract (not full text):</w:t>
      </w:r>
      <w:r>
        <w:t xml:space="preserve"> Transport engineering has recently undergone several significant changes and innovations, one of which is the appearance and spread of autonomous vehicles; with this technology becoming more common and ordinary by the day, it is now necessary to implement some systems and contexts to facilitate autonomous vehicle operations. Consequently, a different perspective is now arising when dealing with road infrastructures, aiming to simplify and improve efficiency and maintenance of the existing roads, increase the life cycle of newly built ones, and minimize the economic and financial impact at the same time. Roadway pavements are one of the primary factors affecting vehicle operations; over time, this distinctive aspect has gone through various mechanical and physical changes due to the adoption of new materials or design methods. Consequently, to the spread of autonomous vehicles, scientific research has begun to study and develop systems to make road pavements and platforms not exclusively aimed at bearing loads, but rather at considering them as a means of communication and information exchange, if not even as a source of energy. This new approach introduces the so-called “Smart Roads,” i.e., road infrastructures capable of communicating with vehicles and self-monitoring fundamental perspectives concerning driverless vehicles and the roadway platform life cycle. This paper examin</w:t>
      </w:r>
    </w:p>
    <w:p>
      <w:pPr/>
      <w:r>
        <w:rPr>
          <w:b/>
        </w:rPr>
        <w:t>POSSIBLE 2020:</w:t>
      </w:r>
      <w:r>
        <w:t xml:space="preserve"> Changing Mobility Lifestyle — https://doi.org/10.4018/ijepr.20210401.oa6</w:t>
      </w:r>
    </w:p>
    <w:p>
      <w:pPr/>
      <w:r>
        <w:rPr>
          <w:b/>
        </w:rPr>
        <w:t>Shared claim-specific concepts:</w:t>
      </w:r>
      <w:r>
        <w:t xml:space="preserve"> changing, mobility, service, about; EU scope not established. This is a provisional connection, not an outcome finding.</w:t>
      </w:r>
    </w:p>
    <w:p>
      <w:pPr>
        <w:pStyle w:val="SourceNote"/>
      </w:pPr>
      <w:r>
        <w:rPr>
          <w:b/>
        </w:rPr>
        <w:t>Available abstract (not full text):</w:t>
      </w:r>
      <w:r>
        <w:t xml:space="preserve"> The article is focused on a detailed micro-study describing changes in the behaviour of the authors in three months before and during the COVID-19 pandemic. The study is based on data from Google Location Service. Despite the fact it evaluates only three people and the study cannot be sufficiently representative, it is a unique example of possible data processing at such a level of accuracy. The most significant changes in the behaviour of authors before and during the COVID-19 quarantine are described and interpreted in detail. Another purpose of the article is to point out the possibilities of analytical processing of Google Location while being aware of personal data protection issues. The authors recognize that by visualizing the real motion data, one partially discloses their privacy, but one considers it very valuable to show how detailed data Google collects about the population and how such data can be used effectively.</w:t>
      </w:r>
    </w:p>
    <w:p>
      <w:pPr/>
      <w:r>
        <w:rPr>
          <w:b/>
        </w:rPr>
        <w:t>POSSIBLE 2020:</w:t>
      </w:r>
      <w:r>
        <w:t xml:space="preserve"> Millionaire mobility and the sale of citizenship — https://doi.org/10.1080/1369183x.2020.1758554</w:t>
      </w:r>
    </w:p>
    <w:p>
      <w:pPr/>
      <w:r>
        <w:rPr>
          <w:b/>
        </w:rPr>
        <w:t>Shared claim-specific concepts:</w:t>
      </w:r>
      <w:r>
        <w:t xml:space="preserve"> contrast, mobility; EU scope not established. This is a provisional connection, not an outcome finding.</w:t>
      </w:r>
    </w:p>
    <w:p>
      <w:pPr>
        <w:pStyle w:val="SourceNote"/>
      </w:pPr>
      <w:r>
        <w:rPr>
          <w:b/>
        </w:rPr>
        <w:t>Available abstract (not full text):</w:t>
      </w:r>
      <w:r>
        <w:t xml:space="preserve"> Why do wealthy people purchase citizenship in peripheral countries? This article investigates the demand for citizenship by investment programmes, which enable naturalisation based on a donation or financial investment. Extending research on long-distance naturalisation among the middle class and on residence by investment programmes, I examine the motives of the wealthy using citizenship by investment options. Based on over one hundred interviews with rich naturalisers and intermediaries in the citizenship industry, I find that mobility, both in the present and as a future hedge, is a strong driver, followed by business advantages. Often it is privileges in third countries – not the place granting the citizenship – that are sought. In contrast to middle-class strategic naturalisers, quality of life, education options, and job prospects were not important, though navigating geopolitical barriers and risks were. Many naturalisers were not compensating for the failures of their citizenship at birth, but manoeuvering within a world of state competition. Finally, some individuals inverted the citizenship hierarchy and downgraded from ‘first tier’ memberships when, after years of living abroad, their nationality became a liability. The conclusion elaborates on the duplex structure of intra-state and inter-state inequality that channels demand, and the implications for citizenship mo</w:t>
      </w:r>
    </w:p>
    <w:p>
      <w:pPr/>
      <w:r>
        <w:rPr>
          <w:b/>
        </w:rPr>
        <w:t>POSSIBLE 2020:</w:t>
      </w:r>
      <w:r>
        <w:t xml:space="preserve"> The Politics of Mobility: Study Abroad in an Era of Climate Change — https://openalex.org/W3029188850</w:t>
      </w:r>
    </w:p>
    <w:p>
      <w:pPr/>
      <w:r>
        <w:rPr>
          <w:b/>
        </w:rPr>
        <w:t>Shared claim-specific concepts:</w:t>
      </w:r>
      <w:r>
        <w:t xml:space="preserve"> mobility, types, travel, about, exist; EU scope not established. This is a provisional connection, not an outcome finding.</w:t>
      </w:r>
    </w:p>
    <w:p>
      <w:pPr>
        <w:pStyle w:val="SourceNote"/>
      </w:pPr>
      <w:r>
        <w:rPr>
          <w:b/>
        </w:rPr>
        <w:t>Available abstract (not full text):</w:t>
      </w:r>
      <w:r>
        <w:t xml:space="preserve"> This paper explores the fundamental tension between mobility and the environmental consequences of the transportation that allows for that movement, zeroing in on the paradox of studying abroad in order to learn about climate or environmental sciences. With this, I consider what makes students feel justified in participating in such programs, whether the perceived benefits of these experiences outweigh the environmental costs, and how these programs play into the larger discourse of sustainability and tourism. By framing travel —air travel in particular— as technology embedded with political and cultural ideals, I analyze how and why concepts of mobility influence student choices, as well as how these tensions are navigated by its participants. Through exploring the history and objectives of these types of travel-intensive programs in conjunction with the historical purposes of travel and study abroad, considering the climate impact of air travel, and relating concepts of “Academic Flying” to study abroad, I question why students feel entitled to the privilege of embarking on such an environmentally detrimental journey, and whether such programs should even exist. My research culminates in surveying over 200 School for International Training (SIT) and School for Field Studies (SFS) study abroad alumni about how the climate impact of their travel abroad impacted their decision t</w:t>
      </w:r>
    </w:p>
    <w:p>
      <w:pPr/>
      <w:r>
        <w:rPr>
          <w:b/>
        </w:rPr>
        <w:t>POSSIBLE 2020:</w:t>
      </w:r>
      <w:r>
        <w:t xml:space="preserve"> Changing environments — https://doi.org/10.4324/9781003041573-16</w:t>
      </w:r>
    </w:p>
    <w:p>
      <w:pPr/>
      <w:r>
        <w:rPr>
          <w:b/>
        </w:rPr>
        <w:t>Shared claim-specific concepts:</w:t>
      </w:r>
      <w:r>
        <w:t xml:space="preserve"> changing, mobility, look; EU scope not established. This is a provisional connection, not an outcome finding.</w:t>
      </w:r>
    </w:p>
    <w:p>
      <w:pPr>
        <w:pStyle w:val="SourceNote"/>
      </w:pPr>
      <w:r>
        <w:rPr>
          <w:b/>
        </w:rPr>
        <w:t>Available abstract (not full text):</w:t>
      </w:r>
      <w:r>
        <w:t xml:space="preserve"> This chapter begins Elements of (re)connection, learning and mobility are evident in the experiences of Murilo – the 15-year-old Brazilian boy whose reflections on solar irrigators and other technologies. It seeks to add complexity and to look otherwise (and elsewhere) at children’s changing environments, this does not mean that issues of (re)connection, learning and mobility are usurped by other issues. The chapter includes but extends beyond these kinds of concerns to prompt reflection upon what else matters in, and what else is constitutive of, the many ways in which childhoods–natures might relate. It highlights, this might mean unpicking assumptions that children are separate from and therefore ‘relate with’ the environment. The chapter explores how it might be possible to consider the complexity of environmental issues through the concept of the nexus. It looks at forms of action by children – contrasting forms of (globalised) protest with the apparently banal experimentation that took place at Murilo’s school.</w:t>
      </w:r>
    </w:p>
    <w:p>
      <w:pPr/>
      <w:r>
        <w:rPr>
          <w:b/>
        </w:rPr>
        <w:t>POSSIBLE 2019:</w:t>
      </w:r>
      <w:r>
        <w:t xml:space="preserve"> The Ability of Preschoolers to Use Ideas About Other’s Knowledge and the Ways of Changing It — https://doi.org/10.17759/cpse.2019080206</w:t>
      </w:r>
    </w:p>
    <w:p>
      <w:pPr/>
      <w:r>
        <w:rPr>
          <w:b/>
        </w:rPr>
        <w:t>Shared claim-specific concepts:</w:t>
      </w:r>
      <w:r>
        <w:t xml:space="preserve"> contrast, changing, ideas, thinking, about; EU scope not established. This is a provisional connection, not an outcome finding.</w:t>
      </w:r>
    </w:p>
    <w:p>
      <w:pPr>
        <w:pStyle w:val="SourceNote"/>
      </w:pPr>
      <w:r>
        <w:rPr>
          <w:b/>
        </w:rPr>
        <w:t>Available abstract (not full text):</w:t>
      </w:r>
      <w:r>
        <w:t xml:space="preserve"> The article deals with the problem of the ability to use ideas about other’s knowledge and the ways of changing it, the ability to de-center thinking in the process of communication in the example of understanding deception in typically developing preschoolers and preschoolers with mental retardation. The recognition of deception is considered as a cognitive function, taking into account the specific techniques of the implementation of the mental model. Empirical sample of research: 72 children of pre-school age from 5 to 6 years. Contrast samples show the specificity of the lack of social interaction tools based on the mental model. Analyzed that in a game with deceit, a child is required to use signs to anticipate events that made it known about the nascent action of another person. In children with mental retardation in a game with deceptive action, shown a situational mode of action without taking into account the model of a mental interaction partner due to the lack of ability to decentration. The data reflects the relationship between the cognitive level of development and the level of the mental model in the process of forming the basis of social cognition and social experience in the early stages of ontogenesis.</w:t>
      </w:r>
    </w:p>
    <w:p>
      <w:pPr/>
      <w:r>
        <w:rPr>
          <w:b/>
        </w:rPr>
        <w:t>POSSIBLE 2019:</w:t>
      </w:r>
      <w:r>
        <w:t xml:space="preserve"> Transformations: Change from Learning to Growth — https://doi.org/10.4324/9780429400803-14</w:t>
      </w:r>
    </w:p>
    <w:p>
      <w:pPr/>
      <w:r>
        <w:rPr>
          <w:b/>
        </w:rPr>
        <w:t>Shared claim-specific concepts:</w:t>
      </w:r>
      <w:r>
        <w:t xml:space="preserve"> contrast, ideas, practice; EU scope not established. This is a provisional connection, not an outcome finding.</w:t>
      </w:r>
    </w:p>
    <w:p>
      <w:pPr>
        <w:pStyle w:val="SourceNote"/>
      </w:pPr>
      <w:r>
        <w:rPr>
          <w:b/>
        </w:rPr>
        <w:t>Available abstract (not full text):</w:t>
      </w:r>
      <w:r>
        <w:t xml:space="preserve"> Wilfred Bion differentiates between different modes of transformation, in particular between “transference” and “transformations in hallucinosis”. There are very different views of Transformations and Wilfred Bion’s later works – very strong views. By contrast, “Transformation in hallucinosis” is evacuative rather than explorative, and rivalrous rather than in “intercourse” with the world. This chapter introduces two concepts: transformation and invariance. The theory of transformations and its development does not relate to the main body of psychoanalytic theory, but to the practice of psychoanalytic observation. Psychoanalytic theories, patient’s or analyst’s statements are representations of an emotional experience. Bion differentiates between the process of transformation and the end product. Although the transference has a “repetitive quality”, it contains a crucial element of enquiry and discovery. Sigmund Freud’s ideas on the superego changed and became increasingly complex in the development of new ideas.</w:t>
      </w:r>
    </w:p>
    <w:p>
      <w:pPr/>
      <w:r>
        <w:rPr>
          <w:b/>
        </w:rPr>
        <w:t>POSSIBLE 2018:</w:t>
      </w:r>
      <w:r>
        <w:t xml:space="preserve"> Arctic and Antarctic Sea Ice Change: Contrasts, Commonalities, and Causes — https://doi.org/10.1146/annurev-marine-010816-060610</w:t>
      </w:r>
    </w:p>
    <w:p>
      <w:pPr/>
      <w:r>
        <w:rPr>
          <w:b/>
        </w:rPr>
        <w:t>Shared claim-specific concepts:</w:t>
      </w:r>
      <w:r>
        <w:t xml:space="preserve"> contrast, largely, processes; EU scope not established. This is a provisional connection, not an outcome finding.</w:t>
      </w:r>
    </w:p>
    <w:p>
      <w:pPr>
        <w:pStyle w:val="SourceNote"/>
      </w:pPr>
      <w:r>
        <w:rPr>
          <w:b/>
        </w:rPr>
        <w:t>Available abstract (not full text):</w:t>
      </w:r>
      <w:r>
        <w:t xml:space="preserve"> Arctic sea ice has declined precipitously in both extent and thickness over the past four decades; by contrast, Antarctic sea ice has shown little overall change, but this masks large regional variability. Climate models have not captured these changes. But these differences do not represent a paradox. The processes governing, and impacts of, natural variability and human-induced changes differ markedly at the poles largely because of the ways in which differences in geography control the properties of and interactions among the atmosphere, ice, and ocean. The impact of natural variability on the ice cover is large at both poles, so modeled ice trends are not entirely inconsistent with contributions from both natural variability and anthropogenic forcing. Despite this concurrence, the coupling of natural climate variability, climate feedbacks, and sea ice is not well understood, and significant biases remain in model representations of the ice cover and the processes that drive it.</w:t>
      </w:r>
    </w:p>
    <w:p>
      <w:pPr>
        <w:pStyle w:val="Heading2"/>
      </w:pPr>
      <w:r>
        <w:t>791.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r>
        <w:rPr>
          <w:b/>
        </w:rPr>
        <w:t>POSSIBLE 2025:</w:t>
      </w:r>
      <w:r>
        <w:t xml:space="preserve"> Capital efficiency and organizational performance: A dynamic panel analysis of Weighted Average Cost of Capital (WACC) and ROA in Indonesia’s healthcare sector — https://doi.org/10.31940/jasafint.v8i1.26-40</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The healthcare sector in Indonesia faces challenges in managing capital efficiency and organizational performance due to high operational costs and the need for continuous investment in health technology and infrastructure. As a key driver of economic growth, especially post-COVID-19, optimal capital management is crucial for sustaining operations and creating stakeholder value. This study examines the relationship between the Weighted Average Cost of Capital (WACC) and Return on Assets (ROA) in Indonesia’s healthcare sector using a quantitative dynamic panel analysis approach. Financial data from healthcare companies listed on the Indonesia Stock Exchange were analyzed using the Generalized Method of Moments (GMM). The findings indicate that WACC negatively affects ROA, but the relationship is not statistically significant. Leverage, measured through the Debt to Asset Ratio and Debt to Equity Ratio, strengthens this relationship positively. Meanwhile, cash holdings and firm size have a negative moderating effect, whereas Net Working Capital (NWC) reinforces the relationship positively. These results highlight the importance of effective debt and liquidity management in optimizing profitability in the healthcare sector. The study contributes theoretically to capital efficiency discussions and offers practical insights for industry stakeholders, including decision-makers and inv</w:t>
      </w:r>
    </w:p>
    <w:p>
      <w:pPr/>
      <w:r>
        <w:rPr>
          <w:b/>
        </w:rPr>
        <w:t>POSSIBLE 2025:</w:t>
      </w:r>
      <w:r>
        <w:t xml:space="preserve"> Sustainability and Capital Costs: The Impact of ESG Performance, Efficiency, and Firm Characteristics on WACC — https://doi.org/10.4108/eai.30-7-2025.2360573</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ESG practices being widely promoted with the objectives of increasing sustainability-related transparency, demonstrating stronger performance, and reduce perceived risk. This study examines the relationship between ESG score and DEA into cost of capital as a critical indicator in assessing company p</w:t>
      </w:r>
    </w:p>
    <w:p>
      <w:pPr/>
      <w:r>
        <w:rPr>
          <w:b/>
        </w:rPr>
        <w:t>POSSIBLE 2025:</w:t>
      </w:r>
      <w:r>
        <w:t xml:space="preserve"> Implementation of the WACC Notice and challenges in determining the VHCN risk premium — https://openalex.org/W7124128098</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In 2019, the European Commission published the WACC Notice that sets out a methodology for estimating the weighted average costs of capital (WACC) used by national regulatory authorities in the cost regulation of the telecommunication sector. The Notice is explicitly limited to legacy infrastructure and does not address Very High Capacity Networks. The Commission's Recommendation on the regulatory promotion of gigabit connectivity advises that NRAs may apply a VHCN risk premium in addition to the applicable WACC, but provides less methodological guidance for its calculation. This paper provides an overview of current regulatory practices for determining the WACC for both legacy networks and VHCNs in Europe. It examines the implementation of the WACC Notice across Member States, assessing its impact and identifying notable deviations from the prescribed methodology. It further examines Member States' approaches to determining a risk premium for VHCN investments. The analysis draws on an extensive literature review and interviews with five national regulatory authorities. Findings indicate that the WACC Notice has largely standardised the methodology for calculating the regulated WACC for legacy infrastructure, although differences remain in the frequency of WACC updates. Overall, WACC values across Member States have declined since the Notice's introduction. Several NRAs adjuste</w:t>
      </w:r>
    </w:p>
    <w:p>
      <w:pPr/>
      <w:r>
        <w:rPr>
          <w:b/>
        </w:rPr>
        <w:t>POSSIBLE 2025:</w:t>
      </w:r>
      <w:r>
        <w:t xml:space="preserve"> Ser ISE impacta o WACC e o endividamento? — https://doi.org/10.9790/487x-2707010109</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Background: This article aims to evaluate the impact of adherence to the Corporate Sustainability Index (ISE) on the weighted average cost of capital (WACC) and debt (DE) of Brazilian companies listed on B3 (Brasil, Bolsa, Balcão). Materials and Methods: Data were collected from 332 publicly traded non-financial Brazilian companies, 85 of which belonged to the ISE for at least one year, in the period from 2010 to 2023. A descriptive and quantitative research was developed, based on secondary data, which were subjected to robust OLS regressions using unbalanced panel data. Results: In the analysis of the results, the regression model for WACC showed good explanatory capacity (R² of 57.85%), indicating that sustainable companies tend to have a lower cost of capital, a result in line with the Stakeholder, Signaling and Agency theories, which highlight the reduction in risk perceived by investors and the improvement in corporate governance. The debt model, with high explanatory power (R² of 92.13%), revealed that companies in the ISE have a higher level of debt, a result contrary to the second hypothesis of the study, but consistent with the Trade-Off Theory, suggesting that sustainable companies have greater access to credit because they are seen as less risky. Conclusion: It was found that companies belonging to the ISE have a reduction in their weighted average cost of capital. </w:t>
      </w:r>
    </w:p>
    <w:p>
      <w:pPr/>
      <w:r>
        <w:rPr>
          <w:b/>
        </w:rPr>
        <w:t>POSSIBLE 2024:</w:t>
      </w:r>
      <w:r>
        <w:t xml:space="preserve"> The Influence of Environmental, Social, and Governance Disclosure on Capital Structure: An Investigation of Leverage and WACC — https://doi.org/10.3390/jrfm17120570</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This paper seeks to examine the extent to which environmental, social, and governance (ESG) disclosure affects capital structure and cost of capital for non-financial Fortune 500 firms. With a sample period from 2007 to 2022 and a system (Generalized Method of Moments) GMM estimation method, we investigate the linkage between ESG disclosure scores and both leverage and the weighted average cost of capital (WACC). Thus, we find that firms with stronger ESG performance have higher ESG disclosure and lower leverage ratios and WACC, highlighting that firms with good ESG outcomes have better equity financing facilities and are perceived to be less risky. We also find the moderation effect where the effects of ESG disclosure depend on the level of ESG disclosure. The empirical results thus show that the environmental and social factors have significant influences on leverage and WACC than the governance factors. Furthermore, we show that firm size affects these relationships in that larger firms are more affected by the variables. These findings extend the literature on ESG, and provide relevant information for corporate financial managers, investors, and policymakers about the financial effects of ESG disclosure. This paper therefore provides evidence of the relevance of ESG factors in decisions on capital structure and cost of capital especially for large firms.</w:t>
      </w:r>
    </w:p>
    <w:p>
      <w:pPr/>
      <w:r>
        <w:rPr>
          <w:b/>
        </w:rPr>
        <w:t>POSSIBLE 2024:</w:t>
      </w:r>
      <w:r>
        <w:t xml:space="preserve"> An analysis of the effect of employee tenure on WACC — https://doi.org/10.1080/01559982.2024.2352671</w:t>
      </w:r>
    </w:p>
    <w:p>
      <w:pPr/>
      <w:r>
        <w:rPr>
          <w:b/>
        </w:rPr>
        <w:t>Shared claim-specific concepts:</w:t>
      </w:r>
      <w:r>
        <w:t xml:space="preserve"> show, capital, wacc, based; EU scope not established. This is a provisional connection, not an outcome finding.</w:t>
      </w:r>
    </w:p>
    <w:p>
      <w:pPr>
        <w:pStyle w:val="SourceNote"/>
      </w:pPr>
      <w:r>
        <w:rPr>
          <w:b/>
        </w:rPr>
        <w:t>Available abstract (not full text):</w:t>
      </w:r>
      <w:r>
        <w:t xml:space="preserve"> No international accounting policy exists to mandate that firms must report employee/workforce-level human capital information on a structured basis. Thus, the link between employee/workforce human capital and firm risk is not demonstrated in the literature. South Korea is a rare instance where human capital information, such as employee tenure is disclosed on Annual Reports as a rule. Therefore, we invoke resource-based theory, a human resource policy assertion, and a business ethics/sustainability inference to show whether capital providers differentiate between firms that are able/unable to retain employees, thus adjusting WACC accordingly. Using OLS regression analysis, from 2011-2020, empirical results show that firms with the ability to retain employees enjoy economically significantly lower levels of WACC. The results infer that equity/debt providers associate workforce tenure and firm risk/returns expectations. Empirical results also show that capital providers are nuanced when impounding employment information into risk/return assessments, based on incrementally different associations for investment-grade/non-investment-grade firms. The study contributes to the literature by providing evidence that management should develop strategies to retain employees to enjoy economic advantages. Because structured employee/workforce human capital information is rare internationall</w:t>
      </w:r>
    </w:p>
    <w:p>
      <w:pPr/>
      <w:r>
        <w:rPr>
          <w:b/>
        </w:rPr>
        <w:t>POSSIBLE 2024:</w:t>
      </w:r>
      <w:r>
        <w:t xml:space="preserve"> The relationship between the application of corporate sustainability policy and the weighted average cost of capital: examples of European countries — https://doi.org/10.29119/1641-3466.2024.202.8</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Purpose: This publication aims to verify whether Van Horne coefficient model affects company growth, as expressed by the WACC. Design/methodology/approach: The study was conducted on a group of nonfinancial companies listed on: the Warsaw Stock Exchange (WIG index), The Frankfurt Stock Exchange (DAX index), The Paris Stock Exchange (CAC index) and the Stockholm Stock Exchange (OMX Stockholm index) from 01/01/2000 - 31/12/2021. Van Horne's SGR model was used as an indicator of the sustainable growth of the firm. The analysis related to WACC and condition assessment of analysed companies is presented as OLS and panel models parameter estimations. The study was carried out using cross-sectional regression analysis and panel data. Several models were estimated using the OLS method, including different sets of independent variables. Findings: In the analysis, it was found that the VSGR coefficient has a negative impact on the WACC for companies from all the analysed markets, i.e. the better the implementation of the company's sustainable development policy measured by the VSGR index, the lower the WACC of the company may record. These results were also not confirmed in panel studies with fixed effects, which allows us to conclude that these relationships are very weak. Research limitations/implications: Further research should expand the analysis of firms by size and stage of develo</w:t>
      </w:r>
    </w:p>
    <w:p>
      <w:pPr/>
      <w:r>
        <w:rPr>
          <w:b/>
        </w:rPr>
        <w:t>POSSIBLE 2023:</w:t>
      </w:r>
      <w:r>
        <w:t xml:space="preserve"> A novel approach to calculate weighted average cost of capital (WACC) considering debt and firm's cash flow durations — https://doi.org/10.1002/mde.4042</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Abstract This paper presents a novel approach to calculate the weighted average cost of capital (WACC) but considering additional relevant variables to be applied to a specific cash flow, free cash flow to firm (FCFF), or capital cash flow (CCF), in order to value an asset. The analytical expressions deduced for this approach, one for each case, are based not only on the ratio debt to the value of the asset and the cost of debt and equity, as in the usual expression, but also includes the debt and firm's cash flow durations. The proposed novel approach to cost of capital has key advantages in comparison to the usual expression for WACC: It is an analytical expression that could be applied to whatever kind of debt or capital structure, not only perpetual debt or permanent capital structure. It is a single discount rate, and for its calculation, it is not necessary to recalculate financial factors involved, which makes easier its application. The additional financial variables involved, debt and firm's cash flow duration, allow to obtain better results for the right discount rate and for the value of an asset in the sense that the discount rate for the asset effectively will permit to reach the required level for the profitability for the investor and to cover the cost of debt.</w:t>
      </w:r>
    </w:p>
    <w:p>
      <w:pPr/>
      <w:r>
        <w:rPr>
          <w:b/>
        </w:rPr>
        <w:t>POSSIBLE 2023:</w:t>
      </w:r>
      <w:r>
        <w:t xml:space="preserve"> Application of WACC in Automobile Enterprises — https://doi.org/10.54254/2754-1169/40/20231997</w:t>
      </w:r>
    </w:p>
    <w:p>
      <w:pPr/>
      <w:r>
        <w:rPr>
          <w:b/>
        </w:rPr>
        <w:t>Shared claim-specific concepts:</w:t>
      </w:r>
      <w:r>
        <w:t xml:space="preserve"> wacc, energy, based, production; EU scope not established. This is a provisional connection, not an outcome finding.</w:t>
      </w:r>
    </w:p>
    <w:p>
      <w:pPr>
        <w:pStyle w:val="SourceNote"/>
      </w:pPr>
      <w:r>
        <w:rPr>
          <w:b/>
        </w:rPr>
        <w:t>Available abstract (not full text):</w:t>
      </w:r>
      <w:r>
        <w:t xml:space="preserve"> With the global promotion of energy conservation and emission reduction in recent years, some new energy vehicle enterprises are emerging in the market. To avoid potential risks in the new energy vehicle market with over-investment, the paper selects Tesla, BYD, and Toyota as examples, and uses CAPM and WACC to calculate and analyze the risks of three automobile enterprises based on the financial data in 2022. The result shows that Tesla owned the largest WACC and risks due to the calculation, and Toyota had the smallest WACC and risks. According to the analysis of data combined with the market situation of three companies, the author finds unique risks for each enterprise and provides a feasible direction for the development of three enterprises. It shows that the development of electric vehicles, guarantee of production, good product quality, and reasonable allocation of funds can help automobile enterprises avoid risks in the future.</w:t>
      </w:r>
    </w:p>
    <w:p>
      <w:pPr/>
      <w:r>
        <w:rPr>
          <w:b/>
        </w:rPr>
        <w:t>POSSIBLE 2022:</w:t>
      </w:r>
      <w:r>
        <w:t xml:space="preserve"> An Improved Spatiotemporal Weighted Mean Temperature Model over Europe Based on the Nonlinear Least Squares Estimation Method — https://doi.org/10.3390/rs14153609</w:t>
      </w:r>
    </w:p>
    <w:p>
      <w:pPr/>
      <w:r>
        <w:rPr>
          <w:b/>
        </w:rPr>
        <w:t>Shared claim-specific concepts:</w:t>
      </w:r>
      <w:r>
        <w:t xml:space="preserve"> weighted, average, based, respectively; EU scope visible. This is a provisional connection, not an outcome finding.</w:t>
      </w:r>
    </w:p>
    <w:p>
      <w:pPr>
        <w:pStyle w:val="SourceNote"/>
      </w:pPr>
      <w:r>
        <w:rPr>
          <w:b/>
        </w:rPr>
        <w:t>Available abstract (not full text):</w:t>
      </w:r>
      <w:r>
        <w:t xml:space="preserve"> Weighted average temperature (Tm) plays a crucial role in global navigation satellite system (GNSS) precipitable water vapor (PWV) retrieval. Aiming at the poor applicability of the existing Tm models in Europe, in the article, we used observations from 48 radiosonde stations over Europe from 2014 to 2020 to establish a weighted average temperature model in Europe (ETm) by the nonlinear least squares estimation method. The ETm model takes into account factors such as ground temperature, water vapor pressure, latitude, and their annual variation, semiannual variation and diurnal variation. Taking the Tm obtained from the radiosonde data by the integration method in 2021 as the reference value, the accuracy of the ETm model was evaluated and compared with the commonly used Bevis model, ETmPoly model, and GPT2w model. The results of the 48 modeled stations showed that the mean bias and root mean square (RMS) values of the ETm model were 0.06 and 2.85 K, respectively, which were 21.7%, 11.5%, and 31.8% higher than the Bevis, ETmPoly, and GPT2w-1 (1° × 1° resolution) models, respectively. In addition, the radiosonde data of 12 non-modeling stations over Europe in 2021 were selected to participate in the model accuracy validation. The mean bias and RMS values of the ETm model were –0.07 and 2.87 K, respectively. Compared with the Bevis, ETmPoly, and GPT2w-1 models, the accuracy (in t</w:t>
      </w:r>
    </w:p>
    <w:p>
      <w:pPr/>
      <w:r>
        <w:rPr>
          <w:b/>
        </w:rPr>
        <w:t>POSSIBLE 2022:</w:t>
      </w:r>
      <w:r>
        <w:t xml:space="preserve"> Political Imaginaries of the Weighted Average Cost of Capital: A Conceptual Analysis — https://doi.org/10.3384/vs.2001-5992.2021.8.2.5-36</w:t>
      </w:r>
    </w:p>
    <w:p>
      <w:pPr/>
      <w:r>
        <w:rPr>
          <w:b/>
        </w:rPr>
        <w:t>Shared claim-specific concepts:</w:t>
      </w:r>
      <w:r>
        <w:t xml:space="preserve"> weighted, average, capital, produced, minimum; EU scope not established. This is a provisional connection, not an outcome finding.</w:t>
      </w:r>
    </w:p>
    <w:p>
      <w:pPr>
        <w:pStyle w:val="SourceNote"/>
      </w:pPr>
      <w:r>
        <w:rPr>
          <w:b/>
        </w:rPr>
        <w:t>Available abstract (not full text):</w:t>
      </w:r>
      <w:r>
        <w:t xml:space="preserve"> This article analyzes the formulation of the “weighted average cost of capital” in the manuals of two of the most influential associations of financial analysts. It focuses on the use of the formula as the discount rate to determine the “fundamental value” of listed companies using the “discounted cash flows” method, a cornerstone of the definition of “shareholder value” used in the finance industry worldwide. It shows that the choice of variables and their mathematical relations in the formula mobilize multiple, partly independent and contradictory epistemologies and ontologies. This multiplicity is assembled along political imaginaries concerning the relation between particular notions of the maximizing investor, the efficient markets and the sovereign state. The figure of the investor is considered the only legitimate agent to claim the “free” cash flows of the company, the efficient markets are considered the source of truthful representation of value, and the state is supposed to guarantee both the fair play between investors and a minimum revenue for money owners, to be extracted from the rest of society through the tax system. The formula thus legitimizes and renders self-evident power relations that sustain the global inequalities produced by the finance industry.</w:t>
      </w:r>
    </w:p>
    <w:p>
      <w:pPr>
        <w:pStyle w:val="Heading2"/>
      </w:pPr>
      <w:r>
        <w:t>792.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Many Plant Species in Europe Have Limited Capacity to Track Climate Change — https://doi.org/10.1111/ddi.70115</w:t>
      </w:r>
    </w:p>
    <w:p>
      <w:pPr/>
      <w:r>
        <w:rPr>
          <w:b/>
        </w:rPr>
        <w:t>Shared claim-specific concepts:</w:t>
      </w:r>
      <w:r>
        <w:t xml:space="preserve"> climate, distribution, many, species, result, range;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2024:</w:t>
      </w:r>
      <w:r>
        <w:t xml:space="preserve"> Climate change and human rights: how a landmark legal victory in Europe could affect NZ — https://doi.org/10.64628/aa.w393n9fmr</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Does Climate Change and Energy Consumption Affect the Food Security of European Union Countries? Empirical Evidence from a Panel Study — https://doi.org/10.3390/en17133237</w:t>
      </w:r>
    </w:p>
    <w:p>
      <w:pPr/>
      <w:r>
        <w:rPr>
          <w:b/>
        </w:rPr>
        <w:t>Shared claim-specific concepts:</w:t>
      </w:r>
      <w:r>
        <w:t xml:space="preserve"> climate, affect, increased; EU scope visible. This is a provisional connection, not an outcome finding.</w:t>
      </w:r>
    </w:p>
    <w:p>
      <w:pPr>
        <w:pStyle w:val="SourceNote"/>
      </w:pPr>
      <w:r>
        <w:rPr>
          <w:b/>
        </w:rPr>
        <w:t>Available abstract (not full text):</w:t>
      </w:r>
      <w:r>
        <w:t xml:space="preserve"> This study aims to provide empirical evidence on whether using renewable and non-renewable energy, CO₂ emissions and the resulting changes in temperature and precipitation can alter cereal yields in European Union countries. To this end, a panel data set covering 1992-2021 has been used to analyse the impact of climate change and economic factors on cereal production in European Union countries. The study employed various analytical techniques to understand better the relationship between climate change, energy consumption, and economic growth. These included using annual average temperature and rainfall to measure climate change and energy consumption and economic growth to analyse the economic aspects. To achieve the objective, feasible generalised least squares (FGLS) models with robust standard errors and bootstrap and a quantile regression (QR) model with marginal analysis were employed. The Westerlund cointegration test confirmed the presence of cointegration between cereal production and climate variables, economic growth, and energy consumption. The results indicate that increases in temperature and precipitation may contribute to increased cereal production in European Union countries. In contrast, energy consumption, including renewable energy and CO₂ emissions, may have a nonlinear effect on cereal production. Quantile regression analysis suggests climate change may </w:t>
      </w:r>
    </w:p>
    <w:p>
      <w:pPr/>
      <w:r>
        <w:rPr>
          <w:b/>
        </w:rPr>
        <w:t>POSSIBLE 2024:</w:t>
      </w:r>
      <w:r>
        <w:t xml:space="preserve"> Will climate change affect the proportion of melanistic northern vipers Vipera berus in a western European population with an exceptionally high rate of melanism? — https://doi.org/10.33256/hb168.2931</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Environmental Investments and Climate Change: How Environmental Protection Expenditure and Gross Domestic Product Affect Emissions in the European Union — https://doi.org/10.13044/j.sdewes.d12.0528</w:t>
      </w:r>
    </w:p>
    <w:p>
      <w:pPr/>
      <w:r>
        <w:rPr>
          <w:b/>
        </w:rPr>
        <w:t>Shared claim-specific concepts:</w:t>
      </w:r>
      <w:r>
        <w:t xml:space="preserve"> climate, affect, many, increased; EU scope visible. This is a provisional connection, not an outcome finding.</w:t>
      </w:r>
    </w:p>
    <w:p>
      <w:pPr>
        <w:pStyle w:val="SourceNote"/>
      </w:pPr>
      <w:r>
        <w:rPr>
          <w:b/>
        </w:rPr>
        <w:t>Available abstract (not full text):</w:t>
      </w:r>
      <w:r>
        <w:t xml:space="preserve"> This study analyses the relationships between economic development, environmental investments, and greenhouse gas emissions in the European Union for the period 2008-2022. Using correlation and regression analysis of data from Eurostat, the study assesses the impact of environmental protection expenditure and gross domestic product on greenhouse gas emissions. The results reveal a stable upward trend in environmental protection expenditure, especially in recent years, reflecting the European Union's growing commitment to sustainable development. At the same time, greenhouse gas emissions show an overall downward trend, with the sharpest decline between 2019 and 2020, likely due to the impact of the coronavirus disease pandemic. The correlation analysis confirms a significant inverse relationship between environmental investments and emissions, demonstrating the positive effect of "green" spending on reducing the carbon footprint. An important observation is that in many years, environmental expenditure grows at a faster rate than the European Union's gross domestic product, emphasizing the increased commitment to environmental issues even in conditions of economic growth. The regression analysis shows a strong relationship between the predictors (gross domestic product and environmental expenditure) and greenhouse gas emissions. Despite the expectation that economic growth woul</w:t>
      </w:r>
    </w:p>
    <w:p>
      <w:pPr/>
      <w:r>
        <w:rPr>
          <w:b/>
        </w:rPr>
        <w:t>POSSIBLE 2024:</w:t>
      </w:r>
      <w:r>
        <w:t xml:space="preserve"> Evaluating the expansion of African species into Europe driven by climate change — https://doi.org/10.1111/ddi.13840</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Aim Ongoing climate change is presently influencing the distribution ranges of numerous species, with both range expansions and latitudinal shifts being observed. In southern Europe, a biogeographical border that separates African and European biota, while at the same time acting as a migration bridge for many species, these changes are of particular relevance. This study aimed to analyse the responses of nine typically African birds to climate change to provide information on the ongoing and future occupation of Europe by these species. Location Western Palearctic and surrounding areas. Methods To this end, the distributions of the species in their native ranges were modelled, both in the present and in future climate scenarios, using their current breeding ranges and a set of topographic and climatic variables. The climatic favourability for the nine species was then combined using fuzzy logic. Results The results showed that southern Europe is highly favourable for our set of African birds, except for Rüppell's Vulture, and future forecasts indicated that this favourability would increase further north, again excluding the African Vulture. Main conclusions If the climate continues to warm, further arrivals of individuals are to be expected, increasing the possibility that self‐sustaining populations may become established in southern Europe. Furthermore, new African</w:t>
      </w:r>
    </w:p>
    <w:p>
      <w:pPr>
        <w:pStyle w:val="Heading2"/>
      </w:pPr>
      <w:r>
        <w:t>793.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2024:</w:t>
      </w:r>
      <w:r>
        <w:t xml:space="preserve"> Triple Collocation-Based Uncertainty Analysis and Data Fusion of Multi-Source Evapotranspiration Data Across China — https://doi.org/10.3390/atmos15121410</w:t>
      </w:r>
    </w:p>
    <w:p>
      <w:pPr/>
      <w:r>
        <w:rPr>
          <w:b/>
        </w:rPr>
        <w:t>Shared claim-specific concepts:</w:t>
      </w:r>
      <w:r>
        <w:t xml:space="preserve"> best, data, fusion, individual, nearly; EU scope visible. This is a provisional connection, not an outcome finding.</w:t>
      </w:r>
    </w:p>
    <w:p>
      <w:pPr>
        <w:pStyle w:val="SourceNote"/>
      </w:pPr>
      <w:r>
        <w:rPr>
          <w:b/>
        </w:rPr>
        <w:t>Available abstract (not full text):</w:t>
      </w:r>
      <w:r>
        <w:t xml:space="preserve"> Accurate estimation of evapotranspiration (ET) is critical for understanding land-atmospheric interactions. Despite the advancement in ET measurement, a single ET estimate still suffers from inherent uncertainties. Data fusion provides a viable option for improving ET estimation by leveraging the strengths of individual ET products, especially the triple collocation (TC) method, which has a prominent advantage in not relying on the availability of “ground truth” data. In this work, we proposed a framework for uncertainty analysis and data fusion based on the extended TC (ETC) and multiple TC (MTC) variants. Three different sources of ET products, i.e., the Global Land Evaporation and Amsterdam Model (GLEAM), the fifth generation of European Reanalysis-Land (ERA5-Land), and the complementary relationship model (CR), were selected as the TC triplet. The analyses were conducted based on different climate zones and land cover types across China. Results show that ETC presents outstanding performance as most areas conform to the zero-error correlations assumption, while nearly half of the areas violate this assumption when using MTC. In addition, the ETC method derives a lower root mean square error (RMSE) and higher correlation coefficient (Corr) than the MTC one over most climate zones and land cover types. Among the ET products, GLEAM performs the best, while CR performs the wors</w:t>
      </w:r>
    </w:p>
    <w:p>
      <w:pPr/>
      <w:r>
        <w:rPr>
          <w:b/>
        </w:rPr>
        <w:t>POSSIBLE 2024:</w:t>
      </w:r>
      <w:r>
        <w:t xml:space="preserve"> Fusion of Soccer and Sipa and Tumbang Lata Skills in Developing a Recreational Game — https://doi.org/10.36948/ijfmr.2024.v06i03.23700</w:t>
      </w:r>
    </w:p>
    <w:p>
      <w:pPr/>
      <w:r>
        <w:rPr>
          <w:b/>
        </w:rPr>
        <w:t>Shared claim-specific concepts:</w:t>
      </w:r>
      <w:r>
        <w:t xml:space="preserve"> best, fusion, used; EU scope not established. This is a provisional connection, not an outcome finding.</w:t>
      </w:r>
    </w:p>
    <w:p>
      <w:pPr>
        <w:pStyle w:val="SourceNote"/>
      </w:pPr>
      <w:r>
        <w:rPr>
          <w:b/>
        </w:rPr>
        <w:t>Available abstract (not full text):</w:t>
      </w:r>
      <w:r>
        <w:t xml:space="preserve"> Traditional games are seen as the best platform for "promoting peace, harmony, goodwill and camaraderie" in various Philippine communities especially since today’s generation is different, most kids are stuck on their phones, iPods, and PSPs while sitting in a corner. This study highlighted a newly developed game derived from the two (2) recreational games, Sipa and Tumba Lata called Patada Lata. A game development approach that blends personalization and innovation, customized to the specific requirements of various groups. The respondents were 5 coaches of each sport (soccer and futsal) and teachers from Mindanao State University- General Santos City. The descriptive qualitative design was used following the Successive Approximation Model in deriving the development of the recreational game. A researcher-made interview guide question was utilized to obtain the feedback, comments, and suggestions of the validators, experts, and the student's experiences in playing Patada Lata. Based on the results of the study, positive feedback on the feasibility and adaptability of the game was received from participants. It is concluded that Patada Lata is playable, valid, and suitable and is highly accepted by the respondents. It recommends massive implementation to further normalize the mechanics of the recreational game Patada Lata.</w:t>
      </w:r>
    </w:p>
    <w:p>
      <w:pPr/>
      <w:r>
        <w:rPr>
          <w:b/>
        </w:rPr>
        <w:t>POSSIBLE 2023:</w:t>
      </w:r>
      <w:r>
        <w:t xml:space="preserve"> Ionospheric irregularity reconstruction using multisource data fusion via deep learning — https://doi.org/10.5194/acp-23-13413-2023</w:t>
      </w:r>
    </w:p>
    <w:p>
      <w:pPr/>
      <w:r>
        <w:rPr>
          <w:b/>
        </w:rPr>
        <w:t>Shared claim-specific concepts:</w:t>
      </w:r>
      <w:r>
        <w:t xml:space="preserve"> data, fusion, used, observations; EU scope not established. This is a provisional connection, not an outcome finding.</w:t>
      </w:r>
    </w:p>
    <w:p>
      <w:pPr>
        <w:pStyle w:val="SourceNote"/>
      </w:pPr>
      <w:r>
        <w:rPr>
          <w:b/>
        </w:rPr>
        <w:t>Available abstract (not full text):</w:t>
      </w:r>
      <w:r>
        <w:t xml:space="preserve"> Abstract. The ionospheric sporadic E (Es) layer is the intense plasma irregularities between 80 and 130 km in altitude, which is generally unpredictable. Reconstructing the morphology of sporadic E layer is not only essential for understanding the nature of ionospheric irregularities and many other atmospheric coupling systems, but also useful to solve a broad range of demands for reliable radio communication of many sectors reliant on ionosphere-dependent decision-making. Despite the efforts of many empirical and theoretical models, a predictive algorithm with both high accuracy and high efficiency is still lacking. Here we introduce a new approach for Sporadic E Layer Forecast using Artificial Neural Networks (SELF-ANN). The prediction engine is trained by fusing observational data from multiple sources, including high-resolution ERA5 reanalysis dataset, COSMIC RO measurements, and integrated data from OMNI. The results show that the model can effectively reconstruct the morphology of the ionospheric E layer with intraseasonal variability by learning complex patterns. The model obtains good performance and generalization capability by applying multiple evaluation criteria. The random forest algorithm used for preliminary pro- cessing shows that local time, altitude, longitude, and latitude are significantly essential for forecasting the E-layer region. Extensive evaluations b</w:t>
      </w:r>
    </w:p>
    <w:p>
      <w:pPr/>
      <w:r>
        <w:rPr>
          <w:b/>
        </w:rPr>
        <w:t>POSSIBLE 2022:</w:t>
      </w:r>
      <w:r>
        <w:t xml:space="preserve"> The Determinants of Internet User Skills in Europe — https://doi.org/10.20944/preprints202205.0263.v1</w:t>
      </w:r>
    </w:p>
    <w:p>
      <w:pPr/>
      <w:r>
        <w:rPr>
          <w:b/>
        </w:rPr>
        <w:t>Shared claim-specific concepts:</w:t>
      </w:r>
      <w:r>
        <w:t xml:space="preserve"> best, obtained, data; EU scope visible. This is a provisional connection, not an outcome finding.</w:t>
      </w:r>
    </w:p>
    <w:p>
      <w:pPr>
        <w:pStyle w:val="SourceNote"/>
      </w:pPr>
      <w:r>
        <w:rPr>
          <w:b/>
        </w:rPr>
        <w:t>Available abstract (not full text):</w:t>
      </w:r>
      <w:r>
        <w:t xml:space="preserve"> The following article indicates the determinants of “Internet User Skills” among European countries based on the application of the database deriving from the DESI-Index. The data were analyzed using the following econometric models, namely: Panel Data with Fixed Effects, Panel Data with Random Effects, Pooled OLS, WLS, WLS corrected for heteroskedasticity. The Elbow method and the Silouette coefficient method were compared for the optimization of the number of clusters obtained by the k-Means algorithm. The result shows the presence of 5 clusters. A network analysis was carried out using the Euclidean distance with the result of identifying two network structures between some analyzed countries. subsequently a comparison was made between six different machine learning algorithms for the prediction of the future value of the variable of interest. The result shows that the best predictor algorithm is Gradient Boosted Tree Regression with an expected value of the predicted variable increasing by a value of 1.75%. Later a further comparison was made by comparing 6 algorithms with the increased data. The result shows that the best predictor is Simple Regression Tree. The interest variable is predicted to decrease by an amount equal to -6.099%. Statistical errors improve on average by 32.43% in the transition between the original data and the increased data.</w:t>
      </w:r>
    </w:p>
    <w:p>
      <w:pPr/>
      <w:r>
        <w:rPr>
          <w:b/>
        </w:rPr>
        <w:t>POSSIBLE 2022:</w:t>
      </w:r>
      <w:r>
        <w:t xml:space="preserve"> A Review of Multisensor Data Fusion Solutions in Smart Manufacturing: Systems and Trends — https://doi.org/10.3390/s22051734</w:t>
      </w:r>
    </w:p>
    <w:p>
      <w:pPr/>
      <w:r>
        <w:rPr>
          <w:b/>
        </w:rPr>
        <w:t>Shared claim-specific concepts:</w:t>
      </w:r>
      <w:r>
        <w:t xml:space="preserve"> data, fusion, used; EU scope not established. This is a provisional connection, not an outcome finding.</w:t>
      </w:r>
    </w:p>
    <w:p>
      <w:pPr>
        <w:pStyle w:val="SourceNote"/>
      </w:pPr>
      <w:r>
        <w:rPr>
          <w:b/>
        </w:rPr>
        <w:t>Available abstract (not full text):</w:t>
      </w:r>
      <w:r>
        <w:t xml:space="preserve"> Manufacturing companies increasingly become "smarter" as a result of the Industry 4.0 revolution. Multiple sensors are used for industrial monitoring of machines and workers in order to detect events and consequently improve the manufacturing processes, lower the respective costs, and increase safety. Multisensor systems produce big amounts of heterogeneous data. Data fusion techniques address the issue of multimodality by combining data from different sources and improving the results of monitoring systems. The current paper presents a detailed review of state-of-the-art data fusion solutions, on data storage and indexing from various types of sensors, feature engineering, and multimodal data integration. The review aims to serve as a guide for the early stages of an analytic pipeline of manufacturing prognosis. The reviewed literature showed that in fusion and in preprocessing, the methods chosen to be applied in this sector are beyond the state-of-the-art. Existing weaknesses and gaps that lead to future research goals were also identified.</w:t>
      </w:r>
    </w:p>
    <w:p>
      <w:pPr/>
      <w:r>
        <w:rPr>
          <w:b/>
        </w:rPr>
        <w:t>POSSIBLE 2021:</w:t>
      </w:r>
      <w:r>
        <w:t xml:space="preserve"> Sensitivity of Skill Score Metric to Validate Lagrangian Simulations in Coastal Areas: Recommendations for Search and Rescue Applications — https://doi.org/10.3389/fmars.2021.630388</w:t>
      </w:r>
    </w:p>
    <w:p>
      <w:pPr/>
      <w:r>
        <w:rPr>
          <w:b/>
        </w:rPr>
        <w:t>Shared claim-specific concepts:</w:t>
      </w:r>
      <w:r>
        <w:t xml:space="preserve"> best, skill, obtained, used, observations; EU scope not established. This is a provisional connection, not an outcome finding.</w:t>
      </w:r>
    </w:p>
    <w:p>
      <w:pPr>
        <w:pStyle w:val="SourceNote"/>
      </w:pPr>
      <w:r>
        <w:rPr>
          <w:b/>
        </w:rPr>
        <w:t>Available abstract (not full text):</w:t>
      </w:r>
      <w:r>
        <w:t xml:space="preserve"> Search and rescue (SAR) modeling applications, mostly based on Lagrangian tracking particle algorithms, rely on the accuracy of met-ocean forecast models. Skill assessment methods are therefore required to evaluate the performance of ocean models in predicting particle trajectories. The Skill Score (SS), based on the Normalized Cumulative Lagrangian Separation (NCLS) distance between simulated and satellite-tracked drifter trajectories, is a commonly used metric. However, its applicability in coastal areas, where most of the SAR incidents occur, is difficult and sometimes unfeasible, because of the high variability that characterizes the coastal dynamics and the lack of drifter observations. In this study, we assess the performance of four models available in the Ibiza Channel (Western Mediterranean Sea) and evaluate the applicability of the SS in such coastal risk-prone regions seeking for a functional implementation in the context of SAR operations. We analyze the SS sensitivity to different forecast horizons and examine the best way to quantify the average model performance, to avoid biased conclusions. Our results show that the SS increases with forecast time in most cases. At short forecast times (i.e., 6 h), the SS exhibits a much higher variability due to the short trajectory lengths observed compared to the separation distance obtained at timescales not properly resolve</w:t>
      </w:r>
    </w:p>
    <w:p>
      <w:pPr/>
      <w:r>
        <w:rPr>
          <w:b/>
        </w:rPr>
        <w:t>POSSIBLE 2021:</w:t>
      </w:r>
      <w:r>
        <w:t xml:space="preserve"> Information Quality Assessment for Data Fusion Systems — https://doi.org/10.3390/data6060060</w:t>
      </w:r>
    </w:p>
    <w:p>
      <w:pPr/>
      <w:r>
        <w:rPr>
          <w:b/>
        </w:rPr>
        <w:t>Shared claim-specific concepts:</w:t>
      </w:r>
      <w:r>
        <w:t xml:space="preserve"> data, fusion, used; EU scope not established. This is a provisional connection, not an outcome finding.</w:t>
      </w:r>
    </w:p>
    <w:p>
      <w:pPr>
        <w:pStyle w:val="SourceNote"/>
      </w:pPr>
      <w:r>
        <w:rPr>
          <w:b/>
        </w:rPr>
        <w:t>Available abstract (not full text):</w:t>
      </w:r>
      <w:r>
        <w:t xml:space="preserve"> This paper provides a comprehensive description of the current literature on data fusion, with an emphasis on Information Quality (IQ) and performance evaluation. This literature review highlights recent studies that reveal existing gaps, the need to find a synergy between data fusion and IQ, several research issues, and the challenges and pitfalls in this field. First, the main models, frameworks, architectures, algorithms, solutions, problems, and requirements are analyzed. Second, a general data fusion engineering process is presented to show how complex it is to design a framework for a specific application. Third, an IQ approach, as well as the different methodologies and frameworks used to assess IQ in information systems are addressed; in addition, data fusion systems are presented along with their related criteria. Furthermore, information on the context in data fusion systems and its IQ assessment are discussed. Subsequently, the issue of data fusion systems’ performance is reviewed. Finally, some key aspects and concluding remarks are outlined, and some future lines of work are gathered.</w:t>
      </w:r>
    </w:p>
    <w:p>
      <w:pPr/>
      <w:r>
        <w:rPr>
          <w:b/>
        </w:rPr>
        <w:t>POSSIBLE 2021:</w:t>
      </w:r>
      <w:r>
        <w:t xml:space="preserve"> Fusion of wildlife tracking and satellite geomagnetic data for the study of animal migration — https://doi.org/10.1186/s40462-021-00268-4</w:t>
      </w:r>
    </w:p>
    <w:p>
      <w:pPr/>
      <w:r>
        <w:rPr>
          <w:b/>
        </w:rPr>
        <w:t>Shared claim-specific concepts:</w:t>
      </w:r>
      <w:r>
        <w:t xml:space="preserve"> obtained, data, fusion, used, days; EU scope visible. This is a provisional connection, not an outcome finding.</w:t>
      </w:r>
    </w:p>
    <w:p>
      <w:pPr>
        <w:pStyle w:val="SourceNote"/>
      </w:pPr>
      <w:r>
        <w:rPr>
          <w:b/>
        </w:rPr>
        <w:t>Available abstract (not full text):</w:t>
      </w:r>
      <w:r>
        <w:t xml:space="preserve"> BACKGROUND: Migratory animals use information from the Earth's magnetic field on their journeys. Geomagnetic navigation has been observed across many taxa, but how animals use geomagnetic information to find their way is still relatively unknown. Most migration studies use a static representation of geomagnetic field and do not consider its temporal variation. However, short-term temporal perturbations may affect how animals respond - to understand this phenomenon, we need to obtain fine resolution accurate geomagnetic measurements at the location and time of the animal. Satellite geomagnetic measurements provide a potential to create such accurate measurements, yet have not been used yet for exploration of animal migration. METHODS: We develop a new tool for data fusion of satellite geomagnetic data (from the European Space Agency's Swarm constellation) with animal tracking data using a spatio-temporal interpolation approach. We assess accuracy of the fusion through a comparison with calibrated terrestrial measurements from the International Real-time Magnetic Observatory Network (INTERMAGNET). We fit a generalized linear model (GLM) to assess how the absolute error of annotated geomagnetic intensity varies with interpolation parameters and with the local geomagnetic disturbance. RESULTS: We find that the average absolute error of intensity is - 21.6 nT (95% CI [- 22.26555, - </w:t>
      </w:r>
    </w:p>
    <w:p>
      <w:pPr>
        <w:pStyle w:val="Heading2"/>
      </w:pPr>
      <w:r>
        <w:t>794.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2025:</w:t>
      </w:r>
      <w:r>
        <w:t xml:space="preserve"> An Iterative and Participatory Method for Mapping Inuit Knowledge of the Ice and Ocean in Nunatsiavut — https://doi.org/10.1007/s10745-025-00631-8</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In 2019 and 2021, we held participatory mapping workshops in Nain, Hopedale, Postville, Makkovik, and Rigolet (Nunatsiavut, Canada) to document Labrador Inuit’s knowledge of the sea ice and ocean environment. We provide an overview of the iterative and adaptable methodological approach we used to support collaborative and transcultural marine research, emphasizing participants’ experiences during the process. The participatory mapping method created a space that encouraged participants to recall journeys across different times and places. Sharing these journeys provided essential contextual details connecting social and cultural values to the marine environment, while also conveying information about ice and ocean conditions. This approach resulted in collecting spatial and qualitative narrative data related to the marine environment that reflected local climate patterns and snapshots of unusual events or conditions observed at specific times and locations. We highlight that maps mainly facilitate knowledge-sharing rather than generating knowledge itself. This is evident in how Inuit participants interacted with the maps as objects that evoked memories and prompted movement across land-, sea-, and ice-scapes.</w:t>
      </w:r>
    </w:p>
    <w:p>
      <w:pPr/>
      <w:r>
        <w:rPr>
          <w:b/>
        </w:rPr>
        <w:t>POSSIBLE 2024:</w:t>
      </w:r>
      <w:r>
        <w:t xml:space="preserve"> Sustainable transitions in age-friendly communities in Europe: a participatory approach — https://doi.org/10.14311/app.2024.46.0001</w:t>
      </w:r>
    </w:p>
    <w:p>
      <w:pPr/>
      <w:r>
        <w:rPr>
          <w:b/>
        </w:rPr>
        <w:t>Shared claim-specific concepts:</w:t>
      </w:r>
      <w:r>
        <w:t xml:space="preserve"> participatory, approach, involving, stakeholders, environmental, potential; EU scope visible. This is a provisional connection, not an outcome finding.</w:t>
      </w:r>
    </w:p>
    <w:p>
      <w:pPr>
        <w:pStyle w:val="SourceNote"/>
      </w:pPr>
      <w:r>
        <w:rPr>
          <w:b/>
        </w:rPr>
        <w:t>Available abstract (not full text):</w:t>
      </w:r>
      <w:r>
        <w:t xml:space="preserve"> The ageing European population is driving the demand for age-friendly communities that support older individuals’ health and well-being. As communities navigate this transition, Transition Design emerges as a promising approach for addressing complex social and environmental challenges. This study explores the potential of Transition Design to create age-friendly communities in Europe. Drawing on examples from several European countries, this paper describes the key principles of Transition Design and how they can be applied to the development of age-friendly communities. This article highlights the importance of participatory processes in involving older people and other stakeholders in the design process, and discusses the role of technology in creating more accessible and inclusive environments. It also considers some of the challenges of implementing a transition design approach in a European context. In conclusion, this study asserts that Transition Design offers a promising approach for creating sustainable, inclusive, and responsive age-friendly communities.</w:t>
      </w:r>
    </w:p>
    <w:p>
      <w:pPr/>
      <w:r>
        <w:rPr>
          <w:b/>
        </w:rPr>
        <w:t>POSSIBLE 2024:</w:t>
      </w:r>
      <w:r>
        <w:t xml:space="preserve"> Participatory approach for specifying user requirements for maritime border surveillance system — https://doi.org/10.54941/ahfe1005558</w:t>
      </w:r>
    </w:p>
    <w:p>
      <w:pPr/>
      <w:r>
        <w:rPr>
          <w:b/>
        </w:rPr>
        <w:t>Shared claim-specific concepts:</w:t>
      </w:r>
      <w:r>
        <w:t xml:space="preserve"> participatory, iterative, approach, users; EU scope visible. This is a provisional connection, not an outcome finding.</w:t>
      </w:r>
    </w:p>
    <w:p>
      <w:pPr>
        <w:pStyle w:val="SourceNote"/>
      </w:pPr>
      <w:r>
        <w:rPr>
          <w:b/>
        </w:rPr>
        <w:t>Available abstract (not full text):</w:t>
      </w:r>
      <w:r>
        <w:t xml:space="preserve"> Maritime safety and security in European waters constitute of organizationally multi-layered activities, also including cooperation, coordination and information exchange between numerous civilian and military authorities and European agencies. Risks and threats at sea are multifaceted with increasing complexity over time and managing them requires increased collaboration at various levels for achieving comprehensive situational awareness and operational efficiency. A multitasking platform integrating new sensing capabilities from coastal, low-altitude and high-altitude platforms with different external data sources and exploiting novel AI supported risk assessment and visualization capabilities may support national authorities in reaching these objectives. This paper reports a user requirements development process for such a system implementing participatory, iterative design approach. Security-critical development context may severely constrain requirements process in a multi-stakeholder environment. However, in-depth interaction between users and developers does ensure consistent, holistic, and unambiguous requirements process, thus increasing technology acceptance and project success.</w:t>
      </w:r>
    </w:p>
    <w:p>
      <w:pPr/>
      <w:r>
        <w:rPr>
          <w:b/>
        </w:rPr>
        <w:t>POSSIBLE 2024:</w:t>
      </w:r>
      <w:r>
        <w:t xml:space="preserve"> Sea Level Rise in Europe: Knowledge gaps identified through a participatory approach — https://doi.org/10.5194/sp-3-slre1-3-2024</w:t>
      </w:r>
    </w:p>
    <w:p>
      <w:pPr/>
      <w:r>
        <w:rPr>
          <w:b/>
        </w:rPr>
        <w:t>Shared claim-specific concepts:</w:t>
      </w:r>
      <w:r>
        <w:t xml:space="preserve"> participatory, approach, four, regional, users, understanding; EU scope visible. This is a provisional connection, not an outcome finding.</w:t>
      </w:r>
    </w:p>
    <w:p>
      <w:pPr>
        <w:pStyle w:val="SourceNote"/>
      </w:pPr>
      <w:r>
        <w:rPr>
          <w:b/>
        </w:rPr>
        <w:t>Available abstract (not full text):</w:t>
      </w:r>
      <w:r>
        <w:t xml:space="preserve"> Abstract. The Intergovernmental Panel on Climate Change (IPCC) plays a pivotal role in delivering information and knowledge on sea level rise (SLR), a global threat impacting coastlines worldwide. However, considerable disparities still persist in Europe in understanding and applying sea level science, evaluating its repercussions, and devising effective adaptation strategies. These are influenced by local factors such as diverse environments, socioeconomic conditions, policy contexts, and diversity in stakeholder involvement, producing in turn varying knowledge gaps and information needs across European sea basins. In this context, this paper presents the findings of a comprehensive scoping process carried out by the European Knowledge Hub on Sea Level Rise (KH-SLR) to define the outline of the first KH-SLR Assessment Report. It consists of the analysis of stakeholder responses to an online survey and insights shared during four regional workshops, aiming to pinpoint critical gaps in available information on SLR and its potential consequences in European basins, both from a scientific and policy perspective. The analysis was divided into three categories: i) SLR science and information, ii) SLR impacts, and iii) SLR adaptation policies and decision-making. Regarding SLR science and information, many respondents found that significant gaps exist in regional SLR projections and </w:t>
      </w:r>
    </w:p>
    <w:p>
      <w:pPr/>
      <w:r>
        <w:rPr>
          <w:b/>
        </w:rPr>
        <w:t>POSSIBLE 2024:</w:t>
      </w:r>
      <w:r>
        <w:t xml:space="preserve"> Participatory approaches to developing sustainable futures: a global perspective — https://openalex.org/W7214139289</w:t>
      </w:r>
    </w:p>
    <w:p>
      <w:pPr/>
      <w:r>
        <w:rPr>
          <w:b/>
        </w:rPr>
        <w:t>Shared claim-specific concepts:</w:t>
      </w:r>
      <w:r>
        <w:t xml:space="preserve"> participatory, approach, potential; EU scope not established. This is a provisional connection, not an outcome finding.</w:t>
      </w:r>
    </w:p>
    <w:p>
      <w:pPr>
        <w:pStyle w:val="SourceNote"/>
      </w:pPr>
      <w:r>
        <w:rPr>
          <w:b/>
        </w:rPr>
        <w:t>Available abstract (not full text):</w:t>
      </w:r>
      <w:r>
        <w:t xml:space="preserve"> This chapter provides a brief overview of the use of participatory processes for developing sustainable futures around the world, with a particular focus on the emergence of participatory methods in the late 1960s and early 1970s. It also reflects on the diversity of current participatory methods. The influences and perspectives of CoOPLAGE in the light of the global context are reflected on, including how its underlying methods stem from a cybernetic, complex systems and engaged political approach. The chapter concludes with potential evolutions and innovations of CoOPLAGE, such as opportunities for integration of emerging technologies and more creative envisioning methods</w:t>
      </w:r>
    </w:p>
    <w:p>
      <w:pPr/>
      <w:r>
        <w:rPr>
          <w:b/>
        </w:rPr>
        <w:t>POSSIBLE 2024:</w:t>
      </w:r>
      <w:r>
        <w:t xml:space="preserve"> Participatory Budgeting as an Inclusive Placemaking Driver: Different European and American Practices — https://doi.org/10.1163/9789004691919_005</w:t>
      </w:r>
    </w:p>
    <w:p>
      <w:pPr/>
      <w:r>
        <w:rPr>
          <w:b/>
        </w:rPr>
        <w:t>Shared claim-specific concepts:</w:t>
      </w:r>
      <w:r>
        <w:t xml:space="preserve"> participatory, four, understanding, considered; EU scope visible. This is a provisional connection, not an outcome finding.</w:t>
      </w:r>
    </w:p>
    <w:p>
      <w:pPr>
        <w:pStyle w:val="SourceNote"/>
      </w:pPr>
      <w:r>
        <w:rPr>
          <w:b/>
        </w:rPr>
        <w:t>Available abstract (not full text):</w:t>
      </w:r>
      <w:r>
        <w:t xml:space="preserve"> Participatory budgeting (PB) is a paradigm that empowers residents to directly decide how a portion of the public budget is spent.Specifically, residents deliberate over spending priorities and vote over how the budget should be allocated to different public projects.As such it is a mechanism of top-down transfer of decisions on the part of budgetary expenditure to citizens.In recent years, PB has become a central topic of discussion and an important field of innovation for those involved in local development, considered one of the most successful democratic innovations of the last 25 years.Participatory budgeting contributes significantly to participatory democracy, inclusiveness processes and placemaking, but some factors limit the scale of these aspects.However, a relatively simple idea -that "ordinary citizens" should have a direct say in public budgets that impact them -has travelled the world by the most unexpected routes and landed in unlikely sites.There is no precise model for PB programmes.While there are similar tenets and institutional mechanisms, PB programmes are structured in response to each city or state's particular political, social and economic environment.Therefore, it is necessary to consider to what extent PB strengthens the discussed processes, whether it allows reaching new, inactive groups of citizens and includes them in the decision-making process re</w:t>
      </w:r>
    </w:p>
    <w:p>
      <w:pPr/>
      <w:r>
        <w:rPr>
          <w:b/>
        </w:rPr>
        <w:t>POSSIBLE 2023:</w:t>
      </w:r>
      <w:r>
        <w:t xml:space="preserve"> Participatory curriculum development: The case of EUTOPIA , a European university alliance — https://doi.org/10.1002/curj.243</w:t>
      </w:r>
    </w:p>
    <w:p>
      <w:pPr/>
      <w:r>
        <w:rPr>
          <w:b/>
        </w:rPr>
        <w:t>Shared claim-specific concepts:</w:t>
      </w:r>
      <w:r>
        <w:t xml:space="preserve"> participatory, approach, involving; EU scope visible. This is a provisional connection, not an outcome finding.</w:t>
      </w:r>
    </w:p>
    <w:p>
      <w:pPr>
        <w:pStyle w:val="SourceNote"/>
      </w:pPr>
      <w:r>
        <w:rPr>
          <w:b/>
        </w:rPr>
        <w:t>Available abstract (not full text):</w:t>
      </w:r>
      <w:r>
        <w:t xml:space="preserve"> Abstract This paper reports on a model for participatory curriculum development that builds on a ‘connected learning communities’ (CLC) approach. We describe and analyse the trajectory of six CLC‐cases using a framework informed by Social Practice Theory (SPT). The activities we report on took place during the first pilot year (2020–2021) of a transnational University Alliance involving six European universities. Data were drawn from document analysis, direct observations and ongoing dialogue with students and staff involved in the CLCs. Our findings illustrate the affordances of building on existing practice for curriculum development in international contexts and point out the importance of well‐equipped collaborative environments that encourage critical analysis and active experimentation. We found that the CLC model and SPT framework are helpful contributions in the field of curriculum development and argue that connected curriculum‐making approaches help shape versatile environments that can effectively transform and enhance educational provisions, experiences and outcomes.</w:t>
      </w:r>
    </w:p>
    <w:p>
      <w:pPr>
        <w:pStyle w:val="Heading2"/>
      </w:pPr>
      <w:r>
        <w:t>795.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2024:</w:t>
      </w:r>
      <w:r>
        <w:t xml:space="preserve"> Immigration and Occupational Shortage in Western European Countries — https://openalex.org/W7200861707</w:t>
      </w:r>
    </w:p>
    <w:p>
      <w:pPr/>
      <w:r>
        <w:rPr>
          <w:b/>
        </w:rPr>
        <w:t>Shared claim-specific concepts:</w:t>
      </w:r>
      <w:r>
        <w:t xml:space="preserve"> occupational, over, increase, occupations; EU scope visible. This is a provisional connection, not an outcome finding.</w:t>
      </w:r>
    </w:p>
    <w:p>
      <w:pPr>
        <w:pStyle w:val="SourceNote"/>
      </w:pPr>
      <w:r>
        <w:rPr>
          <w:b/>
        </w:rPr>
        <w:t>Available abstract (not full text):</w:t>
      </w:r>
      <w:r>
        <w:t xml:space="preserve"> In Western European countries where immigration rates are rising and labour shortages persist, the former could potentially serve as a solution to the latter. We examine the impact of an exogenous increase in migrant workers on occupational shortages in 14 Western European countries over the period 2006- 2018. We construct an occupational shortage indicator that includes five components representing supply and demand for each country and occupation at the 2-digit level each year. In our model, which assesses the influence of the migrant share on the occupational shortage index and identifies occupations facing shortages, we show that immigration flows reduce occupational shortages, with a more pronounced effect observed for migrants from non-EU countries. By recognising the contribution of migrants to addressing occupational shortages, policymakers can implement more effective strategies for managing migration flows and harnessing the potential of migrant workers not only in the EU but globally. Note:</w:t>
      </w:r>
    </w:p>
    <w:p>
      <w:pPr/>
      <w:r>
        <w:rPr>
          <w:b/>
        </w:rPr>
        <w:t>POSSIBLE 2024:</w:t>
      </w:r>
      <w:r>
        <w:t xml:space="preserve"> Positions of the Leading European Parties on the Eve of the European Parliament Elections 2024 — https://doi.org/10.31857/s0201708324030069</w:t>
      </w:r>
    </w:p>
    <w:p>
      <w:pPr/>
      <w:r>
        <w:rPr>
          <w:b/>
        </w:rPr>
        <w:t>Shared claim-specific concepts:</w:t>
      </w:r>
      <w:r>
        <w:t xml:space="preserve"> demonstrates, main, over, next, increasing, well; EU scope visible. This is a provisional connection, not an outcome finding.</w:t>
      </w:r>
    </w:p>
    <w:p>
      <w:pPr>
        <w:pStyle w:val="SourceNote"/>
      </w:pPr>
      <w:r>
        <w:rPr>
          <w:b/>
        </w:rPr>
        <w:t>Available abstract (not full text):</w:t>
      </w:r>
      <w:r>
        <w:t xml:space="preserve"> The article analyses the main trends in the transformation of the party and political system of the European Union on the eve of the next elections to the European Parliament in June 2024. The article examines the main events of recent years that had the main impact on the process of this transformation. New trends in the change of this system were noted, which included strengthening the popularity and influence of Eurosceptic parties, increasing internal tension concerning relations between old and new members of the European Union. The research demonstrates that following the results of the national parliamentary elections held over the past five years in almost all EU member states, the influence of the leading political parties, which for many years occupied dominant positions in the executive and representative authorities of these countries, has significantly decreased. The phenomenon of increasing representation of women in the bodies of the EU and its member states and its impact on their formation is considered. The influence of changes in the social structure of the European community and their impact on the electoral preferences of Europeans is analysed. The preelection positions of all leading European parties that currently have their factions in the European Parliament are presented, including their election manifestos and candidacies for the post of the President</w:t>
      </w:r>
    </w:p>
    <w:p>
      <w:pPr/>
      <w:r>
        <w:rPr>
          <w:b/>
        </w:rPr>
        <w:t>POSSIBLE 2024:</w:t>
      </w:r>
      <w:r>
        <w:t xml:space="preserve"> The Struggle over Law in Europe — https://doi.org/10.4324/9781003302094</w:t>
      </w:r>
    </w:p>
    <w:p>
      <w:pPr/>
      <w:r>
        <w:rPr>
          <w:b/>
        </w:rPr>
        <w:t>Shared claim-specific concepts:</w:t>
      </w:r>
      <w:r>
        <w:t xml:space="preserve"> over, next, well;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2023:</w:t>
      </w:r>
      <w:r>
        <w:t xml:space="preserve"> Feeding Next‐Generation Nanomedicines to Europe: Regulatory and Quality Challenges — https://doi.org/10.1002/adhm.202301956</w:t>
      </w:r>
    </w:p>
    <w:p>
      <w:pPr/>
      <w:r>
        <w:rPr>
          <w:b/>
        </w:rPr>
        <w:t>Shared claim-specific concepts:</w:t>
      </w:r>
      <w:r>
        <w:t xml:space="preserve"> over, next, scientific, innovation; EU scope visible. This is a provisional connection, not an outcome finding.</w:t>
      </w:r>
    </w:p>
    <w:p>
      <w:pPr>
        <w:pStyle w:val="SourceNote"/>
      </w:pPr>
      <w:r>
        <w:rPr>
          <w:b/>
        </w:rPr>
        <w:t>Available abstract (not full text):</w:t>
      </w:r>
      <w:r>
        <w:t xml:space="preserve"> New and innovative nanomedicines have been developed and marketed over the past half-century, revolutionizing the prognosis of many human diseases. Although a univocal regulatory definition is not yet available worldwide, the term "nanomedicines" generally identifies medicinal products that use nanotechnology in their design or production. Due to the intrinsic high structural complexity of these products, the scientific and regulatory communities are reflecting on how to revise the regulatory framework to provide a more appropriate benefit/risk balance to authorize them on the market, considering the impact of their peculiar physicochemical features in the evaluation of efficacy and safety patterns. Herein, a critical perspective is provided on the current open issues regarding regulatory qualification and physicochemical characterization of nanosystems considering the current European regulatory framework on nanomedicine products. Practicable paths for improving their quality assurance and predicting their fate in vivo are also argued. Strengthening the multilevel alliance among academic institutions, industrial stakeholders, and regulatory authorities seems strategic to support innovation by standard approaches (e.g., qualification, characterization, risk assessment), and to expand current knowledge, also benefiting from the new opportunities offered by artificial intelligenc</w:t>
      </w:r>
    </w:p>
    <w:p>
      <w:pPr/>
      <w:r>
        <w:rPr>
          <w:b/>
        </w:rPr>
        <w:t>POSSIBLE 2022:</w:t>
      </w:r>
      <w:r>
        <w:t xml:space="preserve"> Occupational Therapists and COVID-19 Pandemic: An Observational Survey in Europe — https://doi.org/10.15453/2168-6408.1923</w:t>
      </w:r>
    </w:p>
    <w:p>
      <w:pPr/>
      <w:r>
        <w:rPr>
          <w:b/>
        </w:rPr>
        <w:t>Shared claim-specific concepts:</w:t>
      </w:r>
      <w:r>
        <w:t xml:space="preserve"> main, occupational, professionals, well, health; EU scope visible. This is a provisional connection, not an outcome finding.</w:t>
      </w:r>
    </w:p>
    <w:p>
      <w:pPr>
        <w:pStyle w:val="SourceNote"/>
      </w:pPr>
      <w:r>
        <w:rPr>
          <w:b/>
        </w:rPr>
        <w:t>Available abstract (not full text):</w:t>
      </w:r>
      <w:r>
        <w:t xml:space="preserve"> Background: The COVID-19 pandemic has resulted in a health care emergency in Europe since the first wave in 2020. Several challenges have arisen for occupational therapists, as well as all the health care professionals. The aim of this study was to determine what occupational therapists have changed to adapt their therapeutic processes for this catastrophic situation. Method: An online survey was developed and sent in conjunction with the Council of Occupational Therapy for European Countries (COTEC) to European national associations of occupational therapists. Results: The study was based on a sample of 65 occupational therapists who worked with people with COVID-19. More than half of the occupational therapists (54.8%) had changed departments. The main needs patients expressed (n = 136) during hospitalization were to have social contacts (30.9%), and the main clinical complaints (n = 144) were motor impairment and fatigue (35.4%) and depression (25.7%). The most frequently reported goal (n = 141) was recovery of physical performance and fatigue management (32.6%). Among the emotions mentioned by occupational therapists, negative emotions (76%) were the most common. Conclusion: European occupational therapists demonstrated flexibility and resilience to deal with clinical and organizational challenges during the COVID-19 emergency.</w:t>
      </w:r>
    </w:p>
    <w:p>
      <w:pPr/>
      <w:r>
        <w:rPr>
          <w:b/>
        </w:rPr>
        <w:t>POSSIBLE 2022:</w:t>
      </w:r>
      <w:r>
        <w:t xml:space="preserve"> Occupational COPD —The most under‐recognized occupational lung disease? — https://doi.org/10.1111/resp.14272</w:t>
      </w:r>
    </w:p>
    <w:p>
      <w:pPr/>
      <w:r>
        <w:rPr>
          <w:b/>
        </w:rPr>
        <w:t>Shared claim-specific concepts:</w:t>
      </w:r>
      <w:r>
        <w:t xml:space="preserve"> main, occupational, health, providing; EU scope not established. This is a provisional connection, not an outcome finding.</w:t>
      </w:r>
    </w:p>
    <w:p>
      <w:pPr>
        <w:pStyle w:val="SourceNote"/>
      </w:pPr>
      <w:r>
        <w:rPr>
          <w:b/>
        </w:rPr>
        <w:t>Available abstract (not full text):</w:t>
      </w:r>
      <w:r>
        <w:t xml:space="preserve"> Chronic obstructive pulmonary disease (COPD) is caused by exposure to noxious particles and gases. Smoking is the main risk factor, but other factors are also associated with COPD. Occupational exposure to vapours, gases, dusts and fumes contributes to the development and progression of COPD, accounting for a population attributable fraction of 14%. Workplace pollutants, in particular inorganic dust, can initiate airway damage and inflammation, which are the hallmarks of COPD pathogenesis. Occupational COPD is still underdiagnosed, mainly due to the challenges of assessing the occupational component of the disease in clinical settings, especially if other risk factors are present. There is a need for specific education and training for clinicians, and research with a focus on evaluating the role of occupational exposure in causing COPD. Early diagnosis and identification of occupational causes is very important to prevent further decline in lung function and to reduce the health and socio-economic burden of COPD. Establishing details of the occupational history by general practitioners or respiratory physicians could help to define the occupational burden of COPD for individual patients, providing the first useful interventions (smoking cessation, best therapeutic management, etc.). Once patients are diagnosed with occupational COPD, there is a wide international variation in a</w:t>
      </w:r>
    </w:p>
    <w:p>
      <w:pPr/>
      <w:r>
        <w:rPr>
          <w:b/>
        </w:rPr>
        <w:t>POSSIBLE 2022:</w:t>
      </w:r>
      <w:r>
        <w:t xml:space="preserve"> European and American chestnuts: An overview of the main threats and control efforts — https://doi.org/10.3389/fpls.2022.951844</w:t>
      </w:r>
    </w:p>
    <w:p>
      <w:pPr/>
      <w:r>
        <w:rPr>
          <w:b/>
        </w:rPr>
        <w:t>Shared claim-specific concepts:</w:t>
      </w:r>
      <w:r>
        <w:t xml:space="preserve"> main, over, importance, significant; EU scope visible. This is a provisional connection, not an outcome finding.</w:t>
      </w:r>
    </w:p>
    <w:p>
      <w:pPr>
        <w:pStyle w:val="SourceNote"/>
      </w:pPr>
      <w:r>
        <w:rPr>
          <w:b/>
        </w:rPr>
        <w:t>Available abstract (not full text):</w:t>
      </w:r>
      <w:r>
        <w:t xml:space="preserve"> Chestnuts are multipurpose trees significant for the economy and wildlife. These trees are currently found around the globe, demonstrating their genetic adaptation to different environmental conditions. Several biotic and abiotic stresses have challenged these species, contributing to the decline of European chestnut production and the functional extinction of the American chestnut. Several efforts started over the last century to understand the cellular, molecular, and genetic interactions behind all chestnut biotic and abiotic interactions. Most efforts have been toward breeding for the primary diseases, chestnut blight and ink disease caused by the pathogens, Cryphonectria parasitica and Phytophthora cinnamomi , respectively. In Europe and North America, researchers have been using the Asian chestnut species, which co-evolved with the pathogens, to introgress resistance genes into the susceptible species. Breeding woody trees has several limitations which can be mostly related to the long life cycles of these species and the big genome landscapes. Consequently, it takes decades to improve traits of interest, such as resistance to pathogens. Currently, the availability of genome sequences and next-generation sequencing techniques may provide new tools to help overcome most of the problems tree breeding is still facing. This review summarizes European and American chestnut’s m</w:t>
      </w:r>
    </w:p>
    <w:p>
      <w:pPr/>
      <w:r>
        <w:rPr>
          <w:b/>
        </w:rPr>
        <w:t>POSSIBLE 2022:</w:t>
      </w:r>
      <w:r>
        <w:t xml:space="preserve"> Scenarios for vocational education and training in Europe in the 21st century — https://doi.org/10.1556/063.2021.00116</w:t>
      </w:r>
    </w:p>
    <w:p>
      <w:pPr/>
      <w:r>
        <w:rPr>
          <w:b/>
        </w:rPr>
        <w:t>Shared claim-specific concepts:</w:t>
      </w:r>
      <w:r>
        <w:t xml:space="preserve"> demonstrates, main, over, next; EU scope visible. This is a provisional connection, not an outcome finding.</w:t>
      </w:r>
    </w:p>
    <w:p>
      <w:pPr>
        <w:pStyle w:val="SourceNote"/>
      </w:pPr>
      <w:r>
        <w:rPr>
          <w:b/>
        </w:rPr>
        <w:t>Available abstract (not full text):</w:t>
      </w:r>
      <w:r>
        <w:t xml:space="preserve"> Abstract Building on the findings of Cedefop’s research project ‘The changing nature and role of VET in Europe’ (2015–18), this article outlines the development and transformation of European VET over the last two decades. Exploring change from epistemological-pedagogical, institutional and socio-economic perspectives, the research not only illustrates the stability and path dependence of national VET systems (and how this sustains overall VET-diversity in Europe), it also demonstrates how the combination of incremental change and major societal and economic shocks shift the orientation of VET. This mapping and analysis of the past is used to outline possible scenarios for the future of vocational education and training in Europe. Three main scenarios - pluralistic, distinctive and special-purpose VET - illustrate the different directions VET can take in the next two decades and the challenges and opportunities involved in this. The final part of the article discusses the potential use of the scenario-approach and how this is taken forward in Cedefop’s follow-up project on the Future of VET (2019–2022).</w:t>
      </w:r>
    </w:p>
    <w:p>
      <w:pPr/>
      <w:r>
        <w:rPr>
          <w:b/>
        </w:rPr>
        <w:t>POSSIBLE 2021:</w:t>
      </w:r>
      <w:r>
        <w:t xml:space="preserve"> Occupational Exposure to Diisocyanates in the European Union — https://doi.org/10.1093/annweh/wxab021</w:t>
      </w:r>
    </w:p>
    <w:p>
      <w:pPr/>
      <w:r>
        <w:rPr>
          <w:b/>
        </w:rPr>
        <w:t>Shared claim-specific concepts:</w:t>
      </w:r>
      <w:r>
        <w:t xml:space="preserve"> main, occupational, health; EU scope visible. This is a provisional connection, not an outcome finding.</w:t>
      </w:r>
    </w:p>
    <w:p>
      <w:pPr>
        <w:pStyle w:val="SourceNote"/>
      </w:pPr>
      <w:r>
        <w:rPr>
          <w:b/>
        </w:rPr>
        <w:t>Available abstract (not full text):</w:t>
      </w:r>
      <w:r>
        <w:t xml:space="preserve"> OBJECTIVES: Diisocyanates are a chemical group that are widely used at workplaces in many sectors. They are also potent skin- and respiratory sensitizers. Exposure to diisocyanates is a main cause of occupational asthma in the European Union. To reduce occupational exposure to diisocyanates and consequently the cases of diisocyanate-induced asthma, a restriction on diisocyanates was recently adopted under the REACH Regulation in the European Union. METHODS: A comprehensive evaluation of the data on occupational exposure to the most important diisocyanates at workplaces was made and is reported here. The diisocyanates considered are methylene diphenyl diisocyanate (MDI), toluene diisocyanate (TDI), and hexamethylene diisocyanate (HDI), accounting for more than 95% of the market volume in the EU. The exposure assessment is based on data from Chemical Safety Reports (CSRs) of REACH Registration Dossiers, workplace air monitoring data from Germany, from the UK Health and Safety Executive (HSE), and literature data relevant for the EU, and the USA. RESULTS: Occupational exposure to diisocyanates is particularly relevant in: (i) C.A.S.E. applications (Coatings, Adhesives, Sealants, Elastomers), (ii) production of polyurethanes (PUs) (e.g. slab-stock foam), (iii) handling of partly uncured PU products (e.g. cutting, demoulding, spray application of foam), and (iv) when diisocyanates/P</w:t>
      </w:r>
    </w:p>
    <w:p>
      <w:pPr>
        <w:pStyle w:val="Heading2"/>
      </w:pPr>
      <w:r>
        <w:t>796.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2024:</w:t>
      </w:r>
      <w:r>
        <w:t xml:space="preserve"> EU Railways: Contribution to Decarbonisation Solution — https://doi.org/10.31857/s0201708324020062</w:t>
      </w:r>
    </w:p>
    <w:p>
      <w:pPr/>
      <w:r>
        <w:rPr>
          <w:b/>
        </w:rPr>
        <w:t>Shared claim-specific concepts:</w:t>
      </w:r>
      <w:r>
        <w:t xml:space="preserve"> analyses, decarbonisation, passenger, increase, greenhouse; EU scope visible. This is a provisional connection, not an outcome finding.</w:t>
      </w:r>
    </w:p>
    <w:p>
      <w:pPr>
        <w:pStyle w:val="SourceNote"/>
      </w:pPr>
      <w:r>
        <w:rPr>
          <w:b/>
        </w:rPr>
        <w:t>Available abstract (not full text):</w:t>
      </w:r>
      <w:r>
        <w:t xml:space="preserve"> The EU transport system is entering the next phase of fundamental transformation. The railways are becoming one of the key tools for implementing the Green Deal and solving ecological problems for the period up to 2050. A range of documents aimed at advancing the realisation of the Trans-European Transport Network (TEN-T) was adopted at the Union level in recent years. Transfer a large proportion of transport from road and aviation to rail, multimodal transportation, advanced construction and modernisation of high-speed railway lines (HSR) are the priorities of the policy. This article has a twofold objective. First, it analyses the condition and market environment of the railways. Second, it investigates the possibilities of implementing the TEN-T program to reduce greenhouse gas (GHG) emissions, increase multimodal transportation and the construction/upgrading new HSR. The results suggest that a set of obstacles impede GHG emissions reduction in the shifting of transport from road and aviation to rail, multimodal transportation and the construction of HSR. The main trend is that rail transport activity in the EU remained almost constant from 2010 to 2022 with a slight increase in passenger transport and some structural changes. Within the next 25 years, the most tangible impact for the EU economy, ecology and society of all modes of transport can be provided by HSR expansion.</w:t>
      </w:r>
    </w:p>
    <w:p>
      <w:pPr/>
      <w:r>
        <w:rPr>
          <w:b/>
        </w:rPr>
        <w:t>POSSIBLE 2024:</w:t>
      </w:r>
      <w:r>
        <w:t xml:space="preserve"> Models and methods for transport demand and decarbonisation: a review — https://doi.org/10.1088/1748-9326/ad6b3a</w:t>
      </w:r>
    </w:p>
    <w:p>
      <w:pPr/>
      <w:r>
        <w:rPr>
          <w:b/>
        </w:rPr>
        <w:t>Shared claim-specific concepts:</w:t>
      </w:r>
      <w:r>
        <w:t xml:space="preserve"> decarbonisation, greenhouse; EU scope not established. This is a provisional connection, not an outcome finding.</w:t>
      </w:r>
    </w:p>
    <w:p>
      <w:pPr>
        <w:pStyle w:val="SourceNote"/>
      </w:pPr>
      <w:r>
        <w:rPr>
          <w:b/>
        </w:rPr>
        <w:t>Available abstract (not full text):</w:t>
      </w:r>
      <w:r>
        <w:t xml:space="preserve"> Abstract Rising global greenhouse gas emissions from the transport sector pose a major challenge to meeting the targets of the Paris Agreement. This raises questions of how technology, infrastructure and societal trends and policies can influence transport demand and thus also emissions, energy demand and service levels. Here, we review the literature on factors relevant to shifting total transport activity and mode shares, categorised into exogenous drivers, socio-behavioural, infrastructural and technological aspects. For each factor, we summarise current approaches to modelling and measuring the impact of each factor on transport systems, resulting in a proposed taxonomy to classify transport demand modelling approaches. We then comment on the suitability and sufficiency of existing modelling approaches for representing scenarios consistent with the Paris Agreement targets in models of the entire global energy system. Factors that affect transport demand are currently insufficiently represented in integrated assessment modelling approaches and thus emission reduction pathways. Improving the comprehension and representation of diverse factors that affect transport demand in global energy systems models, by incorporating features of complementary models with high resolution representations of transport, holds promise for generating well informed policy recommendations. Accordi</w:t>
      </w:r>
    </w:p>
    <w:p>
      <w:pPr/>
      <w:r>
        <w:rPr>
          <w:b/>
        </w:rPr>
        <w:t>POSSIBLE 2024:</w:t>
      </w:r>
      <w:r>
        <w:t xml:space="preserve"> Optimal decarbonisation pathway for mining truck fleets — https://doi.org/10.1016/j.jai.2024.03.003</w:t>
      </w:r>
    </w:p>
    <w:p>
      <w:pPr/>
      <w:r>
        <w:rPr>
          <w:b/>
        </w:rPr>
        <w:t>Shared claim-specific concepts:</w:t>
      </w:r>
      <w:r>
        <w:t xml:space="preserve"> analyses, decarbonisation, case; EU scope not established. This is a provisional connection, not an outcome finding.</w:t>
      </w:r>
    </w:p>
    <w:p>
      <w:pPr>
        <w:pStyle w:val="SourceNote"/>
      </w:pPr>
      <w:r>
        <w:rPr>
          <w:b/>
        </w:rPr>
        <w:t>Available abstract (not full text):</w:t>
      </w:r>
      <w:r>
        <w:t xml:space="preserve"> The decarbonisation of fossil fuel powered mine truck fleets, which can contribute up to 80% of total emissions in open pit mines, is critical for the mining industry. This study investigates the optimal decarbonisation framework for mining truck fleets to determine the optimal decarbonisation pathway to minimise the life cycle costs during the planning period. Notably, our proposed framework incorporates power generation, negative carbon technologies, and carbon trading. Technical, financial, and environmental models of decarbonisation technologies are established, capturing regional variations and dynamic characteristics such as cost trends and carbon capture efficiency. The dynamic natures of these characteristics pose challenges for using the cost-effective analyses approach to find the optimal decarbonisation pathway. To address this, we introduce a mixed-integer programming optimisation based framework designed to optimise the decarbonisation pathway. A case study for the optimal decarbonisation pathway of truck fleets in a South African coal mine is conducted to illustrate the applicability of the proposed model. Results indicate that the optimal decarbonisation pathway is significantly influenced by factors such as land cost, annual budget, and carbon trading prices. The proposed method provides invaluable guidance for transitioning towards a cleaner and more sustainabl</w:t>
      </w:r>
    </w:p>
    <w:p>
      <w:pPr/>
      <w:r>
        <w:rPr>
          <w:b/>
        </w:rPr>
        <w:t>POSSIBLE 2024:</w:t>
      </w:r>
      <w:r>
        <w:t xml:space="preserve"> Accelerating Light-Duty Fleet Decarbonisation through Energy Efficiency Audits: Results and Methodology Assessment — https://doi.org/10.1051/e3sconf/202448702001</w:t>
      </w:r>
    </w:p>
    <w:p>
      <w:pPr/>
      <w:r>
        <w:rPr>
          <w:b/>
        </w:rPr>
        <w:t>Shared claim-specific concepts:</w:t>
      </w:r>
      <w:r>
        <w:t xml:space="preserve"> decarbonisation, fleet, mobility; EU scope visible. This is a provisional connection, not an outcome finding.</w:t>
      </w:r>
    </w:p>
    <w:p>
      <w:pPr>
        <w:pStyle w:val="SourceNote"/>
      </w:pPr>
      <w:r>
        <w:rPr>
          <w:b/>
        </w:rPr>
        <w:t>Available abstract (not full text):</w:t>
      </w:r>
      <w:r>
        <w:t xml:space="preserve"> The transport sector is responsible for 37% of the energy consumption in Portugal (70% of it due to road transportation), supplied almost completely by fossil fuels. Portugal must reduce these sector’s emissions by 98% to achieve carbon neutrality by 2050, thus making transportation a crucial sector for a successful decarbonisation of the economy. This scenario sparked action at ADENE – the Portuguese Energy Agency to create MOVE+, an auditing methodology that incentivises and guides a broad group of stakeholders to act on the decarbonisation of mobility, starting with light duty and freight fleets. It comprises a framework to rate fleets on energy efficiency which enables regular implementation and monitoring of decarbonisation measures in areas such as vehicle technology, telematics, driver training, tyre selection, and maintenance. This paper shows that the application of the MOVE+ methodology helped identify an electrification potential of 24% on average per fleet, according to the Best-in-Class (whereas the analysed sample shows 20% of electrification). A multiple linear regression model validates the correlation between MOVE+ obtained scores, in the evaluated dimensions, and the fleet’s specific CO2 emissions. The methodology also allows us to assess that Portugal is lagging to meet the carbon neutrality target for the transport sector by 2050. Such assessment allows us t</w:t>
      </w:r>
    </w:p>
    <w:p>
      <w:pPr/>
      <w:r>
        <w:rPr>
          <w:b/>
        </w:rPr>
        <w:t>POSSIBLE 2023:</w:t>
      </w:r>
      <w:r>
        <w:t xml:space="preserve"> “The impact of energy efficiency and decarbonisation policies on the European road transport sector” — https://doi.org/10.1016/j.tra.2023.103623</w:t>
      </w:r>
    </w:p>
    <w:p>
      <w:pPr/>
      <w:r>
        <w:rPr>
          <w:b/>
        </w:rPr>
        <w:t>Shared claim-specific concepts:</w:t>
      </w:r>
      <w:r>
        <w:t xml:space="preserve"> analyses, decarbonisation, passenger, fleet, vehicles; EU scope visible. This is a provisional connection, not an outcome finding.</w:t>
      </w:r>
    </w:p>
    <w:p>
      <w:pPr>
        <w:pStyle w:val="SourceNote"/>
      </w:pPr>
      <w:r>
        <w:rPr>
          <w:b/>
        </w:rPr>
        <w:t>Available abstract (not full text):</w:t>
      </w:r>
      <w:r>
        <w:t xml:space="preserve"> This paper analyses historical energy consumption trends of the EU road transport sector and examines the role of key determinants, such as economic and population growth, fuel prices, passenger and tonne-kilometres and vehicle fleet characteristics. In light of the EU 2030 and 2050 energy and climate targets, the paper assesses the energy efficiency and decarbonisation progress from 2000 to 2018. A detailed analysis is carried out using a balanced panel dataset from 1995 to 2018 and a test for causality between energy consumption and the selected explanatory variables. The results suggest that the declining trend of the normalised energy consumption of cars, trucks and light vehicles, which both dropped significantly in 2018 compared to 2000, can be related to energy efficiency and decarbonisation policies adopted by the EU and its Member States over the studied period. Decomposition analysis based on the Logarithmic Mean Divisia Index technique confirms the role of energy efficiency gains in curbing energy consumption of road transport, even with the strong upward force exerted by motorisation and population effects, especially in passenger transport. It also suggests that during the recession years (2008–2013), road transport consumption fell due to a sharp drop in the mileage but not in the motorisation effect, which continued to drive up consumption even in this period. De</w:t>
      </w:r>
    </w:p>
    <w:p>
      <w:pPr/>
      <w:r>
        <w:rPr>
          <w:b/>
        </w:rPr>
        <w:t>POSSIBLE 2023:</w:t>
      </w:r>
      <w:r>
        <w:t xml:space="preserve"> Rapid decarbonisation of Paris, Lyon and Marseille's power, transport and building sectors by coupling rooftop solar PV and electric vehicles — https://doi.org/10.1016/j.esd.2023.04.002</w:t>
      </w:r>
    </w:p>
    <w:p>
      <w:pPr/>
      <w:r>
        <w:rPr>
          <w:b/>
        </w:rPr>
        <w:t>Shared claim-specific concepts:</w:t>
      </w:r>
      <w:r>
        <w:t xml:space="preserve"> decarbonisation, electric, vehicles;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Decarbonisation of passenger light-duty vehicles using spatially resolved TIMES-Ireland Model — https://doi.org/10.1016/j.apenergy.2022.119078</w:t>
      </w:r>
    </w:p>
    <w:p>
      <w:pPr/>
      <w:r>
        <w:rPr>
          <w:b/>
        </w:rPr>
        <w:t>Shared claim-specific concepts:</w:t>
      </w:r>
      <w:r>
        <w:t xml:space="preserve"> decarbonisation, passenger, car, fleet, mobility, electric; EU scope visible. This is a provisional connection, not an outcome finding.</w:t>
      </w:r>
    </w:p>
    <w:p>
      <w:pPr>
        <w:pStyle w:val="SourceNote"/>
      </w:pPr>
      <w:r>
        <w:rPr>
          <w:b/>
        </w:rPr>
        <w:t>Available abstract (not full text):</w:t>
      </w:r>
      <w:r>
        <w:t xml:space="preserve"> Higher spatial resolution is becoming a key component of energy system analysis. Existing multi-regional national scale energy systems optimisation models (ESOMs) facilitate an improved understanding of spatial dynamics. Yet, region-specific characteristics of transport technologies and infrastructures along with consumer heterogeneity have remained under-investigated. The current paper addresses this gap by developing a multi-regional transport sector within the system-wide TIMES-Ireland Model (TIM). The transport sector is divided into 26 sub-regions, and each region is characterised by the existing vehicle fleet, public transport availability, scrappage rate, annual mileage, vehicle fuel economy and the corresponding passenger and freight mobility demand. The consumers (car buyers) are disaggregated based on their income level to incorporate a more realistic representation of their behaviour in vehicle purchasing decisions. While TIM ensures carbon neutrality across the whole energy system by mid-century, this study mainly explores the decarbonisation of passenger Light-Duty Vehicles (LDVs). It shows to what extent different measures (i.e, LDV improvements, monetary incentives, modal shift, biofuel obligation, carbon tax and occupancy rate) can contribute to meeting ambitious mitigation targets by 2030. Spatially resolved analysis as the main novelty of this research present</w:t>
      </w:r>
    </w:p>
    <w:p>
      <w:pPr>
        <w:pStyle w:val="Heading2"/>
      </w:pPr>
      <w:r>
        <w:t>797.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2024:</w:t>
      </w:r>
      <w:r>
        <w:t xml:space="preserve"> Social transfer policies and child poverty in European countries: Evaluating policy alternatives through a multiobjective programming model — https://doi.org/10.1016/j.seps.2024.101892</w:t>
      </w:r>
    </w:p>
    <w:p>
      <w:pPr/>
      <w:r>
        <w:rPr>
          <w:b/>
        </w:rPr>
        <w:t>Shared claim-specific concepts:</w:t>
      </w:r>
      <w:r>
        <w:t xml:space="preserve"> transfer, assess, policies; EU scope visible. This is a provisional connection, not an outcome finding.</w:t>
      </w:r>
    </w:p>
    <w:p>
      <w:pPr>
        <w:pStyle w:val="SourceNote"/>
      </w:pPr>
      <w:r>
        <w:rPr>
          <w:b/>
        </w:rPr>
        <w:t>Available abstract (not full text):</w:t>
      </w:r>
      <w:r>
        <w:t xml:space="preserve"> Child poverty remains a significant concern across Europe and citizens regard policy interventions that effectively address this issue to be of utmost importance. In this work, we analyse the potential of social transfer policy alternatives to alleviate child and overall poverty simultaneously in European countries. Using a logistic regression to define the objective functions and constraints, we rely on multiobjective programming to assess key features of national social transfer systems that can minimize child and overall poverty and tend to equal both levels downwards. Taking into account the starting levels of each country, the results underline the importance of finding an adequate combination of pro-child and pro-poor targeting of social transfer policies. For most European countries, an increase in the level of cash benefits for children is advisable – particularly universal benefits – except in Croatia, the Netherlands, and Norway. Nonetheless, in France, Greece, Italy, Ireland, the Netherlands, and Spain, the recommended proportion of GDP allocated to universal cash benefits is lower than the proportion allocated to means-tested benefits. In this regard, our research provides an innovative approach for policymakers to optimize poverty reduction strategies by contributing valuable insights for the design and implementation of effective social transfer policies to combat</w:t>
      </w:r>
    </w:p>
    <w:p>
      <w:pPr/>
      <w:r>
        <w:rPr>
          <w:b/>
        </w:rPr>
        <w:t>POSSIBLE 2024:</w:t>
      </w:r>
      <w:r>
        <w:t xml:space="preserve"> Stronger Member States for a Stronger European Union — https://doi.org/10.62733/2024.2.143-161</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COMPARATIVE ANALYSIS OF TRANSFER PRICING LEGISLATION IN THE REGULATORY FRAMEWORK OF EU MEMBER STATES — https://doi.org/10.32782/2707-8019/2024-2-2</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The article carries out a comparative analysis and assessment of the adequacy of legal regulation of transfer pricing in the EU Member States. The necessity and importance of studying foreign experience in building and improving the legal framework for transfer pricing is substantiated. The authors determine that the relevance of transfer pricing and related issues both in terms of ensuring the proper functioning of the single market and eliminating base erosion and profit shifting is confirmed by the existence of a special advisory body under the European Commission - the Joint Transfer Pricing Forum (JTPF), which advises the European Commission on transfer pricing taxation. The article identifies the main aspects of transfer pricing regulation in the EU Member States with a view to a detailed analysis of the regulatory framework. The criteria of related parties in the EU transfer pricing legislation are studied. It is found that a common feature in the definition of related parties is the direct or indirect influence of one person on another. The author examines and compares the grounds for conducting an audit in the EU transfer pricing legislation and finds that in the vast majority of EU Member States there is a so-called "self-assessment" regime for companies, according to which the taxpayer must ensure compliance with the transfer pricing rules; the risk factors that are </w:t>
      </w:r>
    </w:p>
    <w:p>
      <w:pPr/>
      <w:r>
        <w:rPr>
          <w:b/>
        </w:rPr>
        <w:t>POSSIBLE 2024:</w:t>
      </w:r>
      <w:r>
        <w:t xml:space="preserve"> The genesis of pardon in Ukraine and the European Union Member States — https://doi.org/10.24144/2307-3322.2024.84.3.45</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This article is devoted to the historical and legal study of the origin and evolution of the institution of pardon in Ukraine and the European Union Member States. The author analyses the emergence of pardon in ancient Rome, its social and political role. The author points to the existence of three main forms of pardon in the Roman Empire: abolition, intercession and indulgence. The author emphasises the impact of the reception of Roman law and the growing role of the Roman Catholic Church on the establishment of the right of pardon as an element of the absolute power of the monarch in medieval Europe. Attention is drawn to the established tradition of pardoning convicted persons on the occasion of significant religious or state events. The author points out that the right to pardon is legally enshrined in the legislative collection ‘Siete Partidas’ in the Kingdom of Spain and to the modern subjects of pardon in the said State. The author analyses the evolution of the pardon procedure, in particular, with regard to the participation of not only the head of state, but also other subjects, including the Minister of Justice, in order to ensure a greater level of political neutrality. The features of pardon in medieval Italy, the transfer of this right from the city councils to the monarch along with the establishment of the seigniorial regime are highlighted. The author also descr</w:t>
      </w:r>
    </w:p>
    <w:p>
      <w:pPr/>
      <w:r>
        <w:rPr>
          <w:b/>
        </w:rPr>
        <w:t>POSSIBLE 2023:</w:t>
      </w:r>
      <w:r>
        <w:t xml:space="preserve"> Agents and Impacts of Interorganizational Transfers between the Council of Europe and the European Union in the Area of Cultural Policy — https://doi.org/10.4000/bssg.3433</w:t>
      </w:r>
    </w:p>
    <w:p>
      <w:pPr/>
      <w:r>
        <w:rPr>
          <w:b/>
        </w:rPr>
        <w:t>Shared claim-specific concepts:</w:t>
      </w:r>
      <w:r>
        <w:t xml:space="preserve"> transfer, other; EU scope visible. This is a provisional connection, not an outcome finding.</w:t>
      </w:r>
    </w:p>
    <w:p>
      <w:pPr>
        <w:pStyle w:val="SourceNote"/>
      </w:pPr>
      <w:r>
        <w:rPr>
          <w:b/>
        </w:rPr>
        <w:t>Available abstract (not full text):</w:t>
      </w:r>
      <w:r>
        <w:t xml:space="preserve"> This article analyses the transfer dynamics between the Council of Europe and the European Community/Union in the domain of cultural policy. The analysis is based on two case studies. One centres on audiovisual policy (1980s), and the other on the development of cultural programmes within the European Union in the wake of the Maastricht Treaty (1990s-2000s). In the 1980s, when relations between the Council of Europe and the European Community were only very weakly institutionalized, the circulation of norms between the two institutions was facilitated by informal exchanges on the margins of negotiations between senior officials mandated by their governments. In the 1990s and 2000s, although the circulation of norms and practices had been institutionalized through agreements, it was nevertheless the multipositioning of government delegates and the mobility of some high-level officials between the two organizations and between the institutional and cultural management spheres that opened up key channels for the transfer of norms and practices between the Council of Europe and the European Union.</w:t>
      </w:r>
    </w:p>
    <w:p>
      <w:pPr/>
      <w:r>
        <w:rPr>
          <w:b/>
        </w:rPr>
        <w:t>POSSIBLE 2022:</w:t>
      </w:r>
      <w:r>
        <w:t xml:space="preserve"> Dual vocational education and training and policy transfer in the European Union policy: the case of work-based learning and apprenticeships — https://doi.org/10.1080/2331186x.2022.2154496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 the search for solutions to national skill formation challenges, the central and northern Europeans models of good practices in dual vocational education and training (VET) permeated the imaginary of the southern countries. Particularly, the German dual VET system has been predominant in the discourse of policy-makers. This research analyses the role played by the European Union (EU) in the promotion of this model as the reference for the reforming Member States during the policy transfer stage of cross-national attraction. This paper develops a reflexive Thematic Analysis among the fundamental documentation related to VET resulting from the EU Governance Triangle. Its aim is to interpret the EU proposal for the reform of VET, with a focus on the characteristics which shape the way in which the training is developed. This Thematic Analysis reveals that the EU promotes a VET training model based in work-based learning as a pillar, preferably articulated in the form of apprenticeships. This, along with the general principles for the regulation of apprenticeships promoted by the EU, proves the agency role exercised by the EU in the dissemination of dual VET as a model of good practice.</w:t>
      </w:r>
    </w:p>
    <w:p>
      <w:pPr/>
      <w:r>
        <w:rPr>
          <w:b/>
        </w:rPr>
        <w:t>POSSIBLE 2021:</w:t>
      </w:r>
      <w:r>
        <w:t xml:space="preserve"> Policy transfer within the European Union and beyond: Europeanization in times of stability and crises — https://doi.org/10.4337/9781789905601.00026</w:t>
      </w:r>
    </w:p>
    <w:p>
      <w:pPr/>
      <w:r>
        <w:rPr>
          <w:b/>
        </w:rPr>
        <w:t>Shared claim-specific concepts:</w:t>
      </w:r>
      <w:r>
        <w:t xml:space="preserve"> then, transfer, member, states, policies; EU scope visible. This is a provisional connection, not an outcome finding.</w:t>
      </w:r>
    </w:p>
    <w:p>
      <w:pPr>
        <w:pStyle w:val="SourceNote"/>
      </w:pPr>
      <w:r>
        <w:rPr>
          <w:b/>
        </w:rPr>
        <w:t>Available abstract (not full text):</w:t>
      </w:r>
      <w:r>
        <w:t xml:space="preserve"> The European Union is a sui generis polity in which policy transfer shapes the relationship between supra-national institutions and domestic actors across different contexts. Scholars have defined this specific type of policy transfer as Europeanization. This chapter explores how this concept has been used to understand the effects of EU integration on the polity, policies and politics of EU member states, and how EU integration has extended to the field of foreign policy, then outside the EU, through enlargement and neighbourhood policies, to scrutinize the relations of the EU with the rest of the world. The chapter is organised as follows: the first section traces the origins of this concept, its definition and research designs. Empirical illustrations show that since the early 1990s, fast-forward integration has given rise to uneven forms of Europeanization within the EU and beyond. The chapter also examines how Europeanization has been challenged by resistance to integration and how recent crises have shaped not only EU integration, but also Europeanization processes.</w:t>
      </w:r>
    </w:p>
    <w:p>
      <w:pPr/>
      <w:r>
        <w:rPr>
          <w:b/>
        </w:rPr>
        <w:t>POSSIBLE 2021:</w:t>
      </w:r>
      <w:r>
        <w:t xml:space="preserve"> Community Sponsorship in Europe: Taking Stock, Policy Transfer and What the Future Might Hold — https://doi.org/10.3389/fhumd.2021.564084</w:t>
      </w:r>
    </w:p>
    <w:p>
      <w:pPr/>
      <w:r>
        <w:rPr>
          <w:b/>
        </w:rPr>
        <w:t>Shared claim-specific concepts:</w:t>
      </w:r>
      <w:r>
        <w:t xml:space="preserve"> transfer, states; EU scope visible. This is a provisional connection, not an outcome finding.</w:t>
      </w:r>
    </w:p>
    <w:p>
      <w:pPr>
        <w:pStyle w:val="SourceNote"/>
      </w:pPr>
      <w:r>
        <w:rPr>
          <w:b/>
        </w:rPr>
        <w:t>Available abstract (not full text):</w:t>
      </w:r>
      <w:r>
        <w:t xml:space="preserve"> This article explores the recent emergence of community sponsorship of refugees in Europe, an approach which shares responsibility between civil society and the state for the admission and/or integration of refugees. Originally a Canadian model developed to support the resettlement of Indochinese refugees, the model has gained momentum in Europe, with a number of states piloting or establishing community sponsorship schemes. This proliferation, while generally seen as positive for international protection of refugees, has led to conceptual confusion and a significant range of approaches under the “umbrella” concept of community sponsorship. As a result, community sponsorship today may be understood both as a form of resettlement and a complementary pathway to protection. While interest and momentum around community sponsorship is high, little work currently exists mapping and analysing how jurisdictions adopt the community sponsorship model. With reference to existing work on policy transfer, this contribution takes stock of community sponsorship models in Europe; analyses how community sponsorship may become a viable policy option in European states as a form of transnational policy transfer; and sets out a number of challenges for the future development of community sponsorship in Europe.</w:t>
      </w:r>
    </w:p>
    <w:p>
      <w:pPr>
        <w:pStyle w:val="Heading2"/>
      </w:pPr>
      <w:r>
        <w:t>798.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2023:</w:t>
      </w:r>
      <w:r>
        <w:t xml:space="preserve"> Climate policy must account for community-specific socio-economic, health, and biophysical conditions—evidence from coastal Alaska — https://doi.org/10.1007/s10113-023-02080-9</w:t>
      </w:r>
    </w:p>
    <w:p>
      <w:pPr/>
      <w:r>
        <w:rPr>
          <w:b/>
        </w:rPr>
        <w:t>Shared claim-specific concepts:</w:t>
      </w:r>
      <w:r>
        <w:t xml:space="preserve"> socio-economic, biophysical, management, factors, moderate; EU scope not established. This is a provisional connection, not an outcome finding.</w:t>
      </w:r>
    </w:p>
    <w:p>
      <w:pPr>
        <w:pStyle w:val="SourceNote"/>
      </w:pPr>
      <w:r>
        <w:rPr>
          <w:b/>
        </w:rPr>
        <w:t>Available abstract (not full text):</w:t>
      </w:r>
      <w:r>
        <w:t xml:space="preserve"> Abstract Climate warming, sea level rise, and extreme weather events are creating intensifying and more frequent hazards for human populations inhabiting the coast. In Alaska’s remote coastal communities, flooding and erosion are rapidly increasing due to the combined effect of sea level rise, more frequent storm surges, and increasingly powerful wave action from lack of sea ice. This paper presents survey results documenting socio-economic and psychological livelihood impacts and relocation preferences as reported by residents of a remote coastal Indigenous community. We quantified direct costs of lost or damaged private property, affected community infrastructure, and interruption of public services and found that the resulting financial hardship adds to existing economic challenges and climate stressors. Findings underline a community-level preoccupation with coastal climate threats that manifests primarily in intrusive and distressing thoughts of consequences from storms and other destructive climatic events. We highlight the need to monitor more broadly livelihood impacts to inform the design of innovative risk management tools to moderate financial hardship and strengthen community-driven action. We conclude that new policy responding to the needs of remote Indigenous communities affected by repetitive environmental disasters needs to account for a complex array of commun</w:t>
      </w:r>
    </w:p>
    <w:p>
      <w:pPr/>
      <w:r>
        <w:rPr>
          <w:b/>
        </w:rPr>
        <w:t>POSSIBLE 2023:</w:t>
      </w:r>
      <w:r>
        <w:t xml:space="preserve"> Integration matters: Combining socio-cultural and biophysical methods for mapping ecosystem service bundles — https://doi.org/10.1007/s13280-023-01830-7</w:t>
      </w:r>
    </w:p>
    <w:p>
      <w:pPr/>
      <w:r>
        <w:rPr>
          <w:b/>
        </w:rPr>
        <w:t>Shared claim-specific concepts:</w:t>
      </w:r>
      <w:r>
        <w:t xml:space="preserve"> biophysical, two, management, sustainable; EU scope visible. This is a provisional connection, not an outcome finding.</w:t>
      </w:r>
    </w:p>
    <w:p>
      <w:pPr>
        <w:pStyle w:val="SourceNote"/>
      </w:pPr>
      <w:r>
        <w:rPr>
          <w:b/>
        </w:rPr>
        <w:t>Available abstract (not full text):</w:t>
      </w:r>
      <w:r>
        <w:t xml:space="preserve"> Ecosystem services (ESs) play an important role in sustainable landscape management. People value ESs in diverse ways encompassing social and ecological domains and we need to bring these different values together. We used social-cultural and biophysical methods to map a diverse set of ESs at two spatial scales in a UNESCO Biosphere Reserve in Norway. The ESs bundled into three distinct social-ecological system archetypes which were similar in their distribution and relative ES values at both spatial scales. The bundles were also well matched to relative ESs values of the Biosphere Reserve zones (core, buffer, and transition) indicating that the bundles capture the social-ecological systems of the zones. We argue that it is important to consider the social-ecological context of the zones to provide sufficient knowledge to inform management. Our work has the capacity to contribute to sustainable land management that takes biocultural values into consideration.</w:t>
      </w:r>
    </w:p>
    <w:p>
      <w:pPr/>
      <w:r>
        <w:rPr>
          <w:b/>
        </w:rPr>
        <w:t>POSSIBLE 2023:</w:t>
      </w:r>
      <w:r>
        <w:t xml:space="preserve"> Working in (Slow) Progress: Socio-Environmental and Economic Dynamics in the Forestry Sector and the Contribution to Sustainable Development in Europe — https://doi.org/10.3390/su151310271</w:t>
      </w:r>
    </w:p>
    <w:p>
      <w:pPr/>
      <w:r>
        <w:rPr>
          <w:b/>
        </w:rPr>
        <w:t>Shared claim-specific concepts:</w:t>
      </w:r>
      <w:r>
        <w:t xml:space="preserve"> management, same, practices, sustainable; EU scope visible. This is a provisional connection, not an outcome finding.</w:t>
      </w:r>
    </w:p>
    <w:p>
      <w:pPr>
        <w:pStyle w:val="SourceNote"/>
      </w:pPr>
      <w:r>
        <w:rPr>
          <w:b/>
        </w:rPr>
        <w:t>Available abstract (not full text):</w:t>
      </w:r>
      <w:r>
        <w:t xml:space="preserve"> Forest ecosystems are increasingly subject to disturbances, such as extreme (climate) events, fires and pathological outbreaks, which exert significant (and still poorly quantified) economic impacts, despite their intrinsic resilience. How forest management addresses these challenges will have profound effects on human health, environmental diversity, (ecological and economic) productivity and the ability of forest ecosystems to recovery from exogenous shocks. Assuming forests as ensuring ecosystem services that are vital to society and human well-being, in addition to providing wood material, a better knowledge of forest ecosystems appears a key requirement to delineate a developmental strategy that guarantees environmental protection objectives and achievement of climate and energy targets. In the context of Sustainable Development Goals of the United Nations 2030 Agenda, the information available on forest management practices in Europe still seems not completely suitable to provide a comprehensive overview of ecosystem conditions, their economic value, and their biodiversity. Based on a literature review, the present contribution focuses on recent dynamics of the forestry sector in Europe, delineating the inherent complexity in the environmental-economic nexus. Additionally, the extensive use of a key natural resource such as wood exerts social implications for local distri</w:t>
      </w:r>
    </w:p>
    <w:p>
      <w:pPr/>
      <w:r>
        <w:rPr>
          <w:b/>
        </w:rPr>
        <w:t>POSSIBLE 2023:</w:t>
      </w:r>
      <w:r>
        <w:t xml:space="preserve"> Detecting the socio-economic drivers of confidence in government with eXplainable Artificial Intelligence — https://doi.org/10.1038/s41598-023-28020-5</w:t>
      </w:r>
    </w:p>
    <w:p>
      <w:pPr/>
      <w:r>
        <w:rPr>
          <w:b/>
        </w:rPr>
        <w:t>Shared claim-specific concepts:</w:t>
      </w:r>
      <w:r>
        <w:t xml:space="preserve"> socio-economic, drivers, two, quantitative, factors, positive; EU scope visible. This is a provisional connection, not an outcome finding.</w:t>
      </w:r>
    </w:p>
    <w:p>
      <w:pPr>
        <w:pStyle w:val="SourceNote"/>
      </w:pPr>
      <w:r>
        <w:rPr>
          <w:b/>
        </w:rPr>
        <w:t>Available abstract (not full text):</w:t>
      </w:r>
      <w:r>
        <w:t xml:space="preserve"> The European Quality of Government Index (EQI) measures the perceived level of government quality by European Union citizens, combining surveys on corruption, impartiality and quality of provided services. It is, thus, an index based on individual subjective evaluations. Understanding the most relevant objective factors affecting the EQI outcomes is important for both evaluators and policy makers, especially in view of the fact that perception of government integrity contributes to determine the level of civic engagement. In our research, we employ methods of Artificial Intelligence and complex systems physics to measure the impact on the perceived government quality of multifaceted variables, describing territorial development and citizen well-being, from an economic, social and environmental viewpoint. Our study, focused on a set of regions in European Union at a subnational scale, leads to identifying the territorial and demographic drivers of citizens' confidence in government institutions. In particular, we find that the 2021 EQI values are significantly related to two indicators: the first one is the difference between female and male labour participation rates, and the second one is a proxy of wealth and welfare such as the average number of rooms per inhabitant. This result corroborates the idea of a central role played by labour gender equity and housing policies in go</w:t>
      </w:r>
    </w:p>
    <w:p>
      <w:pPr/>
      <w:r>
        <w:rPr>
          <w:b/>
        </w:rPr>
        <w:t>POSSIBLE 2022:</w:t>
      </w:r>
      <w:r>
        <w:t xml:space="preserve"> Innovating European Long-Term Care Policies through the Socio-Economic Support of Families: A Lesson from Practices — https://doi.org/10.3390/su14074097</w:t>
      </w:r>
    </w:p>
    <w:p>
      <w:pPr/>
      <w:r>
        <w:rPr>
          <w:b/>
        </w:rPr>
        <w:t>Shared claim-specific concepts:</w:t>
      </w:r>
      <w:r>
        <w:t xml:space="preserve"> socio-economic, drivers, two, practices, sustainable; EU scope visible. This is a provisional connection, not an outcome finding.</w:t>
      </w:r>
    </w:p>
    <w:p>
      <w:pPr>
        <w:pStyle w:val="SourceNote"/>
      </w:pPr>
      <w:r>
        <w:rPr>
          <w:b/>
        </w:rPr>
        <w:t>Available abstract (not full text):</w:t>
      </w:r>
      <w:r>
        <w:t xml:space="preserve"> LTC and socio-economic deprivation of families are two relevant issues in international debate. The economic or time investment made by families in caregiving has an impact on the socio-economic status of family members in terms of economic means and social inclusion. This study analyzes the practices that are supported by home LTC, examining their characteristics, identifying their strengths, weaknesses, drivers, and barriers, as well as identifying social innovation aspects. The study provides a qualitative interpretative comparison of 22 practices from eight countries, representing the four LTC care models existing in Europe. Cross-studies aid in the development of sustainable policies. The study highlights the differences and similarities between selected practices. The results indicate the effectiveness of integrative and coordination strategies at the macro, meso, and micro levels for the development of supportive policies for family members with burdens of care. Nevertheless, the results underline the lack of a genuine focus on families’ socio-economic support for providing care. The partial support provided by compensatory cash benefits or unpaid care leave schemes partially addresses the difficulties of familial burden of care. The study recommends that fair economic compensation and social security benefits be incorporated into innovative and sustainable strategies fo</w:t>
      </w:r>
    </w:p>
    <w:p>
      <w:pPr/>
      <w:r>
        <w:rPr>
          <w:b/>
        </w:rPr>
        <w:t>POSSIBLE 2022:</w:t>
      </w:r>
      <w:r>
        <w:t xml:space="preserve"> Windstorm Impacts on Forest-Related Socio-Ecological Systems: An Analysis from a Socio-Economic and Institutional Perspective — https://doi.org/10.3390/f13060939</w:t>
      </w:r>
    </w:p>
    <w:p>
      <w:pPr/>
      <w:r>
        <w:rPr>
          <w:b/>
        </w:rPr>
        <w:t>Shared claim-specific concepts:</w:t>
      </w:r>
      <w:r>
        <w:t xml:space="preserve"> analyzed, socio-economic, drivers, positive, sustainable; EU scope visible. This is a provisional connection, not an outcome finding.</w:t>
      </w:r>
    </w:p>
    <w:p>
      <w:pPr>
        <w:pStyle w:val="SourceNote"/>
      </w:pPr>
      <w:r>
        <w:rPr>
          <w:b/>
        </w:rPr>
        <w:t>Available abstract (not full text):</w:t>
      </w:r>
      <w:r>
        <w:t xml:space="preserve"> Windstorms are considered among the most impacting natural events for European forests and related Socio-Ecological Systems (SES). Given that their intensity and frequency are increasing, an in-depth understanding of their impacts is crucial to mitigate risks and potential negative effects. However, so far, scientific research on windstorm impacts has mainly focused on environmental dimensions, while socio-economic and institutional ones are rarely taken into consideration. Our analysis aims at enriching the current scientific knowledge on windstorm impacts on forest SES by providing an overview of the state-of-the-art academic investigations on windstorm impacts on socio-economic and institutional dimensions. Overall, 46 papers were reviewed to identify the most recurrent post-windstorm dynamics and drivers that influence resilience and adaptation of socio-economic, institutional and related governance dimensions of European forest SES. Results show that the current scientific knowledge on socio-economic impacts of windstorms mainly concentrates on forest-related stakeholders and sectors, paying little attention to the broader social, cultural and institutional drivers that contribute to forest SES resilience. Further, cascade effects linking environmental, social and institutional dimensions are poorly analyzed. This restricted focus could lead to an incomplete understanding </w:t>
      </w:r>
    </w:p>
    <w:p>
      <w:pPr>
        <w:pStyle w:val="Heading2"/>
      </w:pPr>
      <w:r>
        <w:t>799.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precipitation, over, regional, climate;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r>
        <w:rPr>
          <w:b/>
        </w:rPr>
        <w:t>POSSIBLE 2024:</w:t>
      </w:r>
      <w:r>
        <w:t xml:space="preserve"> Reversal of Projected European Summer Precipitation Decline in a Stabilizing Climate — https://doi.org/10.1029/2023gl107448</w:t>
      </w:r>
    </w:p>
    <w:p>
      <w:pPr/>
      <w:r>
        <w:rPr>
          <w:b/>
        </w:rPr>
        <w:t>Shared claim-specific concepts:</w:t>
      </w:r>
      <w:r>
        <w:t xml:space="preserve"> abstract, projections, precipitation, over, climate; EU scope visible. This is a provisional connection, not an outcome finding.</w:t>
      </w:r>
    </w:p>
    <w:p>
      <w:pPr>
        <w:pStyle w:val="SourceNote"/>
      </w:pPr>
      <w:r>
        <w:rPr>
          <w:b/>
        </w:rPr>
        <w:t>Available abstract (not full text):</w:t>
      </w:r>
      <w:r>
        <w:t xml:space="preserve"> Abstract Precipitation projections in transient climate change scenarios have been extensively studied over multiple climate model generations. Although these simulations have also been used to make projections at specific Global Warming Levels (GWLs), dedicated simulations are more appropriate to study changes in a stabilizing climate. Here, we analyze precipitation projections in six multi‐century experiments with fixed atmospheric concentrations of greenhouse gases, conducted with the UK Earth System Model and which span a range of GWLs between 1.5 and 5°C of warming. Regions are identified where the sign of precipitation trends in high‐emission transient projections is reversed in the stabilization experiments. For example, stabilization reverses a summertime precipitation decline across Europe. This precipitation recovery occurs concurrently with changes in the pattern of Atlantic sea surface temperature trends due to a slow recovery of the Atlantic Meridional Overturning Circulation in the stabilization experiments, along with changes in humidity and atmospheric circulation.</w:t>
      </w:r>
    </w:p>
    <w:p>
      <w:pPr/>
      <w:r>
        <w:rPr>
          <w:b/>
        </w:rPr>
        <w:t>POSSIBLE 2023:</w:t>
      </w:r>
      <w:r>
        <w:t xml:space="preserve"> Historical assessment and future projection of extreme precipitation in CMIP6 models: Global and continental — https://doi.org/10.1002/joc.8077</w:t>
      </w:r>
    </w:p>
    <w:p>
      <w:pPr/>
      <w:r>
        <w:rPr>
          <w:b/>
        </w:rPr>
        <w:t>Shared claim-specific concepts:</w:t>
      </w:r>
      <w:r>
        <w:t xml:space="preserve"> abstract, precipitation, over, ensemble, climate, pathway; EU scope visible. This is a provisional connection, not an outcome finding.</w:t>
      </w:r>
    </w:p>
    <w:p>
      <w:pPr>
        <w:pStyle w:val="SourceNote"/>
      </w:pPr>
      <w:r>
        <w:rPr>
          <w:b/>
        </w:rPr>
        <w:t>Available abstract (not full text):</w:t>
      </w:r>
      <w:r>
        <w:t xml:space="preserve"> Abstract In this study, the new gridded daily precipitation dataset REGEN (Rainfall Estimates on a Gridded Network) was used to verify the performance of 23 global climate models participating in the 6th phase of the Coupled Model Intercomparison Project (CMIP6) in terms of extreme precipitation over global and continents during 1950–2014. Projected changes were also evaluated using CMIP6 multi‐model ensemble (MME) under different Shared Socioeconomic Pathway (SSP) by the end of the 21st century. Although positive biases exist in the climatology of most extreme precipitation indices simulated by the CMIP6 MME compared with observations, most of the CMIP6 models can reproduce the spatial distribution characteristics and temporal evolution trends of global extreme precipitation. The simulation is improved by using the CMIP6 MME, relative to the results from individual models. The projected results showed that in most regions of the world, extreme precipitation will significantly increase in the future, with more significant increase under higher SSPs. By the end of the 21st century, total precipitation of wet days (PRCPTOT), simple daily intensity (SDII), the number of very heavy rain days (R20mm), maximum 1‐day precipitation (Rx1day) and maximum consecutive 5‐day precipitation (Rx5day) over the global will increase by up to 50%, 20%, 70%, 50% and 50%, respectively, under the SSP</w:t>
      </w:r>
    </w:p>
    <w:p>
      <w:pPr/>
      <w:r>
        <w:rPr>
          <w:b/>
        </w:rPr>
        <w:t>POSSIBLE 2023:</w:t>
      </w:r>
      <w:r>
        <w:t xml:space="preserve"> An assessment of CMIP6 climate signals and biases in temperature, precipitation and soil moisture over Europe — https://doi.org/10.1002/joc.8169</w:t>
      </w:r>
    </w:p>
    <w:p>
      <w:pPr/>
      <w:r>
        <w:rPr>
          <w:b/>
        </w:rPr>
        <w:t>Shared claim-specific concepts:</w:t>
      </w:r>
      <w:r>
        <w:t xml:space="preserve"> abstract, projections, precipitation, over, ensemble, regional; EU scope visible. This is a provisional connection, not an outcome finding.</w:t>
      </w:r>
    </w:p>
    <w:p>
      <w:pPr>
        <w:pStyle w:val="SourceNote"/>
      </w:pPr>
      <w:r>
        <w:rPr>
          <w:b/>
        </w:rPr>
        <w:t>Available abstract (not full text):</w:t>
      </w:r>
      <w:r>
        <w:t xml:space="preserve"> Abstract The CMIP6 projections constitute the basis of our latest understanding of the climate response to anthropogenic forcing. However, there is still considerable uncertainty in the projections, especially at the regional scale. One way to constrain the uncertainty is by comparing the models historical climate change signals against observations and investigate the physical reasons for divergences. Here, we assess the signal‐to‐noise ratio (S/N) of surface air temperature (SAT), precipitation (PREC) and soil moisture (SM) over Europe for a set of CMIP6 historical simulations and compare them against the E‐OBS observational product and the ERA5 reanalysis. We found considerable divergences between the CMIP6 ensemble mean S/N and that of E‐OBS and ERA5, as well as between ERA5 and E‐OBS. The latter indicates that the S/N is affected by data coverage. We show that the differences among model signals are associated with different atmospheric circulation responses. We also investigate the potential relationships between the models' signals and climatological biases, and we found evidence that the models with a warm climatological bias in southern Europe tend to have smaller SAT signals (warm less). Finally, we found no apparent relationship between SM biases and the warming signal, suggesting that the mechanism by which SM–atmosphere interactions affect climate variability does </w:t>
      </w:r>
    </w:p>
    <w:p>
      <w:pPr/>
      <w:r>
        <w:rPr>
          <w:b/>
        </w:rPr>
        <w:t>POSSIBLE 2022:</w:t>
      </w:r>
      <w:r>
        <w:t xml:space="preserve"> The Role of the North Atlantic Oscillation for Projections of Winter Mean Precipitation in Europe — https://doi.org/10.1029/2022gl099083</w:t>
      </w:r>
    </w:p>
    <w:p>
      <w:pPr/>
      <w:r>
        <w:rPr>
          <w:b/>
        </w:rPr>
        <w:t>Shared claim-specific concepts:</w:t>
      </w:r>
      <w:r>
        <w:t xml:space="preserve"> abstract, projections, precipitation, extremes, multimodel, ensemble; EU scope visible. This is a provisional connection, not an outcome finding.</w:t>
      </w:r>
    </w:p>
    <w:p>
      <w:pPr>
        <w:pStyle w:val="SourceNote"/>
      </w:pPr>
      <w:r>
        <w:rPr>
          <w:b/>
        </w:rPr>
        <w:t>Available abstract (not full text):</w:t>
      </w:r>
      <w:r>
        <w:t xml:space="preserve"> Abstract Climate models generally project an increase in the winter North Atlantic Oscillation (NAO) index under a future high‐emissions scenario, alongside an increase in winter precipitation in northern Europe and a decrease in southern Europe. The extent to which future forced NAO trends are important for European winter precipitation trends and their uncertainty remains unclear. We show using the Multimodel Large Ensemble Archive that the NAO plays a small role in northern European mean winter precipitation projections for 2080–2099. Conversely, half of the model uncertainty in southern European mean winter precipitation projections is potentially reducible through improved understanding of the NAO projections. Extreme positive NAO winters increase in frequency in most models as a consequence of mean NAO changes. These extremes also have more severe future precipitation impacts, largely because of mean precipitation changes. This has implications for future resilience to extreme positive NAO winters, which frequently have severe societal impacts.</w:t>
      </w:r>
    </w:p>
    <w:p>
      <w:pPr/>
      <w:r>
        <w:rPr>
          <w:b/>
        </w:rPr>
        <w:t>POSSIBLE 2022:</w:t>
      </w:r>
      <w:r>
        <w:t xml:space="preserve"> Changes in temperature–precipitation correlations over Europe: are climate models reliable? — https://doi.org/10.1007/s00382-022-06436-5</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Inter-variable correlations (e.g., between daily temperature and precipitation) are key statistical properties to characterise probabilities of simultaneous climate events and compound events. Their correct simulations from climate models, both in values and in changes over time, is then a prerequisite to investigate their future changes and associated impacts. Therefore, this study first evaluates the capabilities of one 11-single run multi-model ensemble (CMIP6) and one 40-member single model initial-condition large ensemble (CESM) over Europe to reproduce the characteristics of a reanalysis dataset (ERA5) in terms of temperature–precipitation correlations and their historical changes. Next, the ensembles’ correlations for the end of the 21st century are compared. Over the historical period, both CMIP6 and CESM ensembles have season-dependent and spatially structured biases. Moreover, the inter-variable correlations from both ensembles mostly appear stationary. Thus, although reanalysis displays significant correlation changes, none of the ensembles can reproduce them, with internal variability representing only 30% on the inter-model variability. However, future correlations show significant changes over large spatial patterns. Yet, those patterns are rather different for CMIP6 and CESM, reflecting a large uncertainty in changes. In addition, for historical and futu</w:t>
      </w:r>
    </w:p>
    <w:p>
      <w:pPr/>
      <w:r>
        <w:rPr>
          <w:b/>
        </w:rPr>
        <w:t>POSSIBLE 2022:</w:t>
      </w:r>
      <w:r>
        <w:t xml:space="preserve"> Consistency of Seasonal Mean and Extreme Precipitation Projections Over Europe Across a Range of Climate Model Ensembles — https://doi.org/10.1029/2022jd037845</w:t>
      </w:r>
    </w:p>
    <w:p>
      <w:pPr/>
      <w:r>
        <w:rPr>
          <w:b/>
        </w:rPr>
        <w:t>Shared claim-specific concepts:</w:t>
      </w:r>
      <w:r>
        <w:t xml:space="preserve"> projections, precipitation, extremes, over, ensemble, resolution; EU scope visible. This is a provisional connection, not an outcome finding.</w:t>
      </w:r>
    </w:p>
    <w:p>
      <w:pPr>
        <w:pStyle w:val="SourceNote"/>
      </w:pPr>
      <w:r>
        <w:rPr>
          <w:b/>
        </w:rPr>
        <w:t>Available abstract (not full text):</w:t>
      </w:r>
      <w:r>
        <w:t xml:space="preserve"> Uncertainties of regional precipitation projections are substantial, and users of such projections face the so-called practitioners dilemma: a plethora of projections with different models from different ensembles of different types and generations are available. But the consistency of these projections has not been systematically assessed, such that no clear guidance about the use of these ensembles exists. Therefore, we systematically compare, separately for each season, projections of mean precipitation and extremes of daily precipitation over Europe across a wide range of climate model ensembles. We specifically consider the global climate model ensembles CMIP3, CMIP5, Coupled Model Intercomparison Project Phase 6 (CMIP6), and HighresMIP as well as the regional climate model ensembles ENSEMBLES and EURO-CORDEX. All considered ensembles agree in their large-scale patterns of changes for both mean and extreme daily precipitation, but at the regional scale, substantial discrepancies and inconsistencies are evident. Within and across ensemble spread is strongest in summer, in particular for the drying trend over the Mediterranean and Eastern Europe. CMIP5 and CMIP6 are broadly consistent. The regional climate model (RCM) ensembles modify the signals of the driving global climate models indicating potential added value. The high resolution of the RCM and HighresMIP ensembles see</w:t>
      </w:r>
    </w:p>
    <w:p>
      <w:pPr/>
      <w:r>
        <w:rPr>
          <w:b/>
        </w:rPr>
        <w:t>POSSIBLE 2022:</w:t>
      </w:r>
      <w:r>
        <w:t xml:space="preserve"> Constraining extreme precipitation projections using past precipitation variability — https://doi.org/10.1038/s41467-022-34006-0</w:t>
      </w:r>
    </w:p>
    <w:p>
      <w:pPr/>
      <w:r>
        <w:rPr>
          <w:b/>
        </w:rPr>
        <w:t>Shared claim-specific concepts:</w:t>
      </w:r>
      <w:r>
        <w:t xml:space="preserve"> projections, precipitation, extremes, over, climate; EU scope not established. This is a provisional connection, not an outcome finding.</w:t>
      </w:r>
    </w:p>
    <w:p>
      <w:pPr>
        <w:pStyle w:val="SourceNote"/>
      </w:pPr>
      <w:r>
        <w:rPr>
          <w:b/>
        </w:rPr>
        <w:t>Available abstract (not full text):</w:t>
      </w:r>
      <w:r>
        <w:t xml:space="preserve"> Projected changes of future precipitation extremes exhibit substantial uncertainties among climate models, posing grand challenges to climate actions and adaptation planning. Practical methods for narrowing the projection uncertainty remain elusive. Here, using large model ensembles, we show that the uncertainty in projections of future extratropical extreme precipitation is significantly correlated with the model representations of present-day precipitation variability. Models with weaker present-day precipitation variability tend to project larger increases in extreme precipitation occurrences under a given global warming increment. This relationship can be explained statistically using idealized distributions for precipitation. This emergent relationship provides a powerful constraint on future projections of extreme precipitation from observed present-day precipitation variability, which reduces projection uncertainty by 20-40% over extratropical regions. Because of the widespread impacts of extreme precipitation, this has not only provided useful insights into understanding uncertainties in current model projections, but is also expected to bring potential socio-economic benefits in climate change adaptation planning.</w:t>
      </w:r>
    </w:p>
    <w:p>
      <w:pPr>
        <w:pStyle w:val="Heading2"/>
      </w:pPr>
      <w:r>
        <w:t>800.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2024:</w:t>
      </w:r>
      <w:r>
        <w:t xml:space="preserve"> Teaching-Track Economists in the United Kingdom — https://doi.org/10.1257/pandp.20241034</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In this companion paper to Arico et al (2024), we use a mixed-methods approach to characterize teaching-track faculty positions in the United Kingdom. We find these roles are more prevalent in the United Kingdom compared to the United States or Canada, and notably more oriented toward scholarship and administration duties. A high value is placed by role holders on the existence of formal networks that connect teaching-track economists across universities. We provide some context to help understand these findings, which will be relevant for academics considering these roles as well as department and university leaders.</w:t>
      </w:r>
    </w:p>
    <w:p>
      <w:pPr/>
      <w:r>
        <w:rPr>
          <w:b/>
        </w:rPr>
        <w:t>POSSIBLE 2023:</w:t>
      </w:r>
      <w:r>
        <w:t xml:space="preserve"> FORWARD Study of GORE VIABAHN Balloon-Expandable Endoprostheses and Bare Metal Stents in the United States, European Union, United Kingdom, Australia, and New Zealand When Placed to Treat Complex Iliac Occlusive Disease: Protocol for a Randomized Superiority Trial — https://doi.org/10.2196/51480</w:t>
      </w:r>
    </w:p>
    <w:p>
      <w:pPr/>
      <w:r>
        <w:rPr>
          <w:b/>
        </w:rPr>
        <w:t>Shared claim-specific concepts:</w:t>
      </w:r>
      <w:r>
        <w:t xml:space="preserve"> united, kingdom, placed, baseline; EU scope visible. This is a provisional connection, not an outcome finding.</w:t>
      </w:r>
    </w:p>
    <w:p>
      <w:pPr>
        <w:pStyle w:val="SourceNote"/>
      </w:pPr>
      <w:r>
        <w:rPr>
          <w:b/>
        </w:rPr>
        <w:t>Available abstract (not full text):</w:t>
      </w:r>
      <w:r>
        <w:t xml:space="preserve"> BACKGROUND: The recommendations for the use of and selection of covered stent grafts in patients with aortoiliac occlusive disease are limited. OBJECTIVE: The GORE VBX FORWARD clinical study aims to demonstrate the superiority of the GORE VIABAHN VBX Balloon Expandable Endoprosthesis (VBX device) for primary patency when compared to bare metal stenting (BMS) for the treatment of complex iliac artery occlusive disease. METHODS: A prospective, multicenter, randomized control study in the United States, European Union, United Kingdom, Australia, and New Zealand will enroll patients with symptomatic, complex iliac artery occlusive disease. In this study, iliac artery occlusive disease is defined as a unilateral or bilateral disease with single or multiple lesions (with &gt;50% stenosis or chronic total occlusion) each between 4 and 11 cm in length. In an attempt to more closely match real-world practices, patients with minor tissue loss (Rutherford class 5) and patients requiring hemodialysis will be included. Baseline aortoiliac angiography will be performed to assess target lesion characteristics and determine final patient eligibility. Once the patient is confirmed and guidewires are in place across the target lesions, the patient will be randomized in a 1:1 format to treatment with either the VBX device or a BMS. The BMS can be balloon- or self-expanding and must be approved for t</w:t>
      </w:r>
    </w:p>
    <w:p>
      <w:pPr/>
      <w:r>
        <w:rPr>
          <w:b/>
        </w:rPr>
        <w:t>POSSIBLE 2023:</w:t>
      </w:r>
      <w:r>
        <w:t xml:space="preserve"> Hybrid warfare management of the United Kingdom — https://doi.org/10.5937/nabepo28-43140</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The United Kingdom achieves national security by acting in accordance with the Fusion Doctrine, as a new approach to national security that should ensure the integration of all resources of national power. The Fusion Doctrine was officially accepted in 2021 within the new national security strategy. The new strategy integrated defence, security and foreign policies into a single act which reflects the Fusion Doctrine in the best manner. The new approach to security led to organizational changes of the entire state administration system, as well as within individual departments. Special emphasis was placed on the efficient coordination of the complex state apparatus.</w:t>
      </w:r>
    </w:p>
    <w:p>
      <w:pPr/>
      <w:r>
        <w:rPr>
          <w:b/>
        </w:rPr>
        <w:t>POSSIBLE 2023:</w:t>
      </w:r>
      <w:r>
        <w:t xml:space="preserve"> United Kingdom — https://doi.org/10.5089/9798400248627.002</w:t>
      </w:r>
    </w:p>
    <w:p>
      <w:pPr/>
      <w:r>
        <w:rPr>
          <w:b/>
        </w:rPr>
        <w:t>Shared claim-specific concepts:</w:t>
      </w:r>
      <w:r>
        <w:t xml:space="preserve"> united, kingdom, transition, against; EU scope not established. This is a provisional connection, not an outcome finding.</w:t>
      </w:r>
    </w:p>
    <w:p>
      <w:pPr>
        <w:pStyle w:val="SourceNote"/>
      </w:pPr>
      <w:r>
        <w:rPr>
          <w:b/>
        </w:rPr>
        <w:t>Available abstract (not full text):</w:t>
      </w:r>
      <w:r>
        <w:t xml:space="preserve"> The 2023 Article IV Consultation with the United Kingdom discusses that market stress following the September 2022 “mini-budget” has dissipated, in the context of a successful financial stability intervention by the Bank of England (BoE) and two prudent budgets. The post-pandemic recovery was disrupted by the sharp energy price shock due to Russia’s war in Ukraine; labor force participation has declined, mainly because of rising long-term illness; and large policy rate increases—needed to arrest high and sticky inflation—have tightened financial conditions. The overarching policy objectives are price and financial stability, while reforming the fiscal and financial frameworks, and boosting sustainable, medium-term growth. Monetary Policy will need to be tightened further to arrest inflationary pressures, which have shown greater-than-expected persistence, and durably bring inflation to the 2 percent target. Fiscal Policy should remain aligned with monetary policy in the fight against inflation and account for very significant medium-term pressures related to service delivery (especially healthcare), and needed investments in skills, innovation, infrastructure, and the green transition.</w:t>
      </w:r>
    </w:p>
    <w:p>
      <w:pPr/>
      <w:r>
        <w:rPr>
          <w:b/>
        </w:rPr>
        <w:t>POSSIBLE 2023:</w:t>
      </w:r>
      <w:r>
        <w:t xml:space="preserve"> Carbon footprint of low-energy buildings in the United Kingdom: Effects of mitigating technological pathways and decarbonization strategies — https://doi.org/10.1016/j.scitotenv.2023.163490</w:t>
      </w:r>
    </w:p>
    <w:p>
      <w:pPr/>
      <w:r>
        <w:rPr>
          <w:b/>
        </w:rPr>
        <w:t>Shared claim-specific concepts:</w:t>
      </w:r>
      <w:r>
        <w:t xml:space="preserve"> united, kingdom, greenhouse, gas, emissions, baseline; EU scope not established. This is a provisional connection, not an outcome finding.</w:t>
      </w:r>
    </w:p>
    <w:p>
      <w:pPr>
        <w:pStyle w:val="SourceNote"/>
      </w:pPr>
      <w:r>
        <w:rPr>
          <w:b/>
        </w:rPr>
        <w:t>Available abstract (not full text):</w:t>
      </w:r>
      <w:r>
        <w:t xml:space="preserve"> There is a limited comprehensive analysis of the effectiveness of adopted carbon mitigation strategies for buildings over their life cycle, that are concerned with temporal perspectives of emissions. Accordingly, this paper explores a life cycle assessment (LCA) to address the concerns regarding mitigating the carbon footprint of a UK timber-frame low-energy dwelling. In particular, it aims to investigate the potential greenhouse gas (GHG) emission reduction in terms of three different heating and ventilation options, and to analyze the influence of decarbonization of electricity production as well as the technological progress of the waste treatment of timber on the building's environmental performance. Thus, the whole life‑carbon of the building case studies was evaluated for a total of eight investigated prospective scenarios, and they were compared to the LCA results of the baseline scenario, where the existing technology and context remained constant over time. Results show that using a compact heat pump would lead to a significant whole life-cycle emission reduction of the dwelling, by 19 %; while GHG emission savings can be reinforced if the assessed systems are employed simultaneously with grid decarbonization, exhibiting a 25 %-60 % reduction compared to the baseline scenario. Moreover, technological changes in the waste treatments of timber products could substantiall</w:t>
      </w:r>
    </w:p>
    <w:p>
      <w:pPr/>
      <w:r>
        <w:rPr>
          <w:b/>
        </w:rPr>
        <w:t>POSSIBLE 2023:</w:t>
      </w:r>
      <w:r>
        <w:t xml:space="preserve"> Determinants of public preferences on low-carbon energy sources: Evidence from the United Kingdom — https://doi.org/10.1016/j.energy.2023.128704</w:t>
      </w:r>
    </w:p>
    <w:p>
      <w:pPr/>
      <w:r>
        <w:rPr>
          <w:b/>
        </w:rPr>
        <w:t>Shared claim-specific concepts:</w:t>
      </w:r>
      <w:r>
        <w:t xml:space="preserve"> united, kingdom, low-carbon;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The United Kingdom — https://doi.org/10.1093/oso/9780192855534.003.0006</w:t>
      </w:r>
    </w:p>
    <w:p>
      <w:pPr/>
      <w:r>
        <w:rPr>
          <w:b/>
        </w:rPr>
        <w:t>Shared claim-specific concepts:</w:t>
      </w:r>
      <w:r>
        <w:t xml:space="preserve"> united, kingdom, itself, provided, within; EU scope visible. This is a provisional connection, not an outcome finding.</w:t>
      </w:r>
    </w:p>
    <w:p>
      <w:pPr>
        <w:pStyle w:val="SourceNote"/>
      </w:pPr>
      <w:r>
        <w:rPr>
          <w:b/>
        </w:rPr>
        <w:t>Available abstract (not full text):</w:t>
      </w:r>
      <w:r>
        <w:t xml:space="preserve"> Abstract This chapter examines the British policy towards the North Atlantic Alliance. The United Kingdom has always been unambiguous in its position on NATO. London helped to establish the Alliance in 1949 and ever since has striven to be its most important European ally. In consequence, the United Kingdom has provided a significant material contribution to NATO missions and command and sees itself as at the forefront of debates on NATO strategy and purpose. With rare exception (the case of Scottish nationalism), NATO membership is beyond question in domestic politics—and the Alliance has never obtained the same controversial status as the European Union. UK foreign and defence policies retain pretensions towards global influence, evidenced in the 2021 Integrated Review of Security, Defence, Development and Foreign Policy. High standing within NATO is one means by which that influence is to be exercised. The United Kingdom has also traditionally seen NATO as an essential bridge in its relationship with the United States, and this is even more so after Brexit. For London, transatlanticism is key to the Alliance, but this has, at times, created tensions with Paris and occasionally with Berlin. Overall, the chapter portrays the United Kingdom as being amongst NATO’s most stalwart and reliable allies and predicts that this is likely to remain so for the foreseeable future.</w:t>
      </w:r>
    </w:p>
    <w:p>
      <w:pPr/>
      <w:r>
        <w:rPr>
          <w:b/>
        </w:rPr>
        <w:t>POSSIBLE 2022:</w:t>
      </w:r>
      <w:r>
        <w:t xml:space="preserve"> Can nuclear energy technology budgets pave the way for a transition toward low‐carbon economy: Insights from the United Kingdom — https://doi.org/10.1002/sd.2383</w:t>
      </w:r>
    </w:p>
    <w:p>
      <w:pPr/>
      <w:r>
        <w:rPr>
          <w:b/>
        </w:rPr>
        <w:t>Shared claim-specific concepts:</w:t>
      </w:r>
      <w:r>
        <w:t xml:space="preserve"> united, kingdom, transition, economy; EU scope not established. This is a provisional connection, not an outcome finding.</w:t>
      </w:r>
    </w:p>
    <w:p>
      <w:pPr>
        <w:pStyle w:val="SourceNote"/>
      </w:pPr>
      <w:r>
        <w:rPr>
          <w:b/>
        </w:rPr>
        <w:t>Available abstract (not full text):</w:t>
      </w:r>
      <w:r>
        <w:t xml:space="preserve"> Abstract The energy resources of the economies play a critical role in reaching the 2030 and 2050 decarbonization targets. In this respect, research and development budgets for nuclear energy (NRD), which constitutes one‐fifth of the current energy resources in the United Kingdom, can be a step in the transition to a low‐carbon economy. However, the current literature neglects the impact of NRD on environmental quality for the United Kingdom. Thus, this paper explores the impact of NRD on CO2 in the United Kingdom by controlling income, trade openness, and financial development from 1974 to 2020 with a non‐linear autoregressive distributed lag (NARDL) approach. Empirical findings confirm the asymmetrical relationship between NRD and CO2. In this context, while positive changes in NRD reduce environmental degradation, negative changes in NRD hinder environmental sustainability. Another finding is that the environmental Kuznets curve (EKC) hypothesis is valid. Furthermore, the results show that while economic growth and trade openness reduce environmental quality, financial development contributes to environmental quality. Considering these findings, financial deepening activities should continue in the United Kingdom. More resources should be allocated to nuclear energy research and development budgets in the transition to a low‐carbon economy.</w:t>
      </w:r>
    </w:p>
    <w:p>
      <w:pPr/>
      <w:r>
        <w:rPr>
          <w:b/>
        </w:rPr>
        <w:t>POSSIBLE 2022:</w:t>
      </w:r>
      <w:r>
        <w:t xml:space="preserve"> Energy requirements and carbon emissions for a low-carbon energy transition — https://doi.org/10.1038/s41467-022-33976-5</w:t>
      </w:r>
    </w:p>
    <w:p>
      <w:pPr/>
      <w:r>
        <w:rPr>
          <w:b/>
        </w:rPr>
        <w:t>Shared claim-specific concepts:</w:t>
      </w:r>
      <w:r>
        <w:t xml:space="preserve"> itself, transition, low-carbon, society, emissions; EU scope not established. This is a provisional connection, not an outcome finding.</w:t>
      </w:r>
    </w:p>
    <w:p>
      <w:pPr>
        <w:pStyle w:val="SourceNote"/>
      </w:pPr>
      <w:r>
        <w:rPr>
          <w:b/>
        </w:rPr>
        <w:t>Available abstract (not full text):</w:t>
      </w:r>
      <w:r>
        <w:t xml:space="preserve"> Abstract Achieving the Paris Agreement will require massive deployment of low-carbon energy. However, constructing, operating, and maintaining a low-carbon energy system will itself require energy, with much of it derived from fossil fuels. This raises the concern that the transition may consume much of the energy available to society, and be a source of considerable emissions. Here we calculate the energy requirements and emissions associated with the global energy system in fourteen mitigation pathways compatible with 1.5 °C of warming. We find that the initial push for a transition is likely to cause a 10–34% decline in net energy available to society. Moreover, we find that the carbon emissions associated with the transition to a low-carbon energy system are substantial, ranging from 70 to 395 GtCO2 (with a cross-scenario average of 195 GtCO2). The share of carbon emissions for the energy system will increase from 10% today to 27% in 2050, and in some cases may take up all remaining emissions available to society under 1.5 °C pathways.</w:t>
      </w:r>
    </w:p>
    <w:p>
      <w:pPr>
        <w:pStyle w:val="Heading2"/>
      </w:pPr>
      <w:r>
        <w:t>801.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r>
        <w:rPr>
          <w:b/>
        </w:rPr>
        <w:t>POSSIBLE 2024:</w:t>
      </w:r>
      <w:r>
        <w:t xml:space="preserve"> A Focus Group Study on Participatory Practices in Early Childhood Education and Care Across Four European Countries — https://doi.org/10.1080/10409289.2024.2360868</w:t>
      </w:r>
    </w:p>
    <w:p>
      <w:pPr/>
      <w:r>
        <w:rPr>
          <w:b/>
        </w:rPr>
        <w:t>Shared claim-specific concepts:</w:t>
      </w:r>
      <w:r>
        <w:t xml:space="preserve"> four, regarding, practice, teachers; EU scope visible. This is a provisional connection, not an outcome finding.</w:t>
      </w:r>
    </w:p>
    <w:p>
      <w:pPr>
        <w:pStyle w:val="SourceNote"/>
      </w:pPr>
      <w:r>
        <w:rPr>
          <w:b/>
        </w:rPr>
        <w:t>Available abstract (not full text):</w:t>
      </w:r>
      <w:r>
        <w:t xml:space="preserve"> Participation in educational settings is a universal right of every child, consigned by the United Nations Convention on the Rights of the Child. This right encompasses the need to protect and encourage young children´s active participation and decision-making in early childhood education and care. Research Findings: This qualitative study, inspired by the Lundy model (2007), examined ECEC teachers’ (n = 25) and coordinators’ (n = 25) perceptions about participation practices, collected through focus groups conducted in Belgium, Greece, Poland, and Portugal. Participants were previously referred as implementing participatory practices. Results showed that the four dimensions of the Lundy model emerged in teachers’ and coordinators’ group discussions: Participative space, Children’s voice, Audience of children’s perspectives, and Influence. Furthermore, a number of subcategories in each dimension reflected different orientations toward participatory pedagogy. Practice or Policy: This study contributes to informing and inspiring participation practices in ECEC across Europe and to enriching policy discussions regarding children´s participation rights, particularly in the early years. Promising participatory practices were identified in the various dimensions of participation, though some challenges remain, requiring in-depth knowledge about pedagogical practices and the promotion</w:t>
      </w:r>
    </w:p>
    <w:p>
      <w:pPr/>
      <w:r>
        <w:rPr>
          <w:b/>
        </w:rPr>
        <w:t>POSSIBLE 2024:</w:t>
      </w:r>
      <w:r>
        <w:t xml:space="preserve"> Recommendations for the training and practice of fetal cardiology from the Association of European Paediatric Cardiology — https://doi.org/10.1017/s1047951124025885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Prenatal detection of cardiac abnormalities has increased significantly over the past few decades, such that fetal cardiology has developed into a sub-specialty of paediatric and congenital cardiology. As this speciality develops further and extends across Europe and more globally, it is important to standardize the requirements for training and subsequent practice, to optimize prenatal diagnosis and perinatal care. In addition to the knowledge and technical skills required to make a correct diagnosis, the counseling of families after diagnosis and the planning of appropriate perinatal management is equally important. The aim of these recommendations is to provide a framework for both basic and advanced training for paediatric cardiologists wishing to practice as fetal cardiologists, as well as highlighting requisites for a fetal cardiology service. All aspects regarding training in fetal cardiology and service provision are addressed including diagnosis, counseling and management.</w:t>
      </w:r>
    </w:p>
    <w:p>
      <w:pPr/>
      <w:r>
        <w:rPr>
          <w:b/>
        </w:rPr>
        <w:t>POSSIBLE 2023:</w:t>
      </w:r>
      <w:r>
        <w:t xml:space="preserve"> Team Chemistry and COVID in European Football — https://doi.org/10.2174/1875399x-v16-e230510-2022-37</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Objective: This research investigates the influence of team chemistry and COVID on football matches. Methods: This is done by estimating the effect of both chemistryand COVID on match results and analysing the performance of prediction models where both effects are included and threshold intervals are usedfor classification. Four different chemistry measures are introduced and all are evaluated. Results: Chemistry has the expected positive effect on performance only for the top teams in the estimations where interaction effects are included for two different chemistry measures. COVID has the expected mitigating effect on home advantage. The inclusion of both effects in prediction models does not increase prediction accuracy consistently, although for various symmetric threshold intervals the prediction models with chemistry and COVID included outperforming the baseline models. Conclusion: Chemistry can have a positive influence on the perfomrance of a team and empty stadiums due to COVID mitigate the effect of home advantage. Including COVID and chemistry measures based on region in predictions is highly recommended.</w:t>
      </w:r>
    </w:p>
    <w:p>
      <w:pPr/>
      <w:r>
        <w:rPr>
          <w:b/>
        </w:rPr>
        <w:t>POSSIBLE 2023:</w:t>
      </w:r>
      <w:r>
        <w:t xml:space="preserve"> Behavior Analysts’ Training and Practice Regarding Trauma-Informed Care — https://doi.org/10.1007/s40617-023-00836-7</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Reticular Chemistry for Highly Porous Metal–Organic Frameworks: The Chemistry and Applications — https://doi.org/10.1021/acs.accounts.1c00707</w:t>
      </w:r>
    </w:p>
    <w:p>
      <w:pPr/>
      <w:r>
        <w:rPr>
          <w:b/>
        </w:rPr>
        <w:t>Shared claim-specific concepts:</w:t>
      </w:r>
      <w:r>
        <w:t xml:space="preserve"> four, chemistry, developed, design, two, account; EU scope not established. This is a provisional connection, not an outcome finding.</w:t>
      </w:r>
    </w:p>
    <w:p>
      <w:pPr>
        <w:pStyle w:val="SourceNote"/>
      </w:pPr>
      <w:r>
        <w:rPr>
          <w:b/>
        </w:rPr>
        <w:t>Available abstract (not full text):</w:t>
      </w:r>
      <w:r>
        <w:t xml:space="preserve"> Conspectus Current global crises related to clean energy and the environment entail the development of materials that are capable of addressing these challenges. Metal–organic frameworks (MOFs), a class of functional materials assembled from metal-containing nodes and organic ligands via coordination bonds, have been successfully developed for various applications, including catalysis, toxic chemical removal, and gas storage and separation, as a result of their highly tailorable nature and precisely engineered pore structures. In particular, the exceptionally high surface areas and porosities of MOFs are two of their most attractive characteristics and place them among the best porous materials for the storage of clean energy gases, such as hydrogen and methane. Reticular chemistry stands out as a prominent approach to the design of MOFs as this strategy allows for the rational top-down design of frameworks guided by topological nets to afford extended framework structures with precise architectural arrangements at the molecular level. Bridging the gap between reticular chemistry design strategies and highly porous MOFs can facilitate the development of next-generation high-performance materials through state-of-the-art chemical design. In this Account, we summarize our group’s efforts over the past few years toward the synthesis and applications of highly porous MOFs inspired </w:t>
      </w:r>
    </w:p>
    <w:p>
      <w:pPr/>
      <w:r>
        <w:rPr>
          <w:b/>
        </w:rPr>
        <w:t>POSSIBLE 2022:</w:t>
      </w:r>
      <w:r>
        <w:t xml:space="preserve"> Police Training in Practice: Organization and Delivery According to European Law Enforcement Agencies — https://doi.org/10.3389/fpsyg.2021.798067</w:t>
      </w:r>
    </w:p>
    <w:p>
      <w:pPr/>
      <w:r>
        <w:rPr>
          <w:b/>
        </w:rPr>
        <w:t>Shared claim-specific concepts:</w:t>
      </w:r>
      <w:r>
        <w:t xml:space="preserve"> training, practice, two; EU scope visible. This is a provisional connection, not an outcome finding.</w:t>
      </w:r>
    </w:p>
    <w:p>
      <w:pPr>
        <w:pStyle w:val="SourceNote"/>
      </w:pPr>
      <w:r>
        <w:rPr>
          <w:b/>
        </w:rPr>
        <w:t>Available abstract (not full text):</w:t>
      </w:r>
      <w:r>
        <w:t xml:space="preserve"> Police training plays a crucial role in the development of police officers. Because the training of police officers combines various educational components and is governed by organizational guidelines, police training is a complex, multifaceted topic. The current study investigates training at six European law enforcement agencies and aims to identify strengths and challenges of current training organization and practice. We interviewed a total of 16 police instructors and seven police coordinators with conceptual training tasks. A thematic analysis (Braun and Clarke, 2006; Terry et al., 2017) was conducted and results organized in the two main themes evident across all six law enforcement agencies: organization of training and delivery of training. Results show that governmental structures and police executive boards are seen as the primary authorities that define the training framework in which police instructors operate. These administrative structures regulate distant and immediate resources, such as available training time, training facilities, equipment, and personnel. Within the confines of available resources and predetermined training frameworks, results indicate that police instructors thoroughly enjoy teaching, creating supportive and motivating learning environments, and applying their personal learning perspectives to training. Nonetheless, police instructors are c</w:t>
      </w:r>
    </w:p>
    <w:p>
      <w:pPr/>
      <w:r>
        <w:rPr>
          <w:b/>
        </w:rPr>
        <w:t>POSSIBLE 2021:</w:t>
      </w:r>
      <w:r>
        <w:t xml:space="preserve"> The cybersecurity labour shortage in Europe: Moving to a new concept for education and training — https://doi.org/10.1016/j.techsoc.2021.101769</w:t>
      </w:r>
    </w:p>
    <w:p>
      <w:pPr/>
      <w:r>
        <w:rPr>
          <w:b/>
        </w:rPr>
        <w:t>Shared claim-specific concepts:</w:t>
      </w:r>
      <w:r>
        <w:t xml:space="preserve"> training, taken, proposed, courses; EU scope visible. This is a provisional connection, not an outcome finding.</w:t>
      </w:r>
    </w:p>
    <w:p>
      <w:pPr>
        <w:pStyle w:val="SourceNote"/>
      </w:pPr>
      <w:r>
        <w:rPr>
          <w:b/>
        </w:rPr>
        <w:t>Available abstract (not full text):</w:t>
      </w:r>
      <w:r>
        <w:t xml:space="preserve"> Recruiting, retaining and maintaining sufficient numbers of cybersecurity professionals in the workplace is a constant battle, not only for the technical side of cybersecurity, but also for the overlooked area of non-technical, managerial-related jobs in the cyber sector. This paper addresses the lack of cybersecurity skills in the European labour force market and the actions taken to improve the education in cybersecurity for meeting the identified needs. The paper analyses what kind of topics are missing within the cybersecurity curricula of the high-level educational institutions in Europe and in the courses provided by the cybersecurity trainers on the market. The findings are based on the data collected by the surveys carried out by the European competence centres on cybersecurity and the European CyberSecurity organization. These findings show that there are missing topics in the context of higher education cybersecurity programmes and within the private courses offered on the market. The problem of common programme accreditation of European higher education institutes (HEI) and the competence certifications for different work profiles in the area of cybersecurity are briefly presented and discussed as well. The actions undertaken to improve the education in both sectors are presented and the emerging educational landscape is proposed based on our findings. Recommendation</w:t>
      </w:r>
    </w:p>
    <w:p>
      <w:pPr/>
      <w:r>
        <w:rPr>
          <w:b/>
        </w:rPr>
        <w:t>POSSIBLE 2021:</w:t>
      </w:r>
      <w:r>
        <w:t xml:space="preserve"> The Current Perceptions of Practicing Audiologists Regarding the State of Teleaudiology Education and Training — https://openalex.org/W3159985972</w:t>
      </w:r>
    </w:p>
    <w:p>
      <w:pPr/>
      <w:r>
        <w:rPr>
          <w:b/>
        </w:rPr>
        <w:t>Shared claim-specific concepts:</w:t>
      </w:r>
      <w:r>
        <w:t xml:space="preserve"> regarding, training, practice, developed, courses; EU scope not established. This is a provisional connection, not an outcome finding.</w:t>
      </w:r>
    </w:p>
    <w:p>
      <w:pPr>
        <w:pStyle w:val="SourceNote"/>
      </w:pPr>
      <w:r>
        <w:rPr>
          <w:b/>
        </w:rPr>
        <w:t>Available abstract (not full text):</w:t>
      </w:r>
      <w:r>
        <w:t xml:space="preserve"> Telemedicine is the practice of providing medical care remotely, when the patient and the clinician are not meeting face to face (Krumm &amp; Syms, 2012). The practice of telemedicine in audiology is teleaudiology. The purpose of the current study was to determine the current perceptions and experiences audiologists have about teleaudiology practices, education, and training. A 16-question survey was developed using Qualtrics and distributed to audiologists via various social media groups for audiologists online and it consisted of 16 questions. There were 352 respondents. Overall, a large percentage of audiologists do perform teleaudiology services, and most reported their training for teleaudiology was on the job or through workshops. The vast majority of participants (93%) reported that they felt there was a need for teleaudiology education and training, while only about 30% of respondents reported there was adequate teleaudiology education and training in their area. Results were further analyzed for the entire group as well as by various demographic factors such as years of experience, practice setting, etc. to see if those factors influenced responses. The results were highly consistent across subgroups such that the factors did not appear to influence the overall perceptions or practices of participants. The respondents had a chance to make additional comments at the end of </w:t>
      </w:r>
    </w:p>
    <w:p>
      <w:pPr/>
      <w:r>
        <w:rPr>
          <w:b/>
        </w:rPr>
        <w:t>POSSIBLE 2020:</w:t>
      </w:r>
      <w:r>
        <w:t xml:space="preserve"> European Stakeholder Learnings Regarding Biosimilars: Part II—Improving Biosimilar Use in Clinical Practice — https://doi.org/10.1007/s40259-020-00440-z</w:t>
      </w:r>
    </w:p>
    <w:p>
      <w:pPr/>
      <w:r>
        <w:rPr>
          <w:b/>
        </w:rPr>
        <w:t>Shared claim-specific concepts:</w:t>
      </w:r>
      <w:r>
        <w:t xml:space="preserve"> regarding, practice, proposed; EU scope visible. This is a provisional connection, not an outcome finding.</w:t>
      </w:r>
    </w:p>
    <w:p>
      <w:pPr>
        <w:pStyle w:val="SourceNote"/>
      </w:pPr>
      <w:r>
        <w:rPr>
          <w:b/>
        </w:rPr>
        <w:t>Available abstract (not full text):</w:t>
      </w:r>
      <w:r>
        <w:t xml:space="preserve"> BACKGROUND: Despite the benefits biosimilars offer in terms of cost savings and patient access, healthcare professionals and patients have been reluctant to use them. Next to insufficient understanding of and trust in biosimilars, healthcare professionals and patients have questions about switching and the nocebo effect when using biosimilars in clinical practice. In addition, clear motivation to use biosimilars may be lacking among these stakeholders. OBJECTIVE: This study aims to provide recommendations on how to improve biosimilar use on both a clinical and a practical level based on insights from healthcare professionals (physicians, hospital pharmacists, nurses), patients (or their representatives), and regulators across Europe. METHODS: We conducted 44 semi-structured interviews with experts from five stakeholder groups across Europe: physicians, hospital pharmacists, nurses, regulators, and patients/representatives. Interviews were transcribed ad verbatim and transcripts analysed according to the thematic framework method. RESULTS: Based on the insights and considerations of the experts interviewed, we identified a number of recommendations to improve the use of biosimilars in clinical practice. Regarding switch implementation, the experts voiced support for the following actions: (1) disseminate evidence from and experience with (multiple) switching; (2) provide clear, </w:t>
      </w:r>
    </w:p>
    <w:p>
      <w:pPr/>
      <w:r>
        <w:rPr>
          <w:b/>
        </w:rPr>
        <w:t>POSSIBLE 2020:</w:t>
      </w:r>
      <w:r>
        <w:t xml:space="preserve"> Vestibular rehabilitation in Europe: a survey of clinical and research practice — https://doi.org/10.1007/s00415-020-10228-4</w:t>
      </w:r>
    </w:p>
    <w:p>
      <w:pPr/>
      <w:r>
        <w:rPr>
          <w:b/>
        </w:rPr>
        <w:t>Shared claim-specific concepts:</w:t>
      </w:r>
      <w:r>
        <w:t xml:space="preserve"> four, regarding, training, practice, taken, trained; EU scope visible. This is a provisional connection, not an outcome finding.</w:t>
      </w:r>
    </w:p>
    <w:p>
      <w:pPr>
        <w:pStyle w:val="SourceNote"/>
      </w:pPr>
      <w:r>
        <w:rPr>
          <w:b/>
        </w:rPr>
        <w:t>Available abstract (not full text):</w:t>
      </w:r>
      <w:r>
        <w:t xml:space="preserve"> Vestibular rehabilitation (VR) is practiced across Europe but little in this area has been quantified. The aim of this study was to investigate current VR assessment, treatment, education, and research practices. This was an online, cross-sectional survey with 39 VR specific questions and four sections: demographics, current practice, education, and research. The survey was disseminated through the Dizzynet network to individual therapists through country-specific VR special interest groups. Results were analysed descriptively. A thematic approach was taken to analyse open questions. A total of 471 individuals (median age 41, range 23 - 68 years, 73.4% women), predominately physiotherapists (89.4%) from 20 European countries responded to the survey. They had worked for a median of 4 years (range &lt; 1 - 35) in VR. The majority (58.7%) worked in hospital in-patient or out-patient settings and 21.4% in dedicated VR services. Most respondents specialized in neurology, care of the elderly (geriatrics), or otorhinolaryngology. VR was reported as hard/very hard to access by 48%, with the main barriers to access identified as lack of knowledge of health care professionals (particularly family physicians), lack of trained therapists, and lack of local services. Most respondents reported to know and treat benign paroxysmal positional vertigo (BPPV 87.5%), unilateral vestibular hypofunctio</w:t>
      </w:r>
    </w:p>
    <w:p>
      <w:pPr>
        <w:pStyle w:val="Heading2"/>
      </w:pPr>
      <w:r>
        <w:t>802.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2023:</w:t>
      </w:r>
      <w:r>
        <w:t xml:space="preserve"> Do tight environmental regulations cause economic contraction? Panel evidence from the European countries — https://doi.org/10.1111/1477-8947.12322</w:t>
      </w:r>
    </w:p>
    <w:p>
      <w:pPr/>
      <w:r>
        <w:rPr>
          <w:b/>
        </w:rPr>
        <w:t>Shared claim-specific concepts:</w:t>
      </w:r>
      <w:r>
        <w:t xml:space="preserve"> need, tight, countries, affected, develop; EU scope visible. This is a provisional connection, not an outcome finding.</w:t>
      </w:r>
    </w:p>
    <w:p>
      <w:pPr>
        <w:pStyle w:val="SourceNote"/>
      </w:pPr>
      <w:r>
        <w:rPr>
          <w:b/>
        </w:rPr>
        <w:t>Available abstract (not full text):</w:t>
      </w:r>
      <w:r>
        <w:t xml:space="preserve"> Abstract Developed countries have long tried to increase their environmental standards to mitigate the negative effects of economic activities. For this purpose, they impose environmental taxes, energy taxes, and emission limits. In the last decade, a new measurement technique for environmental policy was introduced: the Environmental Policy Stringency Index (EPS index). This index takes values from 0.00 to 6.00, and higher values refer to more stringent environmental policies, whereas lower values suggest lax policies. This study aims to explore the impact of the EPS index on economic activities at the aggregate and sectoral levels for 20 European countries covering the period 1995–2020. For this purpose, this study utilizes the dynamic panel data approach, the two‐step system generalized method of moments (GMM) estimation method. The empirical findings show that an increase in the EPS index causes a decline in economic growth at the aggregate level. At the sectoral level, it was found that the industry sector is negatively affected by increases in environmental standards. In addition to the system GMM results, this study employs the Dumitrescu–Hurlin panel non‐causality test to detect causal linkages between variables. The empirical findings show that the EPS index Granger causes economic activity in almost all sectors. The empirical results indicate that environmental regula</w:t>
      </w:r>
    </w:p>
    <w:p>
      <w:pPr/>
      <w:r>
        <w:rPr>
          <w:b/>
        </w:rPr>
        <w:t>POSSIBLE 2023:</w:t>
      </w:r>
      <w:r>
        <w:t xml:space="preserve"> Impact of COVID-19 on labour force and recovery peculiarities in selected countries of Europe — https://doi.org/10.9770/jesi.2023.10.3(20)</w:t>
      </w:r>
    </w:p>
    <w:p>
      <w:pPr/>
      <w:r>
        <w:rPr>
          <w:b/>
        </w:rPr>
        <w:t>Shared claim-specific concepts:</w:t>
      </w:r>
      <w:r>
        <w:t xml:space="preserve"> need, countries, affected; EU scope visible. This is a provisional connection, not an outcome finding.</w:t>
      </w:r>
    </w:p>
    <w:p>
      <w:pPr>
        <w:pStyle w:val="SourceNote"/>
      </w:pPr>
      <w:r>
        <w:rPr>
          <w:b/>
        </w:rPr>
        <w:t>Available abstract (not full text):</w:t>
      </w:r>
      <w:r>
        <w:t xml:space="preserve"> In this paper, we have examined the impact of COVID-19 on labour force and recovery peculiarities in selected countries of Europe.Our goal has been to reach patients with post-COVID-19 or long-COVID-19 symptoms who were treated since 2020 and latest 2021 in different medical spas around Europe.Our research focused on whether work affects any aspect of life during illness and whether complaints experienced during post-COVID-19 treatments affect any aspect of life during illness.To achieve our results, we used quantitative research and tested two hypotheses.Our primary survey was conducted in May-June 2022.A total of 110 valid responses were received.The data collected through the questionnaire was examined using statistical analysis and calculationsdescriptive statistics, oneway ANOVA, linear regression analysis.All the respondents had COVID-19 positive test results in their life and attended post-COVID treatments in different medical spas in Europe.The results showed that coronavirus symptoms (post-or long-COVID-19 syndrome) were most likely to interfere with social and leisure activities and work.Well-being and pain need improvement.Improvement is possible with spa rehabilitation packages offering complex interventions such as balneotherapy (which uses local natural resources such as natural healing water, peloids, mofette), climatotherapy, physiotherapy, occupational therapy,</w:t>
      </w:r>
    </w:p>
    <w:p>
      <w:pPr/>
      <w:r>
        <w:rPr>
          <w:b/>
        </w:rPr>
        <w:t>POSSIBLE 2022:</w:t>
      </w:r>
      <w:r>
        <w:t xml:space="preserve"> European IoT International Cooperation in Research and Innovation — https://doi.org/10.1201/9781003337966-10</w:t>
      </w:r>
    </w:p>
    <w:p>
      <w:pPr/>
      <w:r>
        <w:rPr>
          <w:b/>
        </w:rPr>
        <w:t>Shared claim-specific concepts:</w:t>
      </w:r>
      <w:r>
        <w:t xml:space="preserve"> cooperation, countries, solutions; EU scope visible. This is a provisional connection, not an outcome finding.</w:t>
      </w:r>
    </w:p>
    <w:p>
      <w:pPr>
        <w:pStyle w:val="SourceNote"/>
      </w:pPr>
      <w:r>
        <w:rPr>
          <w:b/>
        </w:rPr>
        <w:t>Available abstract (not full text):</w:t>
      </w:r>
      <w:r>
        <w:t xml:space="preserve"> The IoT is now a global happening that is requiring cooperation at international level to address its key challenges. Europe has established as a priority the international cooperation on IoT research and innovation. The work revolves around aligning strategies and plans for IoT globalisation but also exploring differentiations, and specificities for local exploitation of IoT. Notice: EU is cooperating with African countries on cost-effective open IoT innovation; Europe is supporting Brazil to build-up its IoT ecosystem supported onEUbest practices; the EU-China IoT Advisory Group is active on pushing global IoT standards while developing competitive IoT solutions; the EU-Japan joint cooperation follows-on on the integration/federation of IoT with Big Data and Cloud; and the EU-Korea engagement is looking at major global IoT standardisation activities; EU-US cooperation is active especially via the respective global IoT initiative frameworks, the AIOTI and IIC. And cooperation is expected to start with India on the vision of a connected and smart IoT based system for their economy, society, environment and global needs. This chapter reports on EU international cooperation activities with partner countries and regions on the Internet of Things (IoT) .</w:t>
      </w:r>
    </w:p>
    <w:p>
      <w:pPr/>
      <w:r>
        <w:rPr>
          <w:b/>
        </w:rPr>
        <w:t>POSSIBLE 2022:</w:t>
      </w:r>
      <w:r>
        <w:t xml:space="preserve"> China and the transatlantic relationship: obstacles to deeper European–US cooperation — https://doi.org/10.55317/9781784135287</w:t>
      </w:r>
    </w:p>
    <w:p>
      <w:pPr/>
      <w:r>
        <w:rPr>
          <w:b/>
        </w:rPr>
        <w:t>Shared claim-specific concepts:</w:t>
      </w:r>
      <w:r>
        <w:t xml:space="preserve"> cooperation, countries, over; EU scope visible. This is a provisional connection, not an outcome finding.</w:t>
      </w:r>
    </w:p>
    <w:p>
      <w:pPr>
        <w:pStyle w:val="SourceNote"/>
      </w:pPr>
      <w:r>
        <w:rPr>
          <w:b/>
        </w:rPr>
        <w:t>Available abstract (not full text):</w:t>
      </w:r>
      <w:r>
        <w:t xml:space="preserve"> The rise of China is one of the greatest challenges for the transatlantic relationship. European countries and the US have similar concerns over China, but fundamental obstacles hinder a more joined-up approach. Although no longer aiming for decoupling as under the Trump administration, the US under President Joe Biden still sees itself in ‘strategic competition’ with China, while the European Commission has identified China as a ‘systemic rival’. However, differences remain between Europe and US on the scale of the challenge, and also within the EU over the desired level of economic and political engagement with China and over policy responses on the national, bilateral and global levels. This paper presents results from a two-year joint research project by Chatham House and the Royal United Services Institute on a Transatlantic Dialogue on China. The project examined the transatlantic relationship in the context of the China challenge by looking at four different policy areas – trade and investment, digital technology, climate change and the global commons.</w:t>
      </w:r>
    </w:p>
    <w:p>
      <w:pPr/>
      <w:r>
        <w:rPr>
          <w:b/>
        </w:rPr>
        <w:t>POSSIBLE 2021:</w:t>
      </w:r>
      <w:r>
        <w:t xml:space="preserve"> The relationship between cultural tightness–looseness and COVID-19 cases and deaths: a global analysis — https://doi.org/10.1016/s2542-5196(20)30301-6</w:t>
      </w:r>
    </w:p>
    <w:p>
      <w:pPr/>
      <w:r>
        <w:rPr>
          <w:b/>
        </w:rPr>
        <w:t>Shared claim-specific concepts:</w:t>
      </w:r>
      <w:r>
        <w:t xml:space="preserve"> tight, countries, million, help; EU scope not established. This is a provisional connection, not an outcome finding.</w:t>
      </w:r>
    </w:p>
    <w:p>
      <w:pPr>
        <w:pStyle w:val="SourceNote"/>
      </w:pPr>
      <w:r>
        <w:rPr>
          <w:b/>
        </w:rPr>
        <w:t>Available abstract (not full text):</w:t>
      </w:r>
      <w:r>
        <w:t xml:space="preserve"> BACKGROUND: The COVID-19 pandemic is a global health crisis, yet certain countries have had far more success in limiting COVID-19 cases and deaths. We suggest that collective threats require a tremendous amount of coordination, and that strict adherence to social norms is a key mechanism that enables groups to do so. Here we examine how the strength of social norms-or cultural tightness-looseness-was associated with countries' success in limiting cases and deaths by October, 2020. We expected that tight cultures, which have strict norms and punishments for deviance, would have fewer cases and deaths per million as compared with loose cultures, which have weaker norms and are more permissive. METHODS: We estimated the relationship between cultural tightness-looseness and COVID-19 case and mortality rates as of Oct 16, 2020, using ordinary least squares regression. We fit a series of stepwise models to capture whether cultural tightness-looseness explained variation in case and death rates controlling for under-reporting, demographics, geopolitical factors, other cultural dimensions, and climate. FINDINGS: The results indicated that, compared with nations with high levels of cultural tightness, nations with high levels of cultural looseness are estimated to have had 4·99 times the number of cases (7132 per million vs 1428 per million, respectively) and 8·71 times the number of de</w:t>
      </w:r>
    </w:p>
    <w:p>
      <w:pPr/>
      <w:r>
        <w:rPr>
          <w:b/>
        </w:rPr>
        <w:t>POSSIBLE 2020:</w:t>
      </w:r>
      <w:r>
        <w:t xml:space="preserve"> Interdependence and cooperation in daily life. — https://doi.org/10.1037/pspi0000253</w:t>
      </w:r>
    </w:p>
    <w:p>
      <w:pPr/>
      <w:r>
        <w:rPr>
          <w:b/>
        </w:rPr>
        <w:t>Shared claim-specific concepts:</w:t>
      </w:r>
      <w:r>
        <w:t xml:space="preserve"> cooperation, affected, over; EU scope not established. This is a provisional connection, not an outcome finding.</w:t>
      </w:r>
    </w:p>
    <w:p>
      <w:pPr>
        <w:pStyle w:val="SourceNote"/>
      </w:pPr>
      <w:r>
        <w:rPr>
          <w:b/>
        </w:rPr>
        <w:t>Available abstract (not full text):</w:t>
      </w:r>
      <w:r>
        <w:t xml:space="preserve"> Philosophers and scientists have long debated the nature of human social interactions and the prevalence of mutual dependence, conflict of interests, and power asymmetry in social situations. Yet, there is surprisingly little empirical work documenting the patterns of interdependence that people experience in daily life. We use experience sampling to study how people think about three dimensions of interdependence in daily life and how these dimensions relate to cooperation. In Study 1, 139 romantic couples (n = 278) reported on situations experienced with their partner (k = 6,766); in Study 2, individuals (n = 284) reported on situations experienced with any other person (k = 7,248), over the course of one week. Across both samples, we found that most social interactions were perceived as containing moderate mutual dependence, equal power, and corresponding interests. When couples reported on the same situation (Study 1), they largely agreed on their experienced interdependence and cooperation, suggesting that their reports reflect an underlying shared reality. In daily interactions across both samples, higher mutual dependence and lower conflict of interests were associated with more cooperation, whereas relative power was not directly related to cooperation. These associations replicated in laboratory experiments (Study 2). In daily life, high mutual dependence and high rela</w:t>
      </w:r>
    </w:p>
    <w:p>
      <w:pPr/>
      <w:r>
        <w:rPr>
          <w:b/>
        </w:rPr>
        <w:t>POSSIBLE 2020:</w:t>
      </w:r>
      <w:r>
        <w:t xml:space="preserve"> Migrant women’s experiences of pregnancy, childbirth and maternity care in European countries: A systematic review — https://doi.org/10.1371/journal.pone.0228378</w:t>
      </w:r>
    </w:p>
    <w:p>
      <w:pPr/>
      <w:r>
        <w:rPr>
          <w:b/>
        </w:rPr>
        <w:t>Shared claim-specific concepts:</w:t>
      </w:r>
      <w:r>
        <w:t xml:space="preserve"> need, countries, strategy, migrants; EU scope visible. This is a provisional connection, not an outcome finding.</w:t>
      </w:r>
    </w:p>
    <w:p>
      <w:pPr>
        <w:pStyle w:val="SourceNote"/>
      </w:pPr>
      <w:r>
        <w:rPr>
          <w:b/>
        </w:rPr>
        <w:t>Available abstract (not full text):</w:t>
      </w:r>
      <w:r>
        <w:t xml:space="preserve"> BACKGROUND: Across Europe there are increasing numbers of migrant women who are of childbearing age. Migrant women are at risk of poorer pregnancy outcomes. Models of maternity care need to be designed to meet the needs of all women in society to ensure equitable access to services and to address health inequalities. OBJECTIVE: To provide up-to-date systematic evidence on migrant women's experiences of pregnancy, childbirth and maternity care in their destination European country. SEARCH STRATEGY: CINAHL, MEDLINE, PubMed, PsycINFO and Scopus were searched for peer-reviewed articles published between 2007 and 2017. SELECTION CRITERIA: Qualitative and mixed-methods studies with a relevant qualitative component were considered for inclusion if they explored any aspect of migrant women's experiences of maternity care in Europe. DATA COLLECTION AND ANALYSIS: Qualitative data were extracted and analysed using thematic synthesis. RESULTS: The search identified 7472 articles, of which 51 were eligible and included. Studies were conducted in 14 European countries and focused on women described as migrants, refugees or asylum seekers. Four overarching themes emerged: 'Finding the way-the experience of navigating the system in a new place', 'We don't understand each other', 'The way you treat me matters', and 'My needs go beyond being pregnant'. CONCLUSIONS: Migrant women need culturally-</w:t>
      </w:r>
    </w:p>
    <w:p>
      <w:pPr/>
      <w:r>
        <w:rPr>
          <w:b/>
        </w:rPr>
        <w:t>POSSIBLE 2020:</w:t>
      </w:r>
      <w:r>
        <w:t xml:space="preserve"> The development of cycling in European countries since 1990 — https://doi.org/10.18757/ejtir.2021.21.2.5411</w:t>
      </w:r>
    </w:p>
    <w:p>
      <w:pPr/>
      <w:r>
        <w:rPr>
          <w:b/>
        </w:rPr>
        <w:t>Shared claim-specific concepts:</w:t>
      </w:r>
      <w:r>
        <w:t xml:space="preserve"> countries, over;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2019:</w:t>
      </w:r>
      <w:r>
        <w:t xml:space="preserve"> Legal Problems and Decisions in the Cooperation between National Ombudsmen in South – East Europe — https://openalex.org/W7131993177</w:t>
      </w:r>
    </w:p>
    <w:p>
      <w:pPr/>
      <w:r>
        <w:rPr>
          <w:b/>
        </w:rPr>
        <w:t>Shared claim-specific concepts:</w:t>
      </w:r>
      <w:r>
        <w:t xml:space="preserve"> need, tight, cooperation, countries, urgent; EU scope visible. This is a provisional connection, not an outcome finding.</w:t>
      </w:r>
    </w:p>
    <w:p>
      <w:pPr>
        <w:pStyle w:val="SourceNote"/>
      </w:pPr>
      <w:r>
        <w:rPr>
          <w:b/>
        </w:rPr>
        <w:t>Available abstract (not full text):</w:t>
      </w:r>
      <w:r>
        <w:t xml:space="preserve"> Abstract: The ombudsman institution is traditionally linked to the concept of human rights protection. In addition to this general notion, for the countries from South–Eastern Europe the ombudsman is a body related to the process of transition to rule of law and democratic values. In these countries the ombudsman has also the specific task of maintaining the social and ethnic peace and security. The ombudsman institutions in this region have also a beneficial effect on the process of accession to the EU and adherence to the principles of the Council of Europe as the human rights protection is in the heart of these organisations. The cooperation among ombudsmen in South–Eastern Europe is of crucial importance for the successful achievement of their tasks, especially in the context of challenging human rights issues with trans-border connotations. However the lack of a common model for the ombudsmen institutions, the difference in the mandate and functions and even the diverse title of these bodies, proves to be a serious hindrance to efficient collaboration and hence to the efficient protection of human rights at regional level. This is why the existence of international and European standards for the ombudsmen institutions from South-Eastern Europe is important in view of the need to bring them closer to each other but also closer to the successful model of a human rights prote</w:t>
      </w:r>
    </w:p>
    <w:p>
      <w:pPr/>
      <w:r>
        <w:rPr>
          <w:b/>
        </w:rPr>
        <w:t>POSSIBLE 2019:</w:t>
      </w:r>
      <w:r>
        <w:t xml:space="preserve"> A comparative approach to affect and cooperation — https://doi.org/10.1016/j.neubiorev.2019.09.027</w:t>
      </w:r>
    </w:p>
    <w:p>
      <w:pPr/>
      <w:r>
        <w:rPr>
          <w:b/>
        </w:rPr>
        <w:t>Shared claim-specific concepts:</w:t>
      </w:r>
      <w:r>
        <w:t xml:space="preserve"> cooperation, develop, help; EU scope not established. This is a provisional connection, not an outcome finding.</w:t>
      </w:r>
    </w:p>
    <w:p>
      <w:pPr>
        <w:pStyle w:val="SourceNote"/>
      </w:pPr>
      <w:r>
        <w:rPr>
          <w:b/>
        </w:rPr>
        <w:t>Available abstract (not full text):</w:t>
      </w:r>
      <w:r>
        <w:t xml:space="preserve"> A central premise of the science of comparative affect is that we can best learn about the causes and consequences of affect by comparing affective phenomena across a variety of species, including humans. We take as a given that affect is widely shared across animals, but a key challenge is to accurately represent each species' affective experience. A common approach in the comparative study of behavior and cognition is to develop standardized experimental paradigms that can be used across species, with the assumption that if the same task is being used, we can directly compare behavioral responses. This experimental approach rests on two underlying assumptions: first, that different species' perception of and affective response to these paradigms are the same; and second, that behavioral and physiological (including endocrine and neural) responses to these paradigms are homologous; if either of these assumptions is not true, then the comparison becomes much less straightforward. Our goal in the present paper is to summarize the dominant paradigms that have been used for such comparative research, with a particular focus on paradigms common in the cooperation literature, and to critically discuss dominant assumptions about what affective states these tasks can or should measure. We then consider the advantages and drawbacks of this experimental method, and consider alternatives</w:t>
      </w:r>
    </w:p>
    <w:p>
      <w:pPr>
        <w:pStyle w:val="Heading2"/>
      </w:pPr>
      <w:r>
        <w:t>803.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2025:</w:t>
      </w:r>
      <w:r>
        <w:t xml:space="preserve"> Atomic rivers. The (Un)sustainability of nuclear power in an age of climate change — https://doi.org/10.1016/j.enpol.2025.114631</w:t>
      </w:r>
    </w:p>
    <w:p>
      <w:pPr/>
      <w:r>
        <w:rPr>
          <w:b/>
        </w:rPr>
        <w:t>Shared claim-specific concepts:</w:t>
      </w:r>
      <w:r>
        <w:t xml:space="preserve"> nuclear, power, climate, electricity, conditions; EU scope visible. This is a provisional connection, not an outcome finding.</w:t>
      </w:r>
    </w:p>
    <w:p>
      <w:pPr>
        <w:pStyle w:val="SourceNote"/>
      </w:pPr>
      <w:r>
        <w:rPr>
          <w:b/>
        </w:rPr>
        <w:t>Available abstract (not full text):</w:t>
      </w:r>
      <w:r>
        <w:t xml:space="preserve"> The sustainability of nuclear energy amidst climate change and environmental regulations poses critical challenges, particularly in European contexts where major rivers like the Rhine, the Danube, and the Rhône are experiencing declining water levels and rising temperatures. We scrutinise the operational difficulties nuclear power plants encounter, arising from insufficient cooling water and environmental mandates that prevent the discharge of overly warm cooling water into rivers. These conditions have led to partial or full shutdowns of nuclear facilities across France, Germany, Switzerland, Belgium, Spain, Romania, and other countries, emphasising the tension between nuclear energy as a low-carbon solution and its environmental impacts. We explore the concept of sustainability in the context of riverine nuclear energy from three angles: technical challenges posed by water scarcity, regulatory constraints on cooling water temperatures, and the ecological impacts of thermal discharges on riverine ecosystems. Our analysis reveals an emerging contradiction between ensuring electricity supply and adhering to environmental protection, highlighting the need for a reevaluation of nuclear energy's role in a future sustainable energy landscape. • The sustainability of riverine nuclear power plants is questionable. • Extreme weather, like heatwaves combined with water scarcity, threate</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nuclear, power, generation;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2023:</w:t>
      </w:r>
      <w:r>
        <w:t xml:space="preserve"> Democracy and Nuclear Power in the Czech Republic — https://doi.org/10.4324/9781003421368-17</w:t>
      </w:r>
    </w:p>
    <w:p>
      <w:pPr/>
      <w:r>
        <w:rPr>
          <w:b/>
        </w:rPr>
        <w:t>Shared claim-specific concepts:</w:t>
      </w:r>
      <w:r>
        <w:t xml:space="preserve"> nuclear, power, experience; EU scope visible. This is a provisional connection, not an outcome finding.</w:t>
      </w:r>
    </w:p>
    <w:p>
      <w:pPr>
        <w:pStyle w:val="SourceNote"/>
      </w:pPr>
      <w:r>
        <w:rPr>
          <w:b/>
        </w:rPr>
        <w:t>Available abstract (not full text):</w:t>
      </w:r>
      <w:r>
        <w:t xml:space="preserve"> This chapter explores the construction of the one-thousand megawatt Temelin nuclear power plant in the Czech Republic. The Czech Republic is in the first group of candidates in central and eastern Europe to join both the European Union and the North Atlantic Treaty Organization. The Czech experience with nuclear power is a test case that will affect the viability and future marketability of nuclear power in central and eastern Europe. Nuclear power advocates saw the opportunity and accepted the challenge. The former Soviet Union, with compliance or agreement from the states of central and eastern Europe, had planned dozens of nuclear power plants for the region. The most widely used definition of sustainable development is “development that meets the needs of the present without compromising the ability of future generations to meet their own needs”. Under communism, environmentalists were labeled right wing because they were accused of trying to destroy socialist dreams by imposing costly demands on the government.</w:t>
      </w:r>
    </w:p>
    <w:p>
      <w:pPr/>
      <w:r>
        <w:rPr>
          <w:b/>
        </w:rPr>
        <w:t>POSSIBLE 2023:</w:t>
      </w:r>
      <w:r>
        <w:t xml:space="preserve"> Historical diffusion of nuclear, wind and solar power in different national contexts: implications for climate mitigation pathways — https://doi.org/10.1088/1748-9326/acf47a</w:t>
      </w:r>
    </w:p>
    <w:p>
      <w:pPr/>
      <w:r>
        <w:rPr>
          <w:b/>
        </w:rPr>
        <w:t>Shared claim-specific concepts:</w:t>
      </w:r>
      <w:r>
        <w:t xml:space="preserve"> nuclear, power, climate, electricity; EU scope visible. This is a provisional connection, not an outcome finding.</w:t>
      </w:r>
    </w:p>
    <w:p>
      <w:pPr>
        <w:pStyle w:val="SourceNote"/>
      </w:pPr>
      <w:r>
        <w:rPr>
          <w:b/>
        </w:rPr>
        <w:t>Available abstract (not full text):</w:t>
      </w:r>
      <w:r>
        <w:t xml:space="preserve"> Abstract Climate change mitigation requires rapid expansion of low-carbon electricity but there is a disagreement on whether available technologies such as renewables and nuclear power can be scaled up sufficiently fast. Here we analyze the diffusion of nuclear (from the 1960s), as well as wind and solar (from the 1980–90s) power. We show that all these technologies have been adopted in most large economies except major energy exporters, but solar and wind have diffused across countries faster and wider than nuclear. After the initial adoption, the maximum annual growth for nuclear power has been 2.6% of national electricity supply (IQR 1.3%–6%), for wind − 1.1% (0.6%–1.7%), and for solar − 0.8% (0.5%–1.3%). The fastest growth of nuclear power occurred in Western Europe in the 1980s, a response by industrialized democracies to the energy supply crises of the 1970s. The European Union (EU), currently experiencing a similar energy supply shock, is planning to expand wind and solar at similarly fast rates. This illustrates that national contexts can impact the speed of technology diffusion at least as much as technology characteristics like cost, granularity, and complexity. In the Intergovernmental Panel on Climate Change mitigation pathways, renewables grow much faster than nuclear due to their lower projected costs, though empirical evidence does not show that the cost is the s</w:t>
      </w:r>
    </w:p>
    <w:p>
      <w:pPr/>
      <w:r>
        <w:rPr>
          <w:b/>
        </w:rPr>
        <w:t>POSSIBLE 2023:</w:t>
      </w:r>
      <w:r>
        <w:t xml:space="preserve"> The Economy of the Countries of the World is Experiencing the Need for Nuclear Power Plants — https://openalex.org/W7219353948</w:t>
      </w:r>
    </w:p>
    <w:p>
      <w:pPr/>
      <w:r>
        <w:rPr>
          <w:b/>
        </w:rPr>
        <w:t>Shared claim-specific concepts:</w:t>
      </w:r>
      <w:r>
        <w:t xml:space="preserve"> nuclear, power, electricity, article; EU scope not established. This is a provisional connection, not an outcome finding.</w:t>
      </w:r>
    </w:p>
    <w:p>
      <w:pPr>
        <w:pStyle w:val="SourceNote"/>
      </w:pPr>
      <w:r>
        <w:rPr>
          <w:b/>
        </w:rPr>
        <w:t>Available abstract (not full text):</w:t>
      </w:r>
      <w:r>
        <w:t xml:space="preserve"> This scientific article examines the sources on the need for nuclear power plants in the economies of the countries of the world. The existing nuclear power plants in the countries of the world, their capacity, the disadvantages and advantages of nuclear power plants, the role of nuclear power plants in the production of electricity, differences in the prices of electricity generated by them, the possibilities of achieving economic and social goals of low-cost sustainable development in the production of electricity using nuclear power are analyzed.</w:t>
      </w:r>
    </w:p>
    <w:p>
      <w:pPr/>
      <w:r>
        <w:rPr>
          <w:b/>
        </w:rPr>
        <w:t>POSSIBLE 2023:</w:t>
      </w:r>
      <w:r>
        <w:t xml:space="preserve"> Nuclear Power in the Sustainable Energy Transition — https://doi.org/10.46254/au02.20230243</w:t>
      </w:r>
    </w:p>
    <w:p>
      <w:pPr/>
      <w:r>
        <w:rPr>
          <w:b/>
        </w:rPr>
        <w:t>Shared claim-specific concepts:</w:t>
      </w:r>
      <w:r>
        <w:t xml:space="preserve"> nuclear, power, generation, climate, electricity, conditions; EU scope not established. This is a provisional connection, not an outcome finding.</w:t>
      </w:r>
    </w:p>
    <w:p>
      <w:pPr>
        <w:pStyle w:val="SourceNote"/>
      </w:pPr>
      <w:r>
        <w:rPr>
          <w:b/>
        </w:rPr>
        <w:t>Available abstract (not full text):</w:t>
      </w:r>
      <w:r>
        <w:t xml:space="preserve"> The economic viability of a power plant is dependent on the cost of the electricity generated which is influenced by a wide range of factors and inputs from the inception to end of economic life. The Levelized cost of energy or electricity (LCOE) is a model used to estimate the cost of electricity before the powerplant is constructed. The cost of building a nuclear power plant and any financing cost is the most important contributing factor to the cost of from nuclear power plants. Although modern nuclear power plants are generally large and expensive, their long project lifetime effectively reduces the cost of nuclear power can still be relatively low. Nuclear energy has generally been regarded by public opinion as a harmful energy resource. The growing concerns over global climate change and greenhouse gas emissions have changed this belief and nuclear is now considered a reputable green power source that can generate significant amounts of energy with low carbon emissions. Nuclear energy is currently a mature low-GHG emission energy resource that is ideal for use as baseload power. However, the share in global electricity generation has been declining globally but its share of global electricity generation has been declining since the year 1993 because of various barriers and risks. The life cycle GHG emissions from nuclear power are less than traditional fossil sources but </w:t>
      </w:r>
    </w:p>
    <w:p>
      <w:pPr/>
      <w:r>
        <w:rPr>
          <w:b/>
        </w:rPr>
        <w:t>POSSIBLE 2023:</w:t>
      </w:r>
      <w:r>
        <w:t xml:space="preserve"> Navigating Net Zero: The Crucial Role of Nuclear Power and Innovations — https://doi.org/10.63620/mkssjer.2023.1018</w:t>
      </w:r>
    </w:p>
    <w:p>
      <w:pPr/>
      <w:r>
        <w:rPr>
          <w:b/>
        </w:rPr>
        <w:t>Shared claim-specific concepts:</w:t>
      </w:r>
      <w:r>
        <w:t xml:space="preserve"> nuclear, power, generation, reactors, climate, article; EU scope not established. This is a provisional connection, not an outcome finding.</w:t>
      </w:r>
    </w:p>
    <w:p>
      <w:pPr>
        <w:pStyle w:val="SourceNote"/>
      </w:pPr>
      <w:r>
        <w:rPr>
          <w:b/>
        </w:rPr>
        <w:t>Available abstract (not full text):</w:t>
      </w:r>
      <w:r>
        <w:t xml:space="preserve"> This article explores the dynamic intersection of nuclear power, innovative technologies, and the pursuit of a net-zero future. Grounded in the imperative to address climate change, the discussion traverses the concept of net zero, emphasizing the pivotal role of nuclear energy in achieving carbon neutrality. The narrative unfolds through an examination of Small Modular Reactors (SMRs) and Generation IV reactors, showcasing their transformative potential in reshaping the energy landscape. While SMRs offer scalability and adaptability, Generation IV reactors introduce innovative designs to enhance safety, efficiency, and sustainability. The article navigates through the challenges and considerations inherent in this transformative journey, addressing financial barriers, regulatory complexities, and public perceptions. It underscores the critical importance of international collaboration, ethical nuclear waste management, and non-proliferation measures. As the world grapples with the urgency of decarbonization, the conclusion paints a visionary picture of nuclear power and innovations converging to sculpt a sustainable, net-zero future—a future where clean, reliable energy becomes a reality through the collaborative efforts of governments, industry leaders, and the global community.</w:t>
      </w:r>
    </w:p>
    <w:p>
      <w:pPr/>
      <w:r>
        <w:rPr>
          <w:b/>
        </w:rPr>
        <w:t>POSSIBLE 2022:</w:t>
      </w:r>
      <w:r>
        <w:t xml:space="preserve"> European energy transition: Decomposing the performance of nuclear power — https://doi.org/10.1016/j.energy.2022.123244</w:t>
      </w:r>
    </w:p>
    <w:p>
      <w:pPr/>
      <w:r>
        <w:rPr>
          <w:b/>
        </w:rPr>
        <w:t>Shared claim-specific concepts:</w:t>
      </w:r>
      <w:r>
        <w:t xml:space="preserve"> nuclear, power, generation, electricity; EU scope visible. This is a provisional connection, not an outcome finding.</w:t>
      </w:r>
    </w:p>
    <w:p>
      <w:pPr>
        <w:pStyle w:val="SourceNote"/>
      </w:pPr>
      <w:r>
        <w:rPr>
          <w:b/>
        </w:rPr>
        <w:t>Available abstract (not full text):</w:t>
      </w:r>
      <w:r>
        <w:t xml:space="preserve"> The quest for safe energy in the EU has increasingly led to a policy of zero nuclear power and a shift towards renewable sources. The phasing out of nuclear power is being carefully undertaken, so as not create negative externalities, even though not all countries are ready to make this move, and despite the valuable role nuclear energy can play in backing up intermittent renewables. This paper examines the transition towards carbon-free electrification through the interactions between the various electricity sources, using the Harmonised Index of Consumer Prices and carbon dioxide emissions in countries with nuclear power generation in the European Union and Switzerland. Monthly data, from January 2014 to December 2018 was analysed by means of an Autoregressive Distributed Lag model using the Driscoll and Kraay estimator with fixed effects. This approach allowed the electricity generation processes of the selected countries to be analysed, as well as the long- and short-run impacts. Our findings suggest that nuclear energy can be effective in accommodating renewable electricity into these systems, whereas using fossil generation to back up renewable sources leads to higher prices for consumers.</w:t>
      </w:r>
    </w:p>
    <w:p>
      <w:pPr/>
      <w:r>
        <w:rPr>
          <w:b/>
        </w:rPr>
        <w:t>POSSIBLE 2022:</w:t>
      </w:r>
      <w:r>
        <w:t xml:space="preserve"> Nuclear Power as a Response to the Climate Crisis: Focusing on the Development and Cooperation of the Nuclear Industry in Russia and France — https://doi.org/10.19170/eebs.2022.46.2.163</w:t>
      </w:r>
    </w:p>
    <w:p>
      <w:pPr/>
      <w:r>
        <w:rPr>
          <w:b/>
        </w:rPr>
        <w:t>Shared claim-specific concepts:</w:t>
      </w:r>
      <w:r>
        <w:t xml:space="preserve"> nuclear, power, experience, generation, climate, analyzes; EU scope visible. This is a provisional connection, not an outcome finding.</w:t>
      </w:r>
    </w:p>
    <w:p>
      <w:pPr>
        <w:pStyle w:val="SourceNote"/>
      </w:pPr>
      <w:r>
        <w:rPr>
          <w:b/>
        </w:rPr>
        <w:t>Available abstract (not full text):</w:t>
      </w:r>
      <w:r>
        <w:t xml:space="preserve"> Concerns about global climate change such as ‘global warming’ and ‘greenhouse effects’ have evolved into a desperate expression “climate crisis” in today. Accordingly, the UN adopted the ‘Paris Agreement’ in 2015, and calling for all countries to implement concrete action plans and practices to realize the goal of the ‘Net Zero’(Carbon Neutral 2050). This is the reason why the voices claiming the usefulness of nuclear power generation or the inevitability of nuclear power generation are increasing at home and abroad in recent years. The European Union classified nuclear power plants as a green taxonomy, and the United States is reconsidering its interest in nuclear power plants. Korea has been pursuing a policy to phase out nuclear power for the past five years, but the new government is foreshadowing a policy shift to actively utilize nuclear power. This study examines the nuclear industry, which is attracting attention again as a way to cope with the climate crisis and meet realistic energy demand, through the cases of Russia and France. As of 2022, Russia is evaluated as a country with the world's best capabilities and competitiveness in the nuclear sector. The EU's nuclear powerhouse France has developed a nuclear industry as a driving force for its energy security and economic development. Furthermore, the two countries are highly trusted and boast the highest competitiven</w:t>
      </w:r>
    </w:p>
    <w:p>
      <w:pPr/>
      <w:r>
        <w:rPr>
          <w:b/>
        </w:rPr>
        <w:t>POSSIBLE 2022:</w:t>
      </w:r>
      <w:r>
        <w:t xml:space="preserve"> The Economics of Nuclear Power — https://doi.org/10.22439/csei.pb.015</w:t>
      </w:r>
    </w:p>
    <w:p>
      <w:pPr/>
      <w:r>
        <w:rPr>
          <w:b/>
        </w:rPr>
        <w:t>Shared claim-specific concepts:</w:t>
      </w:r>
      <w:r>
        <w:t xml:space="preserve"> nuclear, power, technological, electricity; EU scope not established. This is a provisional connection, not an outcome finding.</w:t>
      </w:r>
    </w:p>
    <w:p>
      <w:pPr>
        <w:pStyle w:val="SourceNote"/>
      </w:pPr>
      <w:r>
        <w:rPr>
          <w:b/>
        </w:rPr>
        <w:t>Available abstract (not full text):</w:t>
      </w:r>
      <w:r>
        <w:t xml:space="preserve"> The levelized costs of electricity from renewables have decreased by up to 90% in the past decade. During the same period, the cost of nuclear power has increased by more than a third. This led to a domination of renewables in new investments worldwide. Even when factoring in integration costs of renewables and new nuclear technologies, building new nuclear power remains multiple times more expensive than new solar or wind projects. Given the financial, project, and technological risks, the role of nuclear in the energy transition should be questioned.</w:t>
      </w:r>
    </w:p>
    <w:p>
      <w:pPr>
        <w:pStyle w:val="Heading2"/>
      </w:pPr>
      <w:r>
        <w:t>804.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r>
        <w:rPr>
          <w:b/>
        </w:rPr>
        <w:t>POSSIBLE 2025:</w:t>
      </w:r>
      <w:r>
        <w:t xml:space="preserve"> Globalization, glocalization, and Internationalization at Home from a Chinese perspective: case studies of China–Europe higher education cooperation — https://doi.org/10.1177/17454999251325120</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In a dynamic global environment, higher education cooperation is a driving force behind the advancement of scientific knowledge that offers potential solutions to world problems and global challenges. China and Europe have a long history of higher education exchange. In the literature, most papers on China–Europe higher education cooperation have focused on the development prior to the latest dramatic period of change. To fill this significant gap in knowledge and evidence, we develop a unified conceptual framework that links the modes of contemporary higher education cooperation in the context of China (globalization, glocalization, and Internationalization at Home), with the models of internationalized higher education institutions in the literature (classical, satellite, and co-founded). We then apply our analytical framework and examine three case studies: China Europe International Business School (CEIBS), Hainan Bielefeld University of Applied Sciences (BiUH), and Zhejiang University – University of Edinburgh Institute (ZJE). Overall, our paper sheds light on how each China–Europe higher education cooperation model can tackle the global challenges faced by global society as in the UN Sustainable Development Goals (SDGs).</w:t>
      </w:r>
    </w:p>
    <w:p>
      <w:pPr/>
      <w:r>
        <w:rPr>
          <w:b/>
        </w:rPr>
        <w:t>POSSIBLE 2025:</w:t>
      </w:r>
      <w:r>
        <w:t xml:space="preserve"> Driving SDG15 : The Role of HEIs in Biodiversity Conservation Through Digitalization and Reporting — https://doi.org/10.1002/sd.3504</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Education, research, and public engagement are key strategies guiding European higher education institutions (HEIs) in advancing the United Nations Sustainable Development Goals (SDGs). Through stakeholder, legitimacy, and resource‐based view theories, this study examines the contributions of HEIs to saving Life on Land (SDG15), focusing on the role of digital technologies and Partnerships (SDG17) in biodiversity conservation. Despite interest in biodiversity conservation and the adoption of digital technologies in HEIs, knowledge about SDG15 issues is still limited. A double‐level content analysis through Leximancer v.5 and manual analysis was performed on 653 documents (191 sustainability reports and 462 website pages) from 50 European HEIs published between 2018 and 2024. The results highlight the key role of SDG17 and digital technologies in supporting biodiversity conservation efforts but also reveal a lack of standardized reporting frameworks, underscoring the need for a unified European approach to biodiversity disclosure to ensure more consistent and impactful contributions toward the SDGs. To the best of the authors' knowledge, this is the first study to address knowledge gaps on biodiversity practices supported by digitalization and partnerships, as adopted and shared through sustainability reporting by the top 50 universities leading in land conservation in </w:t>
      </w:r>
    </w:p>
    <w:p>
      <w:pPr/>
      <w:r>
        <w:rPr>
          <w:b/>
        </w:rPr>
        <w:t>POSSIBLE 2025:</w:t>
      </w:r>
      <w:r>
        <w:t xml:space="preserve"> From Goals to Action: A Targeted Framework for Sustainable Development Goals in Higher Education — https://doi.org/10.5772/intechopen.1010565</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In recent years, the accelerating trend of digital transformation has compelled Higher Education Institutions (HEIs) to redefine their role and contribution to individual learners’ lives. This study builds on our previous work undertaken on Widening Participation (WP) and international students under current education 4.0 paradigms and ongoing digital transformation. We propose a practical framework to make the integration of Sustainable Development Goals (SDGs) more targeted and actionable for effective accessibility, inclusivity, and sustainability within the UK Higher Education sector. Critical inquiries have established a clear aim for HEIs to meet these indicators, although obstacles were identified within the subsequent gap analysis of the “2015 UN SDG Agenda” in their execution. Our chapter focuses primarily on the strategic alignment of SDG 4 (Quality Education), SDG 5 (Gender Equality), SDG 10 (Reduced Inequalities), and SDG 17 (Partnerships for the Goals) with institutional practices and graduate employability pathways. Furthermore, the discourse responds to criticisms that SDG implementation has been too broad or perceived as a “box-ticking” exercise, rather than a thoughtfully designed initiative that delivers measurable outcomes. The SDG Prism Framework essentially transforms the broad ambitions of SDGs through the process of “refraction” for realistic implementati</w:t>
      </w:r>
    </w:p>
    <w:p>
      <w:pPr/>
      <w:r>
        <w:rPr>
          <w:b/>
        </w:rPr>
        <w:t>POSSIBLE 2025:</w:t>
      </w:r>
      <w:r>
        <w:t xml:space="preserve"> The Future of Sustainable Development Goals and Culture: Addressing Missing Dimensions from Four Cosmovisions African Ubuntu, Latin-American Buen Vivir, Buddhist Happiness and Nordic Sami Arbediehtu — https://doi.org/10.1057/s41287-025-00708-6</w:t>
      </w:r>
    </w:p>
    <w:p>
      <w:pPr/>
      <w:r>
        <w:rPr>
          <w:b/>
        </w:rPr>
        <w:t>Shared claim-specific concepts:</w:t>
      </w:r>
      <w:r>
        <w:t xml:space="preserve"> sdg17, others, sustainable; EU scope not established. This is a provisional connection, not an outcome finding.</w:t>
      </w:r>
    </w:p>
    <w:p>
      <w:pPr>
        <w:pStyle w:val="SourceNote"/>
      </w:pPr>
      <w:r>
        <w:rPr>
          <w:b/>
        </w:rPr>
        <w:t>Available abstract (not full text):</w:t>
      </w:r>
      <w:r>
        <w:t xml:space="preserve"> Abstract The SDGs miss crucial dimensions when viewed from the cosmovisions of Ubuntu, Buen Vivir, Buddhist Happiness and Sami Arbediehtu. What principles can be derived from these cosmovisions to guide discussions after 2030? As methodology we use a dialogical intercultural philosophical reflection and a decolonial stance addressing planetary survival instead of sustainable development, to develop principles for after 2030, for example to be included in a Culture Goal using the transformative power of culture. After analysing and comparing the four cosmovisions, we suggest ‘Harmony with Nature’ as an umbrella planetary wellbeing concept. Other principles could be: (social SDGs:) harmony with oneself, others and nature; interculturality and epistemic diversity; community flourishing; balance of masculine and feminine values; intertwinement of spiritual, emotional, physical, communal health; serving others as educational goal; (green SDGs:) intrinsic value of nature as part of the community; recognizing ancestorial legacy and future generations’ needs; (economic SDGs:) economics of collective well-being, earth governance and society-oriented businesses; (SDG16:) participatory, ‘deep’ consensus oriented democracy; collective dignity, restorative justice; (SDG17 global partnership:) interdependence of all life.</w:t>
      </w:r>
    </w:p>
    <w:p>
      <w:pPr/>
      <w:r>
        <w:rPr>
          <w:b/>
        </w:rPr>
        <w:t>POSSIBLE 2023:</w:t>
      </w:r>
      <w:r>
        <w:t xml:space="preserve"> Integrating the 17 SDGs into the European Green Deal, through Strategic and Financial Approaches — https://doi.org/10.21203/rs.3.rs-2697240/v1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The European Green Deal (EGD) is the growth strategy for Europe, covering multiple domains, and aiming to an equitable, carbon neutral European Union by 2050. The UN Agenda 2030, with its 17 Sustainable Development Goals (SDGs) set the bases for a global sustainability transition. However, the integration of the SDGs into the EGD is an overlooked issue in the literature, although it is particularly important, given Europe’s slow progress to achieve the sustainability targets. In this paper, 22 central policies and strategies published during 2020–21 to support the EGD's implementation are assessed on how they align with Agenda’s 2030 aspirations, using novel text-mining methodologies: one human-based and one machine-learning-based. The results outline an alignment of EGD policies to the main SDGs themes relevant to Food, Land, Oceans, Energy, but also a strong indication that the progress towards sustainability passes through "Peace, Justice, and Strong Institutions" (SDG16) and international "Partnerships for the Goals" (SDG17). We further explain the underlying policy mechanisms of the established ‘necessary transformations’ to build a sustainable Europe, along with the relevance of valuing the natural capital and integrating it into future investment and financial decisions.</w:t>
      </w:r>
    </w:p>
    <w:p>
      <w:pPr/>
      <w:r>
        <w:rPr>
          <w:b/>
        </w:rPr>
        <w:t>POSSIBLE 2022:</w:t>
      </w:r>
      <w:r>
        <w:t xml:space="preserve"> Measuring Progress towards Sustainability in the European Union within the 2030 Agenda Framework — https://doi.org/10.3390/math10122095</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The adoption of the 2030 Agenda and its 17 Sustainable Development Goals (SDGs) revived the challenge to efficiently address economic prosperity, environmental quality and social welfare goals. To fulfill such purposes, policymakers need to measure and monitor the global progress made by countries towards the achievement of the SDGs. Composite indicators have frequently been used for sustainability performance assessment in a range of areas related to Sustainable Development and recently some attempts have been made to analyze trends within the 2030 Agenda framework. The objective of this study is to propose a novel composite indicator approach to assess sustainability performance and evaluate whether progress is being made towards the SDGs. Some distinguishing features of the proposed approach involve the computation of weights for the indicators and the use of geometric average at the overall aggregation stage. The approach is applied to the evaluation of the SDGs in EU27 during the period 2010–2020 using the Eurostat SDG dataset. The results obtained suggest that all 27 Member States have progressed favorably, albeit not to the same extent, and differences between countries seem to be decreasing over the years.</w:t>
      </w:r>
    </w:p>
    <w:p>
      <w:pPr>
        <w:pStyle w:val="Heading2"/>
      </w:pPr>
      <w:r>
        <w:t>805.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2021:</w:t>
      </w:r>
      <w:r>
        <w:t xml:space="preserve"> Short Term Impacts of Harvesting 0perations on Soil Chemical Properties in a Mediterranean Oak Ecosystem — https://doi.org/10.5552/crojfe.2021.1100</w:t>
      </w:r>
    </w:p>
    <w:p>
      <w:pPr/>
      <w:r>
        <w:rPr>
          <w:b/>
        </w:rPr>
        <w:t>Shared claim-specific concepts:</w:t>
      </w:r>
      <w:r>
        <w:t xml:space="preserve"> forest, compared, period; EU scope visible. This is a provisional connection, not an outcome finding.</w:t>
      </w:r>
    </w:p>
    <w:p>
      <w:pPr>
        <w:pStyle w:val="SourceNote"/>
      </w:pPr>
      <w:r>
        <w:rPr>
          <w:b/>
        </w:rPr>
        <w:t>Available abstract (not full text):</w:t>
      </w:r>
      <w:r>
        <w:t xml:space="preserve"> Soil physical and chemical properties can be seriously affected by forest operations. There is a knowledge gap on this topic for oak ecosystems, which can play a significant role in the context of multiple-use forestry. The main objective of this study was to analyse forest floor and topsoil changes (0–10 cm) two years after the application of small-scale thinning (50% reduction of basal area) and clear-cut operations using mules to carry harvested material in a Northern Greece oak (Quercus frainetto Ten)ecosystem. The total amount of forest floor (O1+O2 horizons) was reduced by 37.8% in the thinned and 30.8% in the clear-cut plots compared to control plots. These large reductions are mainly due to reduction in the O2 horizon in the treated plots. Decomposition was reduced in the treated plots, possibly due to the new drier conditions. Treatments increased the soil pH but not to a significant extent. No evidence of erosion was found in the experimental plots due to the protective function of the forest floor and the use of designated mule trails. The areal extent of soil compaction was limited to only 3% of the total area mainly due to the careful planning and implementation of animal skidding. Small differences in C (%) and Ν (%) were found among control, thinned and clear-cut plots. The limiting growth factors in Mediterranean oak ecosystems are soil depth and the seasonal ch</w:t>
      </w:r>
    </w:p>
    <w:p>
      <w:pPr/>
      <w:r>
        <w:rPr>
          <w:b/>
        </w:rPr>
        <w:t>POSSIBLE 2020:</w:t>
      </w:r>
      <w:r>
        <w:t xml:space="preserve"> Does harvest of the European grayling, Thymallus thymallus (Actinopterygii: Salmoniformes: Salmonidae), change over time with different intensity of fish stocking and fishing effort? — https://doi.org/10.3750/aiep/02643</w:t>
      </w:r>
    </w:p>
    <w:p>
      <w:pPr/>
      <w:r>
        <w:rPr>
          <w:b/>
        </w:rPr>
        <w:t>Shared claim-specific concepts:</w:t>
      </w:r>
      <w:r>
        <w:t xml:space="preserve"> constant, harvest, period; EU scope visible. This is a provisional connection, not an outcome finding.</w:t>
      </w:r>
    </w:p>
    <w:p>
      <w:pPr>
        <w:pStyle w:val="SourceNote"/>
      </w:pPr>
      <w:r>
        <w:rPr>
          <w:b/>
        </w:rPr>
        <w:t>Available abstract (not full text):</w:t>
      </w:r>
      <w:r>
        <w:t xml:space="preserve"> Background. The European grayling, Thymallus thymallus (Linnaeus, 1758), is a fish species of high value in recreational fishing. The monitoring of changes in grayling populations is a high priority in fisheries. Data on the harvest of recreational anglers can potentially serve as an easy and inexpensive way to monitor changes in fish populations. This study aimed to assess spatio-temporal trends in catches of grayling in a larger geographical area. Materials and methods. This study analysed harvest rates of grayling by recreational anglers on 241 fishing grounds, in the Czech Republic, within 1986–2015 (30 years). Data from individual angling logbooks were used. The data were collected by individual anglers and processed by the Czech Fishing Union (Český rybářský svaz). Results. Over the period of 30 years, Czech anglers harvested a total of 9 928 grayling specimens weighing altogether 3 357 kg. Within the period surveyed, both parameters (the grayling biomass harvested and the representation of grayling in overall fish harvest) decreased to 10% of the initial values. The percentage of fishing grounds with a harvest of grayling decreased to 30% of the initial values. Harvest per effort decreased to 20% of the initial values over 11 years. There was only a weak correlation between fish stocking and fish harvest. There was a negative relation between the number of angler fishing</w:t>
      </w:r>
    </w:p>
    <w:p>
      <w:pPr/>
      <w:r>
        <w:rPr>
          <w:b/>
        </w:rPr>
        <w:t>POSSIBLE 2020:</w:t>
      </w:r>
      <w:r>
        <w:t xml:space="preserve"> Harvesting reflective knowledge exchange for inbound open innovation in complex collaborative networks: an empirical verification in Europe — https://doi.org/10.1108/jkm-04-2020-0300</w:t>
      </w:r>
    </w:p>
    <w:p>
      <w:pPr/>
      <w:r>
        <w:rPr>
          <w:b/>
        </w:rPr>
        <w:t>Shared claim-specific concepts:</w:t>
      </w:r>
      <w:r>
        <w:t xml:space="preserve"> findings, process, period; EU scope visible. This is a provisional connection, not an outcome finding.</w:t>
      </w:r>
    </w:p>
    <w:p>
      <w:pPr>
        <w:pStyle w:val="SourceNote"/>
      </w:pPr>
      <w:r>
        <w:rPr>
          <w:b/>
        </w:rPr>
        <w:t>Available abstract (not full text):</w:t>
      </w:r>
      <w:r>
        <w:t xml:space="preserve"> Purpose This study aims to investigate the effects of open innovation (OI) and big data analytics (BDA) on reflective knowledge exchange (RKE) within the context of complex collaborative networks. Specifically, it considers the relationships between sourcing knowledge from an external environment, transferring knowledge to an external environment and adopting solutions that are useful to appropriate returns from innovation. Design/methodology/approach This study analyzes the connection between the number of patent applications and the amount of OI, as well as the association between the number of patent applications and the use of BDA. Data from firms in the 27 European Union countries were retrieved from the Eurostat database for the period 2014–2019 and were investigated using an ordinary least squares regression analysis. Findings Because of its twofold lens based on both knowledge management and OI, this study sheds light on OI collaboration modes and highlights the crucial role they could play in innovation. In particular, the results suggest that OI collaboration modes have a strong effect on innovation performance, stimulating the search for RKE. Originality/value This study furthers a deeper understanding of RKE, which is shown to be an important mechanism that incentivizes firms to increase their efforts in the innovation process. Further, RKE supports firms in taking </w:t>
      </w:r>
    </w:p>
    <w:p>
      <w:pPr/>
      <w:r>
        <w:rPr>
          <w:b/>
        </w:rPr>
        <w:t>POSSIBLE 2020:</w:t>
      </w:r>
      <w:r>
        <w:t xml:space="preserve"> Analyses of Work Efficiency of a Strawberry-Harvesting Robot in an Automated Greenhouse — https://doi.org/10.3390/agronomy10111751</w:t>
      </w:r>
    </w:p>
    <w:p>
      <w:pPr/>
      <w:r>
        <w:rPr>
          <w:b/>
        </w:rPr>
        <w:t>Shared claim-specific concepts:</w:t>
      </w:r>
      <w:r>
        <w:t xml:space="preserve"> rate, show, process, compared; EU scope not established. This is a provisional connection, not an outcome finding.</w:t>
      </w:r>
    </w:p>
    <w:p>
      <w:pPr>
        <w:pStyle w:val="SourceNote"/>
      </w:pPr>
      <w:r>
        <w:rPr>
          <w:b/>
        </w:rPr>
        <w:t>Available abstract (not full text):</w:t>
      </w:r>
      <w:r>
        <w:t xml:space="preserve"> Protected cultivation systems such as greenhouses are becoming increasingly popular globally and have been adopted because of unpredictable climatic conditions and their ability to easily control micro- and macroenvironments. However, limitations such as hazardous work environments and shortages in labor are major concerns for agricultural production using these structures. This has led to the development and adoption of robotic systems. For the efficient use of robots in protected cultivation systems, we formulate the work efficiency problem and model a three-dimensional standard strawberry greenhouse to analyze the effectiveness of a strawberry-harvesting robot compared to different levels of human workforce (experienced, average, and beginner). Simulations are conducted using Quest software to compare the efficiency of different scenarios of robotics to humans. Different methods of improvement from battery capacity and charge rate to harvesting speed are investigated and optimal conditions are recommended. The average hourly production of the robot is about five times lower than that of skilled workers. However, robots are more productive due to their ability to work around the clock. Comparative analyses show that a reduction in harvesting time per strawberry from 3 to 1 s would result in an increase in daily production from 347.93 to 1021.30 kg. This would lead to a five-f</w:t>
      </w:r>
    </w:p>
    <w:p>
      <w:pPr/>
      <w:r>
        <w:rPr>
          <w:b/>
        </w:rPr>
        <w:t>POSSIBLE 2020:</w:t>
      </w:r>
      <w:r>
        <w:t xml:space="preserve"> Nutrient delivery efficiency of a combined sewer along a lake challenged by incipient eutrophication — https://doi.org/10.1016/j.watres.2020.116727</w:t>
      </w:r>
    </w:p>
    <w:p>
      <w:pPr/>
      <w:r>
        <w:rPr>
          <w:b/>
        </w:rPr>
        <w:t>Shared claim-specific concepts:</w:t>
      </w:r>
      <w:r>
        <w:t xml:space="preserve"> show, incipient, although; EU scope not established. This is a provisional connection, not an outcome finding.</w:t>
      </w:r>
    </w:p>
    <w:p>
      <w:pPr>
        <w:pStyle w:val="SourceNote"/>
      </w:pPr>
      <w:r>
        <w:rPr>
          <w:b/>
        </w:rPr>
        <w:t>Available abstract (not full text):</w:t>
      </w:r>
      <w:r>
        <w:t xml:space="preserve"> Although sewage diversion outside of a lake's watershed is now ordinary practice in the restoration of eutrophic lakes, often the observed recovery is slower than expected and the internal load from the lake anoxic sediments is identified as a possible reason. However, in the case of combined sewer, the quantification of the residual nutrient load discharged from sewer spillways must also be questioned. In this paper, the diversion efficiency of the sewer system along the east coast of Lake Iseo, a prealpine Italian lake where eutrophication effects are still severe, is investigated. To this purpose, a representative part of the sewer system was modelled by PCSWMM and calibrated by using an extensive series of discharge measurements. Water quality monitoring during wet weather periods reveals that the first flush is common in tributary sewers, whereas it is absent along the main collector. Moreover, flow discharges are strongly affected by infiltration waters, which are controlled by the lake water level. The calibrated model, including infiltration modeling, was used to assess the annual overflow volumes and the nutrient load through a continuous 10-year simulation. Simulations were conducted both with regard to the current conditions and to a climate change scenario. Results show that the discharged residual load is at least 7 times larger than the design value, with the wate</w:t>
      </w:r>
    </w:p>
    <w:p>
      <w:pPr/>
      <w:r>
        <w:rPr>
          <w:b/>
        </w:rPr>
        <w:t>POSSIBLE 2019:</w:t>
      </w:r>
      <w:r>
        <w:t xml:space="preserve"> Estimating Sustainable Harvest Rates for European Hare (Lepus Europaeus) Populations — https://doi.org/10.3390/su11102837</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Hunting quotas are used to manage populations of game species in order to ensure sustainable exploitation. However, unpredictable climatic events may interact with hunting. We established a population model for European hares (Lepus europaeus) in Lower Austria. We compared the sustainability of voluntary quotas used by hunters—which are derived from hare-specific guidelines—with the actual numbers of hares shot and our recommended quotas for hares, which have been derived from climate and population modeling. We used population modeling based on vital rates and densities to adjust our recommended quotas in order to achieve sustainable harvest. The survival of age classes 1 and 3 had the highest impact on the population growth rate. Population viability analysis showed that a recommended quota with a harvest rate of 10% was sustainable for population densities of 45 hares/km2, and that the threshold for hunting should be raised from 10 hares/km2 so that hare populations with &lt;15 hares/km2 are not hunted. The recommended quota outperformed the voluntary hunting quota, since more hares could be harvested sustainably. Age Class 1 survival was strongly linked with weather: a single year with unfavorable weather conditions (low precipitation) negatively affected population densities. Game species, including the European hare, face increasingly frequent weather extremes due to climate</w:t>
      </w:r>
    </w:p>
    <w:p>
      <w:pPr/>
      <w:r>
        <w:rPr>
          <w:b/>
        </w:rPr>
        <w:t>POSSIBLE 2019:</w:t>
      </w:r>
      <w:r>
        <w:t xml:space="preserve"> Harvest assessment for Taiga bean geese in the Central Management Unit: 2019 — https://openalex.org/W2963762313</w:t>
      </w:r>
    </w:p>
    <w:p>
      <w:pPr/>
      <w:r>
        <w:rPr>
          <w:b/>
        </w:rPr>
        <w:t>Shared claim-specific concepts:</w:t>
      </w:r>
      <w:r>
        <w:t xml:space="preserve"> constant, harvest, rate, compared; EU scope visible. This is a provisional connection, not an outcome finding.</w:t>
      </w:r>
    </w:p>
    <w:p>
      <w:pPr>
        <w:pStyle w:val="SourceNote"/>
      </w:pPr>
      <w:r>
        <w:rPr>
          <w:b/>
        </w:rPr>
        <w:t>Available abstract (not full text):</w:t>
      </w:r>
      <w:r>
        <w:t xml:space="preserve"> In 2016 the European Goose Management International Working Group (EGM IWG) began development of an Adaptive Harvest Management (AHM) program for Taiga Bean Geese.In 2017, the IWG adopted an Interim Harvest Strategy consisting of a constant harvest rate (on adults) of 3% for the Central Management Unit (MU) of Taiga Bean Geese.The interim strategy is intended to provide limited hunting opportunity while rebuilding the population.Based on a January count of 41,927, the harvest quota for the 2019 hunting season is 1,740 Taiga Bean Geese (compared to 2,335 and 1,610 for the 2017 and 2018 seasons, respectively).We emphasize that these quotas include both, harvest during the regular season and derogation shooting.Going forward, we describe how an Integrated Population Model (IPM) will use counts at multiple times during the year, along with other demographic information, to estimate population size (and its precision).The IPM can be used to develop an adaptive harvest strategy if unambiguous management objectives can be agreed upon.We provide some initial guidance for formulating those objectives.1 This draft report is distributed solely for purposes of courtesy review and comments received will be addressed and treated as appropriate to ensure there is no conflict of interest.Its content is deliberative and pre-decisional, so it must not be disclosed or released by reviewers.Becaus</w:t>
      </w:r>
    </w:p>
    <w:p>
      <w:pPr/>
      <w:r>
        <w:rPr>
          <w:b/>
        </w:rPr>
        <w:t>POSSIBLE 2018:</w:t>
      </w:r>
      <w:r>
        <w:t xml:space="preserve"> Harvesting the Commons — https://doi.org/10.1007/s10640-018-0221-4</w:t>
      </w:r>
    </w:p>
    <w:p>
      <w:pPr/>
      <w:r>
        <w:rPr>
          <w:b/>
        </w:rPr>
        <w:t>Shared claim-specific concepts:</w:t>
      </w:r>
      <w:r>
        <w:t xml:space="preserve"> harvest, rate, findings, compared, historical; EU scope not established. This is a provisional connection, not an outcome finding.</w:t>
      </w:r>
    </w:p>
    <w:p>
      <w:pPr>
        <w:pStyle w:val="SourceNote"/>
      </w:pPr>
      <w:r>
        <w:rPr>
          <w:b/>
        </w:rPr>
        <w:t>Available abstract (not full text):</w:t>
      </w:r>
      <w:r>
        <w:t xml:space="preserve"> We study a socio-ecological model in which a continuum of consumers harvest a common property renewable natural resource. Markov perfect Nash equilibria of the corresponding non-cooperative game are derived and are compared with collectively optimal harvesting policies. The underlying mechanisms that drive open-access commons in our model are shaped by population size, harvesting costs, and the ecosystem’s productivity. If other things equal population is small relative to harvesting costs, unmanaged commons do not face destruction. More strikingly, they are harvested at the collectively optimal rate. Property rights do not matter in that parametric regime because the resource has no social scarcity value. However, if other things equal population is large relative to harvesting costs, open-access renewable natural resources suffer from the tragedy of the commons. Property rights matter there because the resource has a social scarcity price. The population size relative to harvesting costs at which the socio-ecological system bifurcates is an increasing function of the ecosystem’s productivity. A sudden crash in productivity, population overshoot, or decline in harvesting costs can tip an unmanaged common into ruin. The model provides a way to interpret historical and archaeological findings on the collapse of those societies that have been studied by scholars.</w:t>
      </w:r>
    </w:p>
    <w:p>
      <w:pPr>
        <w:pStyle w:val="Heading2"/>
      </w:pPr>
      <w:r>
        <w:t>806.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2022:</w:t>
      </w:r>
      <w:r>
        <w:t xml:space="preserve"> Perceived drivers and barriers in the governance of wastewater treatment and reuse in India: Insights from a two-round Delphi study — https://doi.org/10.1016/j.resconrec.2022.106285</w:t>
      </w:r>
    </w:p>
    <w:p>
      <w:pPr/>
      <w:r>
        <w:rPr>
          <w:b/>
        </w:rPr>
        <w:t>Shared claim-specific concepts:</w:t>
      </w:r>
      <w:r>
        <w:t xml:space="preserve"> delphi, key, drivers; EU scope not established. This is a provisional connection, not an outcome finding.</w:t>
      </w:r>
    </w:p>
    <w:p>
      <w:pPr>
        <w:pStyle w:val="SourceNote"/>
      </w:pPr>
      <w:r>
        <w:rPr>
          <w:b/>
        </w:rPr>
        <w:t>Available abstract (not full text):</w:t>
      </w:r>
      <w:r>
        <w:t xml:space="preserve"> Wastewater treatment and reuse practices are limited in India despite the known benefits of preventing water resources pollution and contributing to sustainable production and consumption systems. We identify the perceived key drivers and barriers to wastewater treatment and reuse governance in a two-round Delphi study, including literature and case study analyses and consultation with 75 panelists. Panelists indicated that the most significant driver for wastewater treatment and water reuse is persistent water scarcity that necessitates diversification to alternative water supplies. In contrast, the most significant barriers are the lack of enforcement of pollution monitoring and control, the lack of an umbrella directive for integrated water resources management, and insufficient collaboration between responsible governmental organizations, central and state water authorities. Given the absence of central guidelines, only a few Indian states such as Maharashtra, Gujarat or Punjab have adopted effective governance structures. These states showcase that defined reuse standards can create successful wastewater treatment and reuse practices but require target-based regulations which are enforced and regularly monitored and financing mechanisms for their long-term operation. The new effluent discharge standards by the National Green Tribunal, the government support programmes, and</w:t>
      </w:r>
    </w:p>
    <w:p>
      <w:pPr/>
      <w:r>
        <w:rPr>
          <w:b/>
        </w:rPr>
        <w:t>POSSIBLE 2022:</w:t>
      </w:r>
      <w:r>
        <w:t xml:space="preserve"> Organizational readiness to adopt artificial intelligence in the exhibition sector in Western Europe — https://doi.org/10.1016/j.ijinfomgt.2022.102497</w:t>
      </w:r>
    </w:p>
    <w:p>
      <w:pPr/>
      <w:r>
        <w:rPr>
          <w:b/>
        </w:rPr>
        <w:t>Shared claim-specific concepts:</w:t>
      </w:r>
      <w:r>
        <w:t xml:space="preserve"> approach, industry, competitiveness; EU scope visible. This is a provisional connection, not an outcome finding.</w:t>
      </w:r>
    </w:p>
    <w:p>
      <w:pPr>
        <w:pStyle w:val="SourceNote"/>
      </w:pPr>
      <w:r>
        <w:rPr>
          <w:b/>
        </w:rPr>
        <w:t>Available abstract (not full text):</w:t>
      </w:r>
      <w:r>
        <w:t xml:space="preserve"> This exploratory study explores perceptions of Artificial Intelligence (AI) and organizational readiness to adopt AI, in the exhibition sector of the events industry. A theoretical framework synthesizing the Technology - Organization - Environment framework and the Technology Readiness Index was developed to guide this qualitative study. Seventeen senior managerial representatives from exhibition organizations across nine Western European countries were interviewed, and a reflexive thematic approach was adopted to analyse the data. The findings suggest that the European exhibition industry is a slow adopter of AI, which may impact its future competitiveness, despite the stimulus provided to AI adoption during the COVID-19 pandemic. The degree of confidence in organizational technological practices, financial resources, the size of the organization, and issues of data management and protection, as well as the impacts of the COVID-19 pandemic, motivate or inhibit readiness for AI adoption in the event industry. A new Exhibition Sector Readiness for AI Adoption Model is presented in this research that managers and researchers can use to analyze inhibitors and motivations for AI adoption, which is contextualized for the current challenges facing the exhibitions sector.</w:t>
      </w:r>
    </w:p>
    <w:p>
      <w:pPr/>
      <w:r>
        <w:rPr>
          <w:b/>
        </w:rPr>
        <w:t>POSSIBLE 2019:</w:t>
      </w:r>
      <w:r>
        <w:t xml:space="preserve"> Unravelling the Scientific Debate on How to Address Wolf-Dog Hybridization in Europe — https://doi.org/10.3389/fevo.2019.00175</w:t>
      </w:r>
    </w:p>
    <w:p>
      <w:pPr/>
      <w:r>
        <w:rPr>
          <w:b/>
        </w:rPr>
        <w:t>Shared claim-specific concepts:</w:t>
      </w:r>
      <w:r>
        <w:t xml:space="preserve"> three-round, delphi, according; EU scope visible. This is a provisional connection, not an outcome finding.</w:t>
      </w:r>
    </w:p>
    <w:p>
      <w:pPr>
        <w:pStyle w:val="SourceNote"/>
      </w:pPr>
      <w:r>
        <w:rPr>
          <w:b/>
        </w:rPr>
        <w:t>Available abstract (not full text):</w:t>
      </w:r>
      <w:r>
        <w:t xml:space="preserve"> Anthropogenic hybridisation is widely perceived as a threat to the conservation of biodiversity. Nevertheless, to date, relevant policy and management interventions are unresolved and highly convoluted. While this is due to the inherent complexity of the issue, we hereby hypothesise that lack of agreement concerning management goals and approaches, within the scientific community, may explain the lack of social awareness on this phenomenon, and the absence of effective pressure on decision-makers. By focusing on wolf x dog hybridisation in Europe, we hereby (a) assess the state of the art of issues on wolf x dog hybridisation within the scientific community, (b) assess the conceptual bases for different viewpoints, and (c) provide a conceptual framework aiming at reducing the disagreement. We adopted the Delphi technique, involving a three-round iterative survey addressed to a selected sample of experts who published on Web of Science listed journals, in the last ten years on wolf x dog hybridisation and related topics. Consensus was reached that admixed individuals should always be defined according to their genetic profile, and that a reference threshold for admixture (i.e., q-value in assignment tests) should be formally adopted for their identification. To mitigate hybridisation, experts agreed on adopting preventive, proactive and, when concerning small and recovering wolf</w:t>
      </w:r>
    </w:p>
    <w:p>
      <w:pPr/>
      <w:r>
        <w:rPr>
          <w:b/>
        </w:rPr>
        <w:t>POSSIBLE 2019:</w:t>
      </w:r>
      <w:r>
        <w:t xml:space="preserve"> Overview of the DEMO staged design approach in Europe — https://doi.org/10.1088/1741-4326/ab1178</w:t>
      </w:r>
    </w:p>
    <w:p>
      <w:pPr/>
      <w:r>
        <w:rPr>
          <w:b/>
        </w:rPr>
        <w:t>Shared claim-specific concepts:</w:t>
      </w:r>
      <w:r>
        <w:t xml:space="preserve"> approach, industry, main; EU scope visible. This is a provisional connection, not an outcome finding.</w:t>
      </w:r>
    </w:p>
    <w:p>
      <w:pPr>
        <w:pStyle w:val="SourceNote"/>
      </w:pPr>
      <w:r>
        <w:rPr>
          <w:b/>
        </w:rPr>
        <w:t>Available abstract (not full text):</w:t>
      </w:r>
      <w:r>
        <w:t xml:space="preserve"> This paper describes the status of the pre-conceptual design activities in Europe to advance the technical basis of the design of a DEMOnstration Fusion Power Plant (DEMO) to come in operation around the middle of this century with the main aims of demonstrating the production of few hundred MWs of net electricity, the feasibility of operation with a closed-tritium fuel cycle, and maintenance systems capable of achieving adequate plant availability. This is expected to benefit as much as possible from the ITER experience, in terms of design, licensing, and construction. Emphasis is on an integrated design approach, based on system engineering, which provides a clear path for urgent R&amp;D and addresses the main design integration issues by taking account critical systems interdependencies and inherent uncertainties of important design assumptions (physics and technology). A design readiness evaluation, together with a technology maturation and down selection strategy are planned through structured and transparent Gate Reviews. By embedding industry experience in the design from the beginning it will ensure that early attention is given to technology readiness and industrial feasibility, costs, maintenance, power conversion, nuclear safety and licensing aspects.</w:t>
      </w:r>
    </w:p>
    <w:p>
      <w:pPr/>
      <w:r>
        <w:rPr>
          <w:b/>
        </w:rPr>
        <w:t>POSSIBLE 2018:</w:t>
      </w:r>
      <w:r>
        <w:t xml:space="preserve"> Adopting a models-based approach to teaching physical education — https://doi.org/10.1080/17408989.2018.1429588</w:t>
      </w:r>
    </w:p>
    <w:p>
      <w:pPr/>
      <w:r>
        <w:rPr>
          <w:b/>
        </w:rPr>
        <w:t>Shared claim-specific concepts:</w:t>
      </w:r>
      <w:r>
        <w:t xml:space="preserve"> approach, key, value; EU scope not established. This is a provisional connection, not an outcome finding.</w:t>
      </w:r>
    </w:p>
    <w:p>
      <w:pPr>
        <w:pStyle w:val="SourceNote"/>
      </w:pPr>
      <w:r>
        <w:rPr>
          <w:b/>
        </w:rPr>
        <w:t>Available abstract (not full text):</w:t>
      </w:r>
      <w:r>
        <w:t xml:space="preserve"> Background: The popularised notion of models-based practice (MBP) is one that focuses on the delivery of a model, e.g. Cooperative Learning, Sport Education, Teaching Personal and Social Responsibility, Teaching Games for Understanding. Indeed, while an abundance of research studies have examined the delivery of a single model and some have explored hybrid models, few have sought to meaningfully and purposefully connect different models in a school's curriculum (see Kirk, D. 2013. ‘Educational Value and Models-based Practice in Physical Education.’ Educational Philosophy and Theory 45 (9): 973–986.; Lund, J., and D. Tannehill. 2015. Standards-based Physical Education Curriculum Development. 3rd ed. Burlington, MA: Jones &amp; Bartlett.; Quay, J., and J. Peters. 2008. ‘Skills, Strategies, Sport, and Social Responsibility: Reconnecting Physical Education.’ Journal of Curriculum Studies 40 (5): 601–626.). Significantly none, to date, have empirically investigated broader notions of MBP that make use of a range of different pedagogical models in/through the PE curriculum (Kirk, D. 2013. ‘Educational Value and Models-based Practice in Physical Education.’ Educational Philosophy and Theory 45 (9): 973–986.).Aim: To provide a first empirical insight into using a MBP approach involving several models to teach physical education. At its heart, this paper presents the reader with the realist</w:t>
      </w:r>
    </w:p>
    <w:p>
      <w:pPr/>
      <w:r>
        <w:rPr>
          <w:b/>
        </w:rPr>
        <w:t>POSSIBLE 2018:</w:t>
      </w:r>
      <w:r>
        <w:t xml:space="preserve"> Unintended Side Effects of the Digital Transition: European Scientists’ Messages from a Proposition-Based Expert Round Table — https://doi.org/10.3390/su10062001</w:t>
      </w:r>
    </w:p>
    <w:p>
      <w:pPr/>
      <w:r>
        <w:rPr>
          <w:b/>
        </w:rPr>
        <w:t>Shared claim-specific concepts:</w:t>
      </w:r>
      <w:r>
        <w:t xml:space="preserve"> key, industry, value, expert, main; EU scope visible. This is a provisional connection, not an outcome finding.</w:t>
      </w:r>
    </w:p>
    <w:p>
      <w:pPr>
        <w:pStyle w:val="SourceNote"/>
      </w:pPr>
      <w:r>
        <w:rPr>
          <w:b/>
        </w:rPr>
        <w:t>Available abstract (not full text):</w:t>
      </w:r>
      <w:r>
        <w:t xml:space="preserve"> We present the main messages of a European Expert Round Table (ERT) on the unintended side effects (unseens) of the digital transition. Seventeen experts provided 42 propositions from ten different perspectives as input for the ERT. A full-day ERT deliberated communalities and relationships among these unseens and provided suggestions on (i) what the major unseens are; (ii) how rebound effects of digital transitioning may become the subject of overarching research; and (iii) what unseens should become subjects of transdisciplinary theory and practice processes for developing socially robust orientations. With respect to the latter, the experts suggested that the “ownership, economic value, use and access of data” and, related to this, algorithmic decision-making call for transdisciplinary processes that may provide guidelines for key stakeholder groups on how the responsible use of digital data can be developed. A cluster-based content analysis of the propositions, the discussion and inputs of the ERT, and a theoretical analysis of major changes to levels of human systems and the human–environment relationship resulted in the following greater picture: The digital transition calls for redefining economy, labor, democracy, and humanity. Artificial Intelligence (AI)-based machines may take over major domains of human labor, reorganize supply chains, induce platform economics, and</w:t>
      </w:r>
    </w:p>
    <w:p>
      <w:pPr>
        <w:pStyle w:val="Heading2"/>
      </w:pPr>
      <w:r>
        <w:t>807. The Future of Rural Poland: the Main Trends and Possible Scenarios.</w:t>
      </w:r>
    </w:p>
    <w:p>
      <w:pPr>
        <w:pStyle w:val="SourceNote"/>
      </w:pPr>
      <w:r>
        <w:rPr>
          <w:b/>
        </w:rPr>
        <w:t>Original source (2017):</w:t>
      </w:r>
      <w:r>
        <w:t xml:space="preserve"> https://doi.org/10.1515/eec-2017-0004</w:t>
      </w:r>
    </w:p>
    <w:p>
      <w:pPr/>
      <w:r>
        <w:t>Original wording (abstract; indexed_source_text_not_full_document_verified):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 DIGITAL MATURITY OF INSTITUTIONS IN POLAND – AN ATTEMPT AT IDENTIFICATION — https://doi.org/10.29119/1641-3466.2025.228.13</w:t>
      </w:r>
    </w:p>
    <w:p>
      <w:pPr/>
      <w:r>
        <w:rPr>
          <w:b/>
        </w:rPr>
        <w:t>Shared claim-specific concepts:</w:t>
      </w:r>
      <w:r>
        <w:t xml:space="preserve"> attempt, identification, significant, factors, polish, areas; EU scope visible. This is a provisional connection, not an outcome finding.</w:t>
      </w:r>
    </w:p>
    <w:p>
      <w:pPr>
        <w:pStyle w:val="SourceNote"/>
      </w:pPr>
      <w:r>
        <w:rPr>
          <w:b/>
        </w:rPr>
        <w:t>Available abstract (not full text):</w:t>
      </w:r>
      <w:r>
        <w:t xml:space="preserve"> Purpose: The purpose of this article is to identify and assess the level of digital maturity among institutions in Poland, with a focus on distinguishing patterns between public and private sector organizations. Design/methodology/approach: The study combines a systematic literature review with an empirical survey conducted among representatives of Polish institutions. The survey, based on a 7-point Likert scale, examined eight dimensions of digital maturity. Findings: The results indicate a moderate level of digital maturity across both public and private institutions, with notable differences in specific areas. While public institutions demonstrate higher maturity in regulated areas such as data management and infrastructure, private institutions score higher in digital leadership and cultural readiness. However, both sectors exhibit insufficient levels of innovation and agility, confirming that technological development alone does not ensure comprehensive digital transformation. Research limitations/implications: This study is limited to the Polish context and uses self reported data, which may be subject to bias. Future research could incorporate comparative studies across different countries or sectors, and expand with qualitative methods to explore internal organizational factors that support or hinder digital maturity. Practical implications: The findings offer practical</w:t>
      </w:r>
    </w:p>
    <w:p>
      <w:pPr/>
      <w:r>
        <w:rPr>
          <w:b/>
        </w:rPr>
        <w:t>POSSIBLE 2023:</w:t>
      </w:r>
      <w:r>
        <w:t xml:space="preserve"> Organizational Models in European Forestry: An Attempt of Conceptualization and Categorization — https://doi.org/10.3390/f14050905</w:t>
      </w:r>
    </w:p>
    <w:p>
      <w:pPr/>
      <w:r>
        <w:rPr>
          <w:b/>
        </w:rPr>
        <w:t>Shared claim-specific concepts:</w:t>
      </w:r>
      <w:r>
        <w:t xml:space="preserve"> attempt, decades; EU scope visible. This is a provisional connection, not an outcome finding.</w:t>
      </w:r>
    </w:p>
    <w:p>
      <w:pPr>
        <w:pStyle w:val="SourceNote"/>
      </w:pPr>
      <w:r>
        <w:rPr>
          <w:b/>
        </w:rPr>
        <w:t>Available abstract (not full text):</w:t>
      </w:r>
      <w:r>
        <w:t xml:space="preserve"> The changes and challenges that are tackling the forest sector in recent decades have prompted governments and foresters to work hard to find innovative solutions. Research in the forestry domain has focused on product and process innovation, and more recently on business systems and social innovation. In addition, organizational innovation is recognized and documented. However, while consistent conceptualization work has been conducted for business models and social innovation, the organizational domain in forestry seems less clear, characterized by multiple actors and often overlapping in literature, while a clear framework to describe it is missing. This work proposes a conceptualization of the “organizational model”, a concept embracing different approaches to build an analytical framework used to describe and characterize organizations in the forestry sector. The framework is drafted referring to existing theories, then tested (and further developed) through a semi-systematic literature review on organizations operating in forest management in Europe that are identified, categorized, and characterized. This exercise confirms that forest management organizations can be described with several diverse arrangements and can be complex entities: a holistic and comprehensive approach is more likely to be used by policy initiatives addressing improvement of forest management.</w:t>
      </w:r>
    </w:p>
    <w:p>
      <w:pPr/>
      <w:r>
        <w:rPr>
          <w:b/>
        </w:rPr>
        <w:t>POSSIBLE 2023:</w:t>
      </w:r>
      <w:r>
        <w:t xml:space="preserve"> Dream of European Army: Is It a Feasible Objective or Not? — https://doi.org/10.37880/cumuiibf.1334315</w:t>
      </w:r>
    </w:p>
    <w:p>
      <w:pPr/>
      <w:r>
        <w:rPr>
          <w:b/>
        </w:rPr>
        <w:t>Shared claim-specific concepts:</w:t>
      </w:r>
      <w:r>
        <w:t xml:space="preserve"> objective, attempt, significant, feasible, areas, decades; EU scope visible. This is a provisional connection, not an outcome finding.</w:t>
      </w:r>
    </w:p>
    <w:p>
      <w:pPr>
        <w:pStyle w:val="SourceNote"/>
      </w:pPr>
      <w:r>
        <w:rPr>
          <w:b/>
        </w:rPr>
        <w:t>Available abstract (not full text):</w:t>
      </w:r>
      <w:r>
        <w:t xml:space="preserve"> The European Union’s (EU) defense initiatives have changed over time, reflecting both the pursuit of security and defense goals and the shifting dynamics of European integration. To improve defense cooperation and create a common defense strategy for the EU, several initiatives have been made. The EU’s Common Security and Defense Policy (CSDP), which strives to strengthen its capacity to handle security concerns and preserve stability, has a significant influence on defense-related operations. We have witnessed new security and military efforts from the EU in the first two decades of the 2000s, such as the European Security Strategy, EU’s Global Strategy and Security Compass. 2013 marked a turning point when the USA deployed its new nuclear weapons in Europe. The announcement of the creation of the European army was made on November 13, 2017. Europe should be able to act independently in areas of defense and security rather than merely relying on the US or NATO. Because of these kinds of reservations, desires to pursue more advanced capabilities on their own have been raised. There has been a lot of debate and analysis around the reasons for and against the formation of a European army. Numerous parties have expressed interest in and influence over the notion of a European army. The development of a European army has been heavily debated over the past several years. Why is the </w:t>
      </w:r>
    </w:p>
    <w:p>
      <w:pPr/>
      <w:r>
        <w:rPr>
          <w:b/>
        </w:rPr>
        <w:t>POSSIBLE 2021:</w:t>
      </w:r>
      <w:r>
        <w:t xml:space="preserve"> Identification of Suicide Attempt Risk Factors in a National US Survey Using Machine Learning — https://doi.org/10.1001/jamapsychiatry.2020.4165</w:t>
      </w:r>
    </w:p>
    <w:p>
      <w:pPr/>
      <w:r>
        <w:rPr>
          <w:b/>
        </w:rPr>
        <w:t>Shared claim-specific concepts:</w:t>
      </w:r>
      <w:r>
        <w:t xml:space="preserve"> objective, attempt, identification, factors, not; EU scope not established. This is a provisional connection, not an outcome finding.</w:t>
      </w:r>
    </w:p>
    <w:p>
      <w:pPr>
        <w:pStyle w:val="SourceNote"/>
      </w:pPr>
      <w:r>
        <w:rPr>
          <w:b/>
        </w:rPr>
        <w:t>Available abstract (not full text):</w:t>
      </w:r>
      <w:r>
        <w:t xml:space="preserve"> Importance: Because more than one-third of people making nonfatal suicide attempts do not receive mental health treatment, it is essential to extend suicide attempt risk factors beyond high-risk clinical populations to the general adult population. Objective: To identify future suicide attempt risk factors in the general population using a data-driven machine learning approach including more than 2500 questions from a large, nationally representative survey of US adults. Design, Setting, and Participants: Data came from wave 1 (2001 to 2002) and wave 2 (2004 to 2005) of the National Epidemiologic Survey on Alcohol and Related Conditions (NESARC). NESARC is a face-to-face longitudinal survey conducted with a national representative sample of noninstitutionalized civilian population 18 years and older in the US. The cumulative response rate across both waves was 70.2% resulting in 34 653 wave 2 interviews. A balanced random forest was trained using cross-validation to develop a suicide attempt risk model. Out-of-fold model prediction was used to assess model performance, including the area under the receiver operator curve, sensitivity, and specificity. Survey design and nonresponse weights allowed estimates to be representative of the US civilian population based on the 2000 census. Analyses were performed between May 15, 2019, and June 10, 2020. Main Outcomes and Measures: Atte</w:t>
      </w:r>
    </w:p>
    <w:p>
      <w:pPr/>
      <w:r>
        <w:rPr>
          <w:b/>
        </w:rPr>
        <w:t>POSSIBLE 2021:</w:t>
      </w:r>
      <w:r>
        <w:t xml:space="preserve"> Social Enterprise in Western Europe — https://doi.org/10.4324/9780429055140</w:t>
      </w:r>
    </w:p>
    <w:p>
      <w:pPr/>
      <w:r>
        <w:rPr>
          <w:b/>
        </w:rPr>
        <w:t>Shared claim-specific concepts:</w:t>
      </w:r>
      <w:r>
        <w:t xml:space="preserve"> objective, attempt, identification, decades; EU scope visible. This is a provisional connection, not an outcome finding.</w:t>
      </w:r>
    </w:p>
    <w:p>
      <w:pPr>
        <w:pStyle w:val="SourceNote"/>
      </w:pPr>
      <w:r>
        <w:rPr>
          <w:b/>
        </w:rPr>
        <w:t>Available abstract (not full text):</w:t>
      </w:r>
      <w:r>
        <w:t xml:space="preserve"> In the last two decades, the quest for a widely accepted definition of social enterprise has been a central issue in a great number of publications.The main objective of the ICSEM Project on which this book is based was to show that the social enterprise field would benefit much more from linking conceptualisation efforts to the huge diversity of social enterprises than from an additional and ambitious attempt at providing an encompassing definition. Starting from a hypothesis that could be termed "the impossibility of a unified definition", the ICSEM research strategy relied on bottom-up approaches to capture the social enterprise phenomenon in its local and national contexts. This strategy made it possible to take into account and give legitimacy to locally embedded approaches, while simultaneously allowing for the identification of major social enterprise models to delineate the field on common grounds at the international level.Social Enterprise in Western Europe –the third volume in a series of four ICSEM-based books on social enterprise worldwide – will serve as a key reference and resource for teachers, researchers, students, experts, policy makers, journalists and others who want to acquire a broad understanding of the social enterprise and social entrepreneurship phenomena as they emerge and develop in this region.</w:t>
      </w:r>
    </w:p>
    <w:p>
      <w:pPr/>
      <w:r>
        <w:rPr>
          <w:b/>
        </w:rPr>
        <w:t>POSSIBLE 2020:</w:t>
      </w:r>
      <w:r>
        <w:t xml:space="preserve"> Subjective or Objective? How Objective Measures Relate to Subjective Life Satisfaction in Europe — https://doi.org/10.3390/ijgi9050320</w:t>
      </w:r>
    </w:p>
    <w:p>
      <w:pPr/>
      <w:r>
        <w:rPr>
          <w:b/>
        </w:rPr>
        <w:t>Shared claim-specific concepts:</w:t>
      </w:r>
      <w:r>
        <w:t xml:space="preserve"> objective, significant, factors; EU scope visible. This is a provisional connection, not an outcome finding.</w:t>
      </w:r>
    </w:p>
    <w:p>
      <w:pPr>
        <w:pStyle w:val="SourceNote"/>
      </w:pPr>
      <w:r>
        <w:rPr>
          <w:b/>
        </w:rPr>
        <w:t>Available abstract (not full text):</w:t>
      </w:r>
      <w:r>
        <w:t xml:space="preserve"> Quality of life and life satisfaction are topics that currently receive a great deal of attention across the globe. Many approaches exist, which use both qualitative and quantitative methods, to capture these phenomena. Historically, quality of life was measured exclusively by economic indicators. However, it is indisputable that other factors influence people’s life satisfaction, which is captured by subjective survey-based data. By contrast, objective data can easily be obtained and cover a wider range, in terms of population and area. In this research, the multiple fuzzy linear regression model is applied in order to explain the relationship between subjective life satisfaction and selected objective indicators used to evaluate quality of life. The great advantage of the fuzzy model lies in its ability to capture uncertainty, which is undoubtedly associated with the vague concept of subjective life satisfaction. The main outcome of the paper is the detection of indicators that have a statistically significant relationship with life satisfaction. Subsequently, a pan-European sub-national prediction of life satisfaction after the consideration of the most relevant input indicators was proposed, including the uncertainty associated with the prediction of such a phenomenon. The study revealed significant regional differences and similarities between the originally reported satis</w:t>
      </w:r>
    </w:p>
    <w:p>
      <w:pPr/>
      <w:r>
        <w:rPr>
          <w:b/>
        </w:rPr>
        <w:t>POSSIBLE 2020:</w:t>
      </w:r>
      <w:r>
        <w:t xml:space="preserve"> SUBJECTIVE AND OBJECTIVE IN THE NATIONAL SELF-IDENTIFICATION OF MACEDONIANS IN BULGARIA — https://doi.org/10.46763/bssr2016227b</w:t>
      </w:r>
    </w:p>
    <w:p>
      <w:pPr/>
      <w:r>
        <w:rPr>
          <w:b/>
        </w:rPr>
        <w:t>Shared claim-specific concepts:</w:t>
      </w:r>
      <w:r>
        <w:t xml:space="preserve"> objective, decades, not; EU scope visible. This is a provisional connection, not an outcome finding.</w:t>
      </w:r>
    </w:p>
    <w:p>
      <w:pPr>
        <w:pStyle w:val="SourceNote"/>
      </w:pPr>
      <w:r>
        <w:rPr>
          <w:b/>
        </w:rPr>
        <w:t>Available abstract (not full text):</w:t>
      </w:r>
      <w:r>
        <w:t xml:space="preserve"> Through the prism of “subjective” and “objective” criteria, this paper analyses the theoretical and practical problems associated with the self-identification of the Macedonians and the non-recognition of the Macedonian minority by the Bulgarian state. Realization of the fundamental natural subjective human right to independent and free national self-identification is extremely difficult in the absence of objective conditions, such as state guarantees aimed at the development of specific national minorities. The Bulgarian state not only does not provide any guarantees for the development of the Macedonian minority, but for many decades has denied the very fact of its existence in Bulgaria, which is consistently implemented in the lawmaking and enforcement activities of this state. In result Macedonians cannot even register their own NGOs, which led to numerous decisions of ECHR against Bulgaria.The authors of the paper critically assess the Bulgarian state national ideology and politics, devoid of any signs of tolerance and not based on real, internationally recognized objective facts confirming the centuries-old existence of the Macedonian minority, the Macedonian language and culture on the territory of modern Bulgaria. In addition, the official state myths that the citizens of Bulgaria who identify themselves with the Macedonian national minority are enemies of theBulgarian </w:t>
      </w:r>
    </w:p>
    <w:p>
      <w:pPr/>
      <w:r>
        <w:rPr>
          <w:b/>
        </w:rPr>
        <w:t>POSSIBLE 2018:</w:t>
      </w:r>
      <w:r>
        <w:t xml:space="preserve"> Pilot Ionosonde Network for Identification of Traveling Ionospheric Disturbances — https://doi.org/10.1002/2017rs006263</w:t>
      </w:r>
    </w:p>
    <w:p>
      <w:pPr/>
      <w:r>
        <w:rPr>
          <w:b/>
        </w:rPr>
        <w:t>Shared claim-specific concepts:</w:t>
      </w:r>
      <w:r>
        <w:t xml:space="preserve"> objective, identification, not; EU scope visible. This is a provisional connection, not an outcome finding.</w:t>
      </w:r>
    </w:p>
    <w:p>
      <w:pPr>
        <w:pStyle w:val="SourceNote"/>
      </w:pPr>
      <w:r>
        <w:rPr>
          <w:b/>
        </w:rPr>
        <w:t>Available abstract (not full text):</w:t>
      </w:r>
      <w:r>
        <w:t xml:space="preserve"> Abstract Traveling ionospheric disturbances (TIDs) are the ionospheric signatures of atmospheric gravity waves. Their identification and tracking is important because the TIDs affect all services that rely on predictable ionospheric radio wave propagation. Although various techniques have been proposed to measure TID characteristics, their real‐time implementation still has several difficulties. In this contribution, we present a new technique, based on the analysis of oblique Digisonde‐to‐Digisonde “skymap” observations, to directly identify TIDs and specify the TID wave parameters based on the measurement of angle of arrival, Doppler frequency, and time of flight of ionospherically reflected high‐frequency radio pulses. The technique has been implemented for the first time for the Network for TID Exploration project with data streaming from the network of European Digisonde DPS4D observatories. The performance is demonstrated during a period of moderate auroral activity, assessing its consistency with independent measurements such as data from auroral magnetometers and electron density perturbations from Digisondes and Global Navigation Satellite System stations. Given that the different types of measurements used for this assessment were not made at exactly the same time and location, and that there was insufficient coverage in the area between the atmospheric gravity wave s</w:t>
      </w:r>
    </w:p>
    <w:p>
      <w:pPr>
        <w:pStyle w:val="Heading2"/>
      </w:pPr>
      <w:r>
        <w:t>808.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2022:</w:t>
      </w:r>
      <w:r>
        <w:t xml:space="preserve"> Comparative Multidimensional Analysis of the Current State of European Economies Based on the Complex of Macroeconomic Indicators — https://doi.org/10.3390/math10050847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The stability of the economy of any country is primarily determined by the totality of macroeconomic indicators that describe the current economic state. This article provides a multi-dimensional analysis of the macroeconomic situation in Europe according to the data of 2020. The purpose of the article is to give a clear idea of the relative position of the economies of European countries, their proximity or the significance of their differences to determine each country’s place in the overall European economic system. Research objectives: (1) to identify the necessary macroeconomic indicators for the research; (2) to determine the direction of the impact of these indicators on the economic situation of European countries; (3) to carry out a cluster division of the studied countries with the identification of the main characteristics of each cluster; (4) to identify the main macroeconomic indicators that determine the level of welfare of European countries, (5) to reduce the dimension of the multi-dimensional economic space using integrated latent factors, (6) to build a fuzzy mathematical model to predict the level of welfare of the country when the specified values of latent factors are achieved. The methodological basis of the analysis is the methods of processing multi-dimensional information, such as multi-dimensional scaling, cluster analysis, factor analysis, multivariat</w:t>
      </w:r>
    </w:p>
    <w:p>
      <w:pPr/>
      <w:r>
        <w:rPr>
          <w:b/>
        </w:rPr>
        <w:t>POSSIBLE 2022:</w:t>
      </w:r>
      <w:r>
        <w:t xml:space="preserve"> The Current State of the “Green” Parties: Russia, Europe, the World — https://doi.org/10.22394/1726-1139-2022-8-15-27</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The article is devoted to the study of the current state of the «green» parties in the world as a whole, as well as in Europe and the Russian Federation in particular. The history of the formation of the «green» parties is also revealed and their common features are analyzed. In addition, the difference between the European «green» parties and the Russian ones is considered there. An important part of the study is the analysis of the percentage of representatives of «green» parties in the legislative authorities in the countries. As a result of the research, the author comes to several conclusions: currently, «green» parties exist in almost half of the countries where the existence of parties is possible as such. In a quarter of these countries, representatives of these parties are in the government, and about 4% of them are in the ruling coalitions. Nevertheless, for half a century, this is quite a great achievement for parties that were once considered oppositional. Most of these parties are represented in the European parliaments, but they have a number of differences from the «green» parties of the Russian Federation, which is also noted in this article.</w:t>
      </w:r>
    </w:p>
    <w:p>
      <w:pPr/>
      <w:r>
        <w:rPr>
          <w:b/>
        </w:rPr>
        <w:t>POSSIBLE 2021:</w:t>
      </w:r>
      <w:r>
        <w:t xml:space="preserve"> Marine Citizen Science: Current State in Europe and New Technological Developments — https://doi.org/10.3389/fmars.2021.621472</w:t>
      </w:r>
    </w:p>
    <w:p>
      <w:pPr/>
      <w:r>
        <w:rPr>
          <w:b/>
        </w:rPr>
        <w:t>Shared claim-specific concepts:</w:t>
      </w:r>
      <w:r>
        <w:t xml:space="preserve"> based, current, state, project; EU scope visible. This is a provisional connection, not an outcome finding.</w:t>
      </w:r>
    </w:p>
    <w:p>
      <w:pPr>
        <w:pStyle w:val="SourceNote"/>
      </w:pPr>
      <w:r>
        <w:rPr>
          <w:b/>
        </w:rPr>
        <w:t>Available abstract (not full text):</w:t>
      </w:r>
      <w:r>
        <w:t xml:space="preserve"> Marine citizen science is emerging with promising opportunities for science, policy and public but there is still no comprehensive overview of the current state in Europe. Based on 127 projects identified for the North Sea area we estimate there might be as much as 500 marine and coastal citizen science projects running in Europe, i.e., one marine citizen science project per ∼85 km of coastline, with an exponential growth since 1990. Beach-based projects are more accessible and hence most popular (60% of the projects), and the mean duration of the projects is 18–20 years. Current trends, topics, organizers, aims, and types of programme in terms of participation are presented in this overview. Progress in marine citizen science is specially enabled and promoted through technological developments. Recent technological advances and best practise examples are provided here, untapping the potential of smart mobile apps, do-it-yourself (DIY) technologies, drones, and artificial intelligence (AI) web services.</w:t>
      </w:r>
    </w:p>
    <w:p>
      <w:pPr/>
      <w:r>
        <w:rPr>
          <w:b/>
        </w:rPr>
        <w:t>POSSIBLE 2021:</w:t>
      </w:r>
      <w:r>
        <w:t xml:space="preserve"> Addressing underwater noise in Europe: Current state of knowledge and future priorities — https://doi.org/10.5281/zenodo.5534223</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The Ocean presents a cacophony of sounds originating from natural as well as anthropogenic sources. Marine organisms heavily rely on sound to communicate and understand the world around them, and are therefore potentially impacted by anthropogenic sound. However, in developing our Blue Economy and in advancing our knowledge of marine environments and ecosystems, anthropogenic noise is sometimes unavoidable. Understanding the potential effects of anthropogenic noise is therefore integral to addressing this conflict, as it is needed to develop proportionate mitigation strategies and effective regulation. Next to providing an overview of our current knowledge about underwater noise, this publication highlights the priority areas for further research addressing the remaining knowledge gaps about the effects of anthropogenic noise. Furthermore, it points out the relevant actions needed to take in order to ensure ecosystem-based and precautionary legislation.</w:t>
      </w:r>
    </w:p>
    <w:p>
      <w:pPr/>
      <w:r>
        <w:rPr>
          <w:b/>
        </w:rPr>
        <w:t>POSSIBLE 2021:</w:t>
      </w:r>
      <w:r>
        <w:t xml:space="preserve"> Accuracy of European Stock Target Prices — https://doi.org/10.3390/jrfm14090443</w:t>
      </w:r>
    </w:p>
    <w:p>
      <w:pPr/>
      <w:r>
        <w:rPr>
          <w:b/>
        </w:rPr>
        <w:t>Shared claim-specific concepts:</w:t>
      </w:r>
      <w:r>
        <w:t xml:space="preserve"> based, current, stock; EU scope visible. This is a provisional connection, not an outcome finding.</w:t>
      </w:r>
    </w:p>
    <w:p>
      <w:pPr>
        <w:pStyle w:val="SourceNote"/>
      </w:pPr>
      <w:r>
        <w:rPr>
          <w:b/>
        </w:rPr>
        <w:t>Available abstract (not full text):</w:t>
      </w:r>
      <w:r>
        <w:t xml:space="preserve"> Equity researches are conducted by professionals, who also provide buy/hold/sell recommendations to investors. Nowadays, target prices determined by financial analysts are publicly available to investors, who may decide to use them for investment purposes. Studying the accuracy of such analysts' forecasts is, thus, of paramount importance. Based upon empirical data on 50 of the biggest (larger capitalisation) European stocks over a 15 year period, from 2004 to 2019 and using a panel data approach, this is the first study looking at overall accuracy in European stock markets. We find that Bloomberg's 12-month consensus target prices have no predictive over future market prices. Panel results are robust to company fixed effects and sub-period analysis. These results are in line with the (mostly US-based) evidence in the literature. Extending common practice, we perform a comparative accuracy analysis, comparing the accuracy of target prices with that of simple capitalisations of current prices. It turns out target prices are not better in forecasting, than simple capitalisations. More interestingly, by analysing also the relationship between both measures – target prices and capitalised prices – we find evidence that capitalised prices partially explain how target prices are determined. Even when considering individual regressions, accuracy is still very low, but varies considera</w:t>
      </w:r>
    </w:p>
    <w:p>
      <w:pPr/>
      <w:r>
        <w:rPr>
          <w:b/>
        </w:rPr>
        <w:t>POSSIBLE 2020:</w:t>
      </w:r>
      <w:r>
        <w:t xml:space="preserve"> Current state of perinatal postmortem magnetic resonance imaging: European Society of Paediatric Radiology questionnaire-based survey and recommendations — https://doi.org/10.1007/s00247-020-04905-9</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Postmortem magnetic resonance imaging (MRI) in perinatal and childhood deaths is increasingly used as a noninvasive adjunct or alternative to autopsy. Imaging protocols vary between centres and consensus guidelines do not exist. OBJECTIVE: Our aim was to develop practical, standardised recommendations for perinatal postmortem MRI. MATERIALS AND METHODS: Recommendations were based on the results of two surveys regarding local postmortem MRI practices sent electronically to all 14 members of the European Society of Paediatric Radiology (ESPR) Postmortem Imaging Task Force and 17 members of the International Society of Forensic Radiology and Imaging Task Force (25 different centres). RESULTS: Overall, 11/14 (78.6%) respondents from different institutions perform postmortem MRI. All of these centres perform postmortem MRI for perinatal and neonatal deaths, but only 6/11 (54.5%) perform imaging in older children. CONCLUSION: We propose a clinical standard for postmortem MRI sequences plus optional sequences for neuroimaging and cardiac anatomy depending on available scanning time and referral indications.</w:t>
      </w:r>
    </w:p>
    <w:p>
      <w:pPr/>
      <w:r>
        <w:rPr>
          <w:b/>
        </w:rPr>
        <w:t>POSSIBLE 2020:</w:t>
      </w:r>
      <w:r>
        <w:t xml:space="preserve"> How to finance the transition to low-carbon energy in Europe? — https://doi.org/10.1016/j.enpol.2020.111863</w:t>
      </w:r>
    </w:p>
    <w:p>
      <w:pPr/>
      <w:r>
        <w:rPr>
          <w:b/>
        </w:rPr>
        <w:t>Shared claim-specific concepts:</w:t>
      </w:r>
      <w:r>
        <w:t xml:space="preserve"> based, current, stock, role; EU scope visible. This is a provisional connection, not an outcome finding.</w:t>
      </w:r>
    </w:p>
    <w:p>
      <w:pPr>
        <w:pStyle w:val="SourceNote"/>
      </w:pPr>
      <w:r>
        <w:rPr>
          <w:b/>
        </w:rPr>
        <w:t>Available abstract (not full text):</w:t>
      </w:r>
      <w:r>
        <w:t xml:space="preserve"> In this paper, we use standard scenarios focussing on renewable energy, energy efficiency and grid investments. We take stock of the literature and quantitative data on available sources of financing for clean energy to qualitatively match supply and demand of specific sources of finance in the European context. Our analysis shows that under the current investment mandates and lending criteria the required funds for a successful energy transition are available. In fact, the current landscape of financing sources can provide between two and six times what is necessary. However, institutional investors and lenders such as pension funds and banks in particular are reluctant to invest in the renewable energy or grid infrastructure because of expected (policy) discontinuities. In addition, more venture capital and household investment are needed to finance low-risk small-ticket projects in the early stages of innovative clean energy technologies, to complement the abundantly available funds for large-scale investments. Based on our analysis, we develop a matrix indicating the role and availability of different sources of finance and new intermediation channels in the energy transition and how these should be deployed.</w:t>
      </w:r>
    </w:p>
    <w:p>
      <w:pPr/>
      <w:r>
        <w:rPr>
          <w:b/>
        </w:rPr>
        <w:t>POSSIBLE 2019:</w:t>
      </w:r>
      <w:r>
        <w:t xml:space="preserve"> BASED ON MATERIALS FROM THE 28TH CONGRESS OF THE EUROPEAN ACADEMY OF DERMATOLOGY AND VENEREOLOGY, OCTOBER 9-13, 2019, MADRID, VITILIGO, SPAIN. THE CURRENT STATE OF THE PROBLEM — https://doi.org/10.17816/dv42948</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Unavailable</w:t>
      </w:r>
    </w:p>
    <w:p>
      <w:pPr>
        <w:pStyle w:val="Heading2"/>
      </w:pPr>
      <w:r>
        <w:t>809.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2024:</w:t>
      </w:r>
      <w:r>
        <w:t xml:space="preserve"> Assessing the Feasibility of Using Parents’ Social Media Conversations to Inform Burn First Aid Interventions: Mixed Methods Study — https://doi.org/10.2196/48695</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BACKGROUND: Burns are common childhood injuries, which can lead to serious physical and psychological outcomes. Appropriate first aid is essential in managing the pain and severity of these injuries; hence, parents who need timely access to such information often seek it from the web. In particular, social media allow them to reach other parents, hence these conversations may provide insight to aid the design and evaluation of burn first aid interventions for parents. OBJECTIVE: This study aims to determine the feasibility of finding, accessing, and analyzing parent burn first aid conversations on social media to inform intervention research. METHODS: The initial choice of the relevant social media was made based on the results of a parent focus group and survey. We considered Facebook (Meta Platforms, Inc), Mumsnet (Mumsnet Limited), Netmums (Aufeminin Group), Twitter (subsequently rebranded as "X"; X Corp), Reddit (Reddit, Inc), and YouTube (Google LLC). To locate the relevant data on these platforms, we collated a taxonomy of search terms and designed a search strategy. A combination of natural language processing and manual inspection was used to filter out irrelevant data. The remaining data were analyzed manually to determine the length of conversations, the number of participants, the purpose of the initial post (eg, asking for or offering advice), burn types, and distri</w:t>
      </w:r>
    </w:p>
    <w:p>
      <w:pPr/>
      <w:r>
        <w:rPr>
          <w:b/>
        </w:rPr>
        <w:t>POSSIBLE 2024:</w:t>
      </w:r>
      <w:r>
        <w:t xml:space="preserve"> A Gender-Informed Smoking Cessation App for Women: Protocol for an Acceptability and Feasibility Study — https://doi.org/10.2196/60677</w:t>
      </w:r>
    </w:p>
    <w:p>
      <w:pPr/>
      <w:r>
        <w:rPr>
          <w:b/>
        </w:rPr>
        <w:t>Shared claim-specific concepts:</w:t>
      </w:r>
      <w:r>
        <w:t xml:space="preserve"> informed, feasibility, acceptability, goal; EU scope not established. This is a provisional connection, not an outcome finding.</w:t>
      </w:r>
    </w:p>
    <w:p>
      <w:pPr>
        <w:pStyle w:val="SourceNote"/>
      </w:pPr>
      <w:r>
        <w:rPr>
          <w:b/>
        </w:rPr>
        <w:t>Available abstract (not full text):</w:t>
      </w:r>
      <w:r>
        <w:t xml:space="preserve"> BACKGROUND: Tobacco smoking remains the leading preventable cause of death and disease among women. Quitting smoking offers numerous health benefits; however, women tend to have less success than men when attempting to quit. This discrepancy is partly due to sex- and gender-related factors, including the lower effectiveness of smoking cessation medication and the presence of unique motives for smoking and barriers to quitting among women. Despite the gendered nature of smoking, most smoking cessation apps are gender-neutral and fail to address women's specific needs. OBJECTIVE: This study aims to test the acceptability and feasibility of a smartphone app that delivers gender-informed content to support women in quitting smoking. METHODS: We co-developed a smoking cessation app specifically tailored for women, named My Change Plan-Women (MCP-W). This app builds upon our previous gender-neutral app, MCP, by retaining its content grounded in behavioral change techniques aimed at supporting tobacco reduction and cessation. This includes goal setting for quitting, identifying triggers to smoking, creating coping strategies, tracking cigarettes and cravings, and assessing financial savings from quitting smoking. The MCP-W app contains additional gender-informed content that acknowledges barriers to quitting, such as coping with stress, having smokers in one's social circle, and manag</w:t>
      </w:r>
    </w:p>
    <w:p>
      <w:pPr/>
      <w:r>
        <w:rPr>
          <w:b/>
        </w:rPr>
        <w:t>POSSIBLE 2024:</w:t>
      </w:r>
      <w:r>
        <w:t xml:space="preserve"> Social workers in schools: A feasibility study of three local authorities — https://doi.org/10.1177/14680173241258927</w:t>
      </w:r>
    </w:p>
    <w:p>
      <w:pPr/>
      <w:r>
        <w:rPr>
          <w:b/>
        </w:rPr>
        <w:t>Shared claim-specific concepts:</w:t>
      </w:r>
      <w:r>
        <w:t xml:space="preserve"> feasibility, acceptability, reducing; EU scope not established. This is a provisional connection, not an outcome finding.</w:t>
      </w:r>
    </w:p>
    <w:p>
      <w:pPr>
        <w:pStyle w:val="SourceNote"/>
      </w:pPr>
      <w:r>
        <w:rPr>
          <w:b/>
        </w:rPr>
        <w:t>Available abstract (not full text):</w:t>
      </w:r>
      <w:r>
        <w:t xml:space="preserve"> Summary This study evaluated the feasibility of ‘Social Workers in Schools’, an intervention that involved social workers being based within schools across three local authorities in England (SWIS). Schools make a large number of referrals to Children's Social Care and play an important role in recognizing risks to children and protecting them from harm, but it is unusual for social workers to be based in schools in the U.K. and to do statutory work. We evaluated the pilots on the basis of the feasibility of implementing SWIS, how promising it was in terms of reducing the need for statutory intervention, and the extent to which it be scaled. We used a mixed methods approach, with a process evaluation and a difference in differences analysis of indicative impact on key social care outcomes. In addition, we estimated the cost of implementing and maintaining SWIS. Findings We found high levels of acceptability among those involved, and examples of how SWIS enhances the way safeguarding issues are addressed. There was also some evidence that it may reduce the need for social care interventions, though this needs ratifying with more and better data. Applications The study suggests that SWIS is a promising intervention. Both the qualitative and quantitative findings suggest it may have the intended policy impact, but this needs to be tested on a larger scale and with a more rigorous </w:t>
      </w:r>
    </w:p>
    <w:p>
      <w:pPr/>
      <w:r>
        <w:rPr>
          <w:b/>
        </w:rPr>
        <w:t>POSSIBLE 2023:</w:t>
      </w:r>
      <w:r>
        <w:t xml:space="preserve"> Foreign Aid — https://doi.org/10.4324/9781003265320</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Foreign Aid: Policy and Practice offers a complete overview of the basics of foreign aid. Who is it for? Who pays for it? Why does it exist? What is it spent on? How much is it? And most important, does it work? The aid debate has been flooded by academic studies and popular books that either challenge or champion the effectiveness of aid. Most presume that the reader already knows the basic facts and characteristics of the aid industry. This book provides readers with a comprehensive summary of the background, actors, core principles and policies, and intended (and unintended) outcomes of foreign aid, followed by a more informed and balanced treatment of the key controversies and trends in aid today. Drawing on the author’s 25 years’ experience in development practice and 15 years in teaching, the book reflects on recent efforts to accelerate aid’s impact and concludes by taking a look at the future of aid and the headwinds it will face in the first half of the 21st century. Perfect for university teaching at advanced undergraduate and graduate levels, this book will also encourage development practitioners, policy makers, and members of the public to engage in more informed debates about aid and development finance.</w:t>
      </w:r>
    </w:p>
    <w:p>
      <w:pPr/>
      <w:r>
        <w:rPr>
          <w:b/>
        </w:rPr>
        <w:t>POSSIBLE 2023:</w:t>
      </w:r>
      <w:r>
        <w:t xml:space="preserve"> Working Conditions in Legal Aid — https://doi.org/10.5040/9781509957835.ch-004</w:t>
      </w:r>
    </w:p>
    <w:p>
      <w:pPr/>
      <w:r>
        <w:rPr>
          <w:b/>
        </w:rPr>
        <w:t>Shared claim-specific concepts:</w:t>
      </w:r>
      <w:r>
        <w:t xml:space="preserve"> aid, informed; EU scope visible. This is a provisional connection, not an outcome finding.</w:t>
      </w:r>
    </w:p>
    <w:p>
      <w:pPr>
        <w:pStyle w:val="SourceNote"/>
      </w:pPr>
      <w:r>
        <w:rPr>
          <w:b/>
        </w:rPr>
        <w:t>Available abstract (not full text):</w:t>
      </w:r>
      <w:r>
        <w:t xml:space="preserve"> Robert K Merton , ' On Sociological Th eories of the Middle Range ' , in Robert K Merton , On Th eoretical Sociology: Five Essays, Old and New ( Free Press , 1967 ) as cited by Martha A Fineman , ' Vulnerability and Social Justice ' ( 2019 ) 53 Valparaiso University Law Review 341 .18 Of course, it is entirely possible to consider the working conditions of legal aid lawyers through the kind of grand theory that is the apotheosis of a middle range theory.For example, Newman (2016) has elsewhere considered criminal legal aid lawyers applying perhaps the most famous grand theory of all, Marx and Engels ' historical materialism, particularly drawing out the notion of alienation.Powerful as a grand theory approach such as Marxism might be in providing impactful accounts of the issues faced by these lawyers in their practice, this chapter is informed by an approach that foregrounds the experiences of the lawyers to help give a fl avour of the reality of their working conditions.In doing so, it is hoped that an understanding of this lived reality will be valuable in informing broader debates, both later in this book and more widely amongst those who read it.See further Daniel Newman , ' Are Lawyers Alienated Workers ?' ( 2016 ) 22 European Journal of Current Legal Issues 1 .However, they go on to note that: Austerity justice under-funding key institutions such as the police and legal </w:t>
      </w:r>
    </w:p>
    <w:p>
      <w:pPr/>
      <w:r>
        <w:rPr>
          <w:b/>
        </w:rPr>
        <w:t>POSSIBLE 2023:</w:t>
      </w:r>
      <w:r>
        <w:t xml:space="preserve"> The Ethics of Food Aid and Famine Relief — https://doi.org/10.1093/oso/9780197744727.003.0004</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Abstract Peter Singer’s 1972 article “Famine, Affluence and Morality” set the stage for philosophical debate over food security and international development policy for a half century. Paired with articles criticizing the impact of food aid programs, philosophy professors approached the problem in terms of whether better-off people have an obligation to give aid. Though initially focused on food aid, the trend has been to subsume Singer’s original focus on famine relief with a more general emphasis on ending poverty. These analyses ignore aspects of hunger that are ethically significant, as well as facts about the structure and operation of international assistance operations and their use of agricultural commodities. As argued in From Field to Fork, food aid can be damaging to local producers, who are often among the most vulnerable members of their respective societies. However, this does not subvert Singer’s original argument, which was focused on a food emergency, rather than poverty relief. Indeed, we should maintain Singer’s early focus on food, supporting food aid in response to both natural and human-caused emergencies. Programs to promote economic and social development are more complex and must be subjected to more extensive and empirically informed ethical analysis.</w:t>
      </w:r>
    </w:p>
    <w:p>
      <w:pPr/>
      <w:r>
        <w:rPr>
          <w:b/>
        </w:rPr>
        <w:t>POSSIBLE 2023:</w:t>
      </w:r>
      <w:r>
        <w:t xml:space="preserve"> The Feasibility and Impact of a Computer-Aided Genetics Education Module in an Obstetrics Clinic: A Randomized Controlled Trial — https://doi.org/10.1080/19325037.2023.2209616</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Rapid advances in prenatal genetic testing highlight the need for technology-based tools to assist in informed decision-making.Purpose This study evaluates the feasibility, acceptability, and efficacy of a Computer-Aided Genetics Education Module (CAGEM) as an e-counseling tool and decision aid in a busy obstetric clinic among a socially disadvantaged patient population.Methods A randomized controlled trial with patients randomized (1:1) to receive the intervention in addition to standard of care or standard of care only. Participants responded to pre- and posttest questionnaires.Results Although limited in recruitment by the COVID-19 pandemic, this tool scored 81.0% acceptability and 91.0% feasibility among 88 participants. No statistically significant difference was detected between the overall improvement in knowledge scores and the total posttest knowledge scores among the intervention and control groups. However, the intervention group scored significantly higher on the posttest questions regarding NIPT interpretation (61.7 ± 49.1 vs 80.9 ± 39.8, p = .049), Down syndrome (78.7 ± 41.4 vs 93.6 ± 24.7, p = .016), and inheritance of recessive conditions (59.6 ± 49.6 vs 91.4 ± 28.2, p &lt; .001). The intervention group also showed a greater improvement in knowledge scores for inheritance of recessive conditions (31.9 ± 8.1 vs 0 ± 7.8, p = .006) and a protective effect i</w:t>
      </w:r>
    </w:p>
    <w:p>
      <w:pPr/>
      <w:r>
        <w:rPr>
          <w:b/>
        </w:rPr>
        <w:t>POSSIBLE 2023:</w:t>
      </w:r>
      <w:r>
        <w:t xml:space="preserve"> A feasibility study of psychological first aid as a supportive intervention among police officers exposed to traumatic events — https://doi.org/10.3389/fpsyg.2023.1149597</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Introduction: Police officers are often exposed to traumatic events, which can induce psychological distress and increase the risk of developing post-traumatic stress injuries. To date, little is known about support and prevention of traumatic events in police organizations. Psychological first aid (PFA) has been promoted as a promising solution to prevent psychological distress following exposure to a traumatic event. However, PFA has not yet been adapted to policing reality, let alone to the frequent exposure to traumatic events faced by this population. This study aimed to evaluate the feasibility of PFA as an early intervention for the prevention of post-traumatic stress injuries among police officers in Quebec, Canada. Specifically, the objectives were to evaluate: (1) the demand. (2) the practicality, and (3) the acceptability of PFA in a police organization. Methods: = 6). Interviews were transcribed, coded, and evaluated according to a thematic analysis. Results: Eleven themes emerged from participants' responses. Results suggested that PFA met individual and organizational needs. References were also made regarding the impacts of this intervention. Moreover, participants provided feedback for improving the implementation and sustainability of a PFA program. All three groups of participants shared similar thematic content. Discussion: Findings revealed that implementati</w:t>
      </w:r>
    </w:p>
    <w:p>
      <w:pPr/>
      <w:r>
        <w:rPr>
          <w:b/>
        </w:rPr>
        <w:t>POSSIBLE 2022:</w:t>
      </w:r>
      <w:r>
        <w:t xml:space="preserve"> Feasibility of Adding Twitter Data to Aid Drought Depiction: Case Study in Colorado — https://doi.org/10.3390/w14182773</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Abstract The use of social media, such as Twitter, has changed the information landscape for citizens participation in crisis response and recovery activities. Given that drought progression is slow and also spatially extensive, an interesting set of questions arise: How the usage of Twitter by a large population may change during the development of a major drought alongside how changing usage promotes drought detection? For this reason, by investigating contemporary procedures, this paper scrutinizes the potential to advance drought depiction. Hence, an analysis of how social media data, in conjunction with meteorological records, was conducted towards improvement in the detection of drought and furthermore, its progression. The research utilized machine learning techniques applied over satellite-derived drought conditions in Colorado. Specifically, 3 different machine learning techniques were examined: the generalized linear model, support vector machines and deep learning, each applied to test the integration of Twitter data with meteorological records as a predictor of drought development. It is maintained that the data integration of resources is viable given that the Twitter-based model outperformed the control run which did not include social media input. Furthermore the Twitter-based model was superior in predicting drought severity.</w:t>
      </w:r>
    </w:p>
    <w:p>
      <w:pPr/>
      <w:r>
        <w:rPr>
          <w:b/>
        </w:rPr>
        <w:t>POSSIBLE 2021:</w:t>
      </w:r>
      <w:r>
        <w:t xml:space="preserve"> Feasibility of a screening tool for sex trafficking in an adult emergency department — https://doi.org/10.1111/acem.14313</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BACKGROUND: Human trafficking (HT) is a human rights violation and public health issue. People with a history of HT are likely to see a physician during their exploitation. A screening tool was developed and implemented in a busy urban emergency department (ED) to aid in the identification of this population. OBJECTIVE: The objective was to retrospectively assess a HT screening tool implemented in an urban ED and evaluate the feasibility of the tool as a component of standard emergency care. METHODS: This was a retrospective observational study conducted at an urban adult ED after the implementation of an original 11-item HT screening tool. Adult patients 18 years and older were screened based on high-risk chief complaints, "red flag" risk factors, or provider gestalt. All patients with a positive screen were offered the opportunity to speak to a social worker, who then determined the patients' likely trafficking status. Data analysis was performed on this group of patients. RESULTS: A total of 26,974 patients were screened in the ED during 2019. Of these patients, 189 of them had a positive screen. A total of 37 patients were confirmed to have a likely sex trafficking status based on the federal definition. Eight of these patients elected to go to a community partner safe house. Positive responses to eight of the questions were significantly associated with likely sex traffick</w:t>
      </w:r>
    </w:p>
    <w:p>
      <w:pPr/>
      <w:r>
        <w:rPr>
          <w:b/>
        </w:rPr>
        <w:t>POSSIBLE 2021:</w:t>
      </w:r>
      <w:r>
        <w:t xml:space="preserve"> Clinicians’ Perspectives About the Feasibility and Effectiveness of Using Telemedicine in First Aid: A Qualitative Study — https://doi.org/10.2147/ijgm.s314901</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OBJECTIVE: This study investigated clinicians' perspectives on the feasibility and effectiveness of using telemedicine in the context of providing first aid. It is crucial to identify and explore clinicians' attitudes and awareness of tele-first-aid in China to keep pace with ongoing global trends. DESIGN: This was a qualitative study. Data gathered from in-depth interviews with 22 clinicians were coded into themes and analyzed. PARTICIPANTS: Participants included hospital-based clinicians: four clinical specialists, eight emergency nurses, four emergency doctors, three general practitioners, and three clinical administrators. SETTING: The study was conducted in university-affiliated hospitals. RESULTS: All clinicians who were invited to participate believed that the use of telemedicine in first aid was promising and effective. Participants stated that relevant technology should be designed to synergize the chain of existing platforms in the industry and that it should be determined who has the authority to utilize such technology and how it should be used to achieve the sought-after benefits. The use of such technology refreshes the role of clinicians and their relationship with patients. Additionally, participants believed that the government could play an important role especially in the reform of medical systems. CONCLUSION: Telemedicine can facilitate the provision of conv</w:t>
      </w:r>
    </w:p>
    <w:p>
      <w:pPr/>
      <w:r>
        <w:rPr>
          <w:b/>
        </w:rPr>
        <w:t>POSSIBLE 2021:</w:t>
      </w:r>
      <w:r>
        <w:t xml:space="preserve"> Clinicians’ Perspectives About the Feasibility and Effectiveness of Using Telemedicine in First Aid: A Qualitative Study — https://openalex.org/W4388786567</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Xiaoqun Fang,1 Shulei Jia,2 Qiuyan Wang,1 Hui-fang Liu,1 Yumei Zhou,1 Lingling Zhang,1 Tanghua Dai,1 Hui Luo,1 Hui Peng,1 Jun Yuan,2 Huyan Zhou2 1Department of Rehabilitation Medicine, The Second Affiliated Hospital of Nanchang University, Nanchang, 330006, People’s Republic of China; 2School of Nursing, Nanchang University, Nanchang, 330006, People’s Republic of ChinaCorrespondence: Shulei JiaSchool of Nursing, Nanchang University, No. 461 of Ba Yi Road, Donghu District, Nanchang, 330006, People’s Republic of ChinaTel +86 1579 786 1504Fax +86 791 86360530Email jiashulei2021@163.comObjective: This study investigated clinicians’ perspectives on the feasibility and effectiveness of using telemedicine in the context of providing first aid. It is crucial to identify and explore clinicians’ attitudes and awareness of tele-first-aid in China to keep pace with ongoing global trends.Design: This was a qualitative study. Data gathered from in-depth interviews with 22 clinicians were coded into themes and analyzed.Participants: Participants included hospital-based clinicians: four clinical specialists, eight emergency nurses, four emergency doctors, three general practitioners, and three clinical administrators.Setting: The study was conducted in university-affiliated hospitals.Results: All clinicians who were invited to participate believed that the use of telemedicine in first aid was </w:t>
      </w:r>
    </w:p>
    <w:p>
      <w:pPr>
        <w:pStyle w:val="Heading2"/>
      </w:pPr>
      <w:r>
        <w:t>810.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2024:</w:t>
      </w:r>
      <w:r>
        <w:t xml:space="preserve"> Dynamics of Legal Framework for Public-Private Partnership (PPP) in Infrastructure Provision — https://openalex.org/W7219943541</w:t>
      </w:r>
    </w:p>
    <w:p>
      <w:pPr/>
      <w:r>
        <w:rPr>
          <w:b/>
        </w:rPr>
        <w:t>Shared claim-specific concepts:</w:t>
      </w:r>
      <w:r>
        <w:t xml:space="preserve"> infrastructure, provision, but, other; EU scope not established. This is a provisional connection, not an outcome finding.</w:t>
      </w:r>
    </w:p>
    <w:p>
      <w:pPr>
        <w:pStyle w:val="SourceNote"/>
      </w:pPr>
      <w:r>
        <w:rPr>
          <w:b/>
        </w:rPr>
        <w:t>Available abstract (not full text):</w:t>
      </w:r>
      <w:r>
        <w:t xml:space="preserve"> The increasing demand for public infrastructure in Indonesia, coupled with national budget limitations, has elevated the importance of the Public-Private Partnership (PPP) scheme as an alternative financing mechanism. This study aims to analyze the legal framework and challenges associated with the implementation of PPP in infrastructure provision. Using a qualitative approach, the research examines existing regulations, including Presidential Regulation No. 38 of 2015, as well as other supporting policies that form the basis of PPP implementation in Indonesia. The findings reveal two critical aspects: first, the current legal framework for PPP provides a foundation for collaboration but requires enhancement to address gaps in clarity and effectiveness; second, significant challenges, including risk allocation, dispute resolution, and legal protection for parties, hinder the execution of PPP projects. The study concludes that an improved and accountable legal framework is essential to attract private sector investment and ensure the success of PPP projects. Strengthening regulatory certainty and addressing legal challenges are pivotal for fostering sustainable infrastructure development in Indonesia.</w:t>
      </w:r>
    </w:p>
    <w:p>
      <w:pPr/>
      <w:r>
        <w:rPr>
          <w:b/>
        </w:rPr>
        <w:t>POSSIBLE 2022:</w:t>
      </w:r>
      <w:r>
        <w:t xml:space="preserve"> Technology Adoption and Early Network Infrastructure Provision in the Market for Electric Vehicles — https://doi.org/10.1007/s10640-022-00703-z</w:t>
      </w:r>
    </w:p>
    <w:p>
      <w:pPr/>
      <w:r>
        <w:rPr>
          <w:b/>
        </w:rPr>
        <w:t>Shared claim-specific concepts:</w:t>
      </w:r>
      <w:r>
        <w:t xml:space="preserve"> infrastructure, provision, early, stock; EU scope not established. This is a provisional connection, not an outcome finding.</w:t>
      </w:r>
    </w:p>
    <w:p>
      <w:pPr>
        <w:pStyle w:val="SourceNote"/>
      </w:pPr>
      <w:r>
        <w:rPr>
          <w:b/>
        </w:rPr>
        <w:t>Available abstract (not full text):</w:t>
      </w:r>
      <w:r>
        <w:t xml:space="preserve"> We document non-linear stock effects in the relationship linking emerging technology adoption and network infrastructure increments. We exploit 2010-2017 data covering nascent to mature electric vehicle (EV) markets across 422 Norwegian municipalities together with two complementary identification strategies: control function regressions of EV sales on flexible polynomials in the stock of charging stations and charging points, and synthetic control methods to quantify the impact of initial infrastructure provision in municipalities that previously had none. Our results are consistent with indirect network effects and the behavioral bias called "range anxiety," and support policies targeting early infrastructure provision to incentivize EV adoption.</w:t>
      </w:r>
    </w:p>
    <w:p>
      <w:pPr/>
      <w:r>
        <w:rPr>
          <w:b/>
        </w:rPr>
        <w:t>POSSIBLE 2022:</w:t>
      </w:r>
      <w:r>
        <w:t xml:space="preserve"> The Politics Of Infrastructural Provision in Rural Areas of Oyo State Nigeria — https://doi.org/10.57054/asr.v26i1.3992</w:t>
      </w:r>
    </w:p>
    <w:p>
      <w:pPr/>
      <w:r>
        <w:rPr>
          <w:b/>
        </w:rPr>
        <w:t>Shared claim-specific concepts:</w:t>
      </w:r>
      <w:r>
        <w:t xml:space="preserve"> infrastructure, provision, over; EU scope not established. This is a provisional connection, not an outcome finding.</w:t>
      </w:r>
    </w:p>
    <w:p>
      <w:pPr>
        <w:pStyle w:val="SourceNote"/>
      </w:pPr>
      <w:r>
        <w:rPr>
          <w:b/>
        </w:rPr>
        <w:t>Available abstract (not full text):</w:t>
      </w:r>
      <w:r>
        <w:t xml:space="preserve"> Over the years, rural service delivery is often subjected to political players and less of the rural public interest. The study examined rural people experiences of local government rural LGAs of Oyo state, Nigeria. The concept of governance provides the conceptual balance for this study. The study made use of a mixed approach for data collection, qualitative and quantitative tools of questionnaire and in-depth interview respectively. Two hundred and fifty (250) rural households across six (6) LGAs were administered questionnaire randomly from the purposively identified rural local government areas. Study revealed that infrastructure politicking is a challenge that limits sustainable rural facility delivery. This is because infrastructures such as water infrastructure, school buildings and drainage construction were provided based on political affiliation. Over half of the respondents consider rural governance not to be participatory and inclusive towards rural development. The study recommends that democratic local government autonomy remains the feasible and responsive solution to efficient service delivery in the local space.</w:t>
      </w:r>
    </w:p>
    <w:p>
      <w:pPr/>
      <w:r>
        <w:rPr>
          <w:b/>
        </w:rPr>
        <w:t>POSSIBLE 2021:</w:t>
      </w:r>
      <w:r>
        <w:t xml:space="preserve"> The sustainability of infrastructure provision of Montongsari Tourism Village Kendal — https://doi.org/10.1088/1755-1315/871/1/012010</w:t>
      </w:r>
    </w:p>
    <w:p>
      <w:pPr/>
      <w:r>
        <w:rPr>
          <w:b/>
        </w:rPr>
        <w:t>Shared claim-specific concepts:</w:t>
      </w:r>
      <w:r>
        <w:t xml:space="preserve"> infrastructure, provision, improving; EU scope not established. This is a provisional connection, not an outcome finding.</w:t>
      </w:r>
    </w:p>
    <w:p>
      <w:pPr>
        <w:pStyle w:val="SourceNote"/>
      </w:pPr>
      <w:r>
        <w:rPr>
          <w:b/>
        </w:rPr>
        <w:t>Available abstract (not full text):</w:t>
      </w:r>
      <w:r>
        <w:t xml:space="preserve"> Montongsari is one of the pilot tourism villages in the superior program of Kendal Regency to create village independence through tourism activities. However, the available infrastructure is still limited. This article aims to identify the sustainability of the provision of infrastructure as the main factor in tourism village development. Qualitative methods are used in this research, with data collection techniques through in-depth interviews and observation. In-depth interviews were carried out by asking village officials, and community leaders to gather information from tourism actors on the problems related to infrastructure and prioritizing infrastructure provision physically and spatially. Additionally, observations are conducted simultaneously to confirm the data. This research found that access to the tourism area is the most significant factor, followed by the provision of drainage to prevent flood hazards in tourist areas. The result also shows the strong role of community participation in the construction of bridges as the main access to improving the community's economy. The role and collaboration of stakeholders are needed in providing infrastructure to support the economic improvement of residents in the form of tourism activities.</w:t>
      </w:r>
    </w:p>
    <w:p>
      <w:pPr/>
      <w:r>
        <w:rPr>
          <w:b/>
        </w:rPr>
        <w:t>POSSIBLE 2021:</w:t>
      </w:r>
      <w:r>
        <w:t xml:space="preserve"> The state of play in electric vehicle charging services – A review of infrastructure provision, players, and policies — https://doi.org/10.1016/j.rser.2021.111733</w:t>
      </w:r>
    </w:p>
    <w:p>
      <w:pPr/>
      <w:r>
        <w:rPr>
          <w:b/>
        </w:rPr>
        <w:t>Shared claim-specific concepts:</w:t>
      </w:r>
      <w:r>
        <w:t xml:space="preserve"> infrastructure, provision, find, uptake; EU scope not established. This is a provisional connection, not an outcome finding.</w:t>
      </w:r>
    </w:p>
    <w:p>
      <w:pPr>
        <w:pStyle w:val="SourceNote"/>
      </w:pPr>
      <w:r>
        <w:rPr>
          <w:b/>
        </w:rPr>
        <w:t>Available abstract (not full text):</w:t>
      </w:r>
      <w:r>
        <w:t xml:space="preserve"> This paper reviews the market for electric vehicle (EV) charging infrastructure; it focuses on the types of existing charging, the main functions and actors in the market and the future policy actions required for widespread expansion. Electric vehicles represent a key technology in the mitigation of transportation greenhouse gas emissions and ambitious EV adoption targets have been set by many governments by 2030 and beyond. The rollout of EV charging infrastructure is vital in achieving this goal, as the uptake of EVs is linked to the level of coverage of EV chargers. To date, both the public and private sectors have been involved in the provision of charging stations and it is timely to consider the roles of the different actors in this market. We consider whether EV charging infrastructure is a public good or private asset and address the issues of the location of future chargers, the deployment models needed to develop, operate and own charging infrastructure, and finally the policy context for the development of charging infrastructure. We find that clear roles should be assigned to the individual public and private actors and funders, in order to achieve efficient development of the required infrastructure for large-scale EV deployment.</w:t>
      </w:r>
    </w:p>
    <w:p>
      <w:pPr/>
      <w:r>
        <w:rPr>
          <w:b/>
        </w:rPr>
        <w:t>POSSIBLE 2020:</w:t>
      </w:r>
      <w:r>
        <w:t xml:space="preserve"> INFRASTRUCTURE PROVISION OF THE AGRARIAN MARKET IN THE GLOBALIZED ENVIRONMENT — https://doi.org/10.30525/2256-0742/2019-5-5-39-46</w:t>
      </w:r>
    </w:p>
    <w:p>
      <w:pPr/>
      <w:r>
        <w:rPr>
          <w:b/>
        </w:rPr>
        <w:t>Shared claim-specific concepts:</w:t>
      </w:r>
      <w:r>
        <w:t xml:space="preserve"> infrastructure, provision; EU scope not established. This is a provisional connection, not an outcome finding.</w:t>
      </w:r>
    </w:p>
    <w:p>
      <w:pPr>
        <w:pStyle w:val="SourceNote"/>
      </w:pPr>
      <w:r>
        <w:rPr>
          <w:b/>
        </w:rPr>
        <w:t>Available abstract (not full text):</w:t>
      </w:r>
      <w:r>
        <w:t xml:space="preserve"> The main results of the research, which consist in determining the essence and features of the infrastructure provision of the agrarian market in the globalized environment, are formed. The priority of approaches in the development of logistics activities in the context of guaranteeing food security of regions and countries of the world is determined. The essence of the logistic process, strengthening the influence of the global market on the quality of agrarian products, is determined. The influence of the infrastructure provision of the agrarian market on the competitive positions of commodity producers is generalized, advantages and disadvantages in development are determined. The essence of informational logistics, its influence on the development of infrastructure provision of agricultural products market, satisfaction of consumers’ needs is investigated. The urgency of the introduction of e-commerce, which allows commodity producers to combine marketing activities with optimization of advertising costs, to ensure the efficiency and convenience of carrying out operations for the sale of agricultural products, its transportation, manage all logistics processes. It is proved that improvement of the infrastructure provision of the agrarian market of the world countries that adapts to the global market should be based on the dissemination of information opportunities, and the </w:t>
      </w:r>
    </w:p>
    <w:p>
      <w:pPr/>
      <w:r>
        <w:rPr>
          <w:b/>
        </w:rPr>
        <w:t>POSSIBLE 2020:</w:t>
      </w:r>
      <w:r>
        <w:t xml:space="preserve"> Infrastructure Provision as a Catalyst for Local Economic Development in South Africa — https://doi.org/10.35293/srsa.v42i1.198</w:t>
      </w:r>
    </w:p>
    <w:p>
      <w:pPr/>
      <w:r>
        <w:rPr>
          <w:b/>
        </w:rPr>
        <w:t>Shared claim-specific concepts:</w:t>
      </w:r>
      <w:r>
        <w:t xml:space="preserve"> infrastructure, provision, other, over; EU scope not established. This is a provisional connection, not an outcome finding.</w:t>
      </w:r>
    </w:p>
    <w:p>
      <w:pPr>
        <w:pStyle w:val="SourceNote"/>
      </w:pPr>
      <w:r>
        <w:rPr>
          <w:b/>
        </w:rPr>
        <w:t>Available abstract (not full text):</w:t>
      </w:r>
      <w:r>
        <w:t xml:space="preserve"> Throughout the era of the apartheid, the provision and accessibility of infrastructure in South Africa was skewed, and while the minority had access, the majority was overlooked. Local economic development (LED) has rested on the premise that the availability of infrastructure is likely to spur socio-economic development and to lift millions of South Africans out of poverty. However, with South Africa’s economy struggling to register consistent growth, there are difficulties accessing the much-needed finances needed to invest in infrastructure to spur LED. The study that this paper reflects upon used a qualitative research method and a systematic review of the literature relating to infrastructure provision and local economic development. It utilised thematic content analysis to deduce its findings with the hope of bringing in meaning to the overall content of the paper. The study revealed that indeed infrastructure provision is key to local economic development, that South Africa’s infrastructure provision is still skewed as urban areas continue receiving priority over rural areas; that local economic development is key in reducing inequality and spurring economic growth and sustaining the livelihoods of rural dwellers. However, limited investments in infrastructure in rural areas hinder the realization of such benefits. It recommends that the government prioritise LED in rura</w:t>
      </w:r>
    </w:p>
    <w:p>
      <w:pPr/>
      <w:r>
        <w:rPr>
          <w:b/>
        </w:rPr>
        <w:t>POSSIBLE 2019:</w:t>
      </w:r>
      <w:r>
        <w:t xml:space="preserve"> Implementing Green Infrastructure in Spatial Planning in Europe — https://doi.org/10.3390/land8040062</w:t>
      </w:r>
    </w:p>
    <w:p>
      <w:pPr/>
      <w:r>
        <w:rPr>
          <w:b/>
        </w:rPr>
        <w:t>Shared claim-specific concepts:</w:t>
      </w:r>
      <w:r>
        <w:t xml:space="preserve"> infrastructure, important; EU scope visible. This is a provisional connection, not an outcome finding.</w:t>
      </w:r>
    </w:p>
    <w:p>
      <w:pPr>
        <w:pStyle w:val="SourceNote"/>
      </w:pPr>
      <w:r>
        <w:rPr>
          <w:b/>
        </w:rPr>
        <w:t>Available abstract (not full text):</w:t>
      </w:r>
      <w:r>
        <w:t xml:space="preserve">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pPr/>
      <w:r>
        <w:rPr>
          <w:b/>
        </w:rPr>
        <w:t>POSSIBLE 2019:</w:t>
      </w:r>
      <w:r>
        <w:t xml:space="preserve"> Electric Mobility and Smart Mobility Concepts—Restrained Uptake in German Cities — https://doi.org/10.3390/wevj10040081</w:t>
      </w:r>
    </w:p>
    <w:p>
      <w:pPr/>
      <w:r>
        <w:rPr>
          <w:b/>
        </w:rPr>
        <w:t>Shared claim-specific concepts:</w:t>
      </w:r>
      <w:r>
        <w:t xml:space="preserve"> infrastructure, but, uptake; EU scope visible. This is a provisional connection, not an outcome finding.</w:t>
      </w:r>
    </w:p>
    <w:p>
      <w:pPr>
        <w:pStyle w:val="SourceNote"/>
      </w:pPr>
      <w:r>
        <w:rPr>
          <w:b/>
        </w:rPr>
        <w:t>Available abstract (not full text):</w:t>
      </w:r>
      <w:r>
        <w:t xml:space="preserve"> Ninety German cities exceeded the European threshold on NO2 in 2016, 65 of those cities developed countermeasures and strategies that were published in Green City Plans (GCP). In the scope of this study, 55 publicly available GCPs were evaluated in order to assess their potential for traffic turnaround at a municipal level. All GCPs were analyzed to determine in which of the mentioned five to seven fields of action the respective city had planned measures and which fields of action were prioritized. A more in-depth qualitative analysis of the main topics: Electric mobility, public transport, and mobility concepts was carried out. To get a better understanding of the potential impact of the measures elaborated in the GCPs, complementary information on municipal fleet vehicle stocks, requirements of charging infrastructure for public buses and results of the European roadmap on mobility concepts are given. The evaluation of the GCPs showed that to this day, city administrations mainly optimize the current system by measures of electrification and digitization. Electrification of municipal fleets, car-sharing fleets, and public transport buses is in the focus of the strategies. Instruments to increase non-motorised transport, sustainable commercial transport, and/or mobility concepts are mentioned, but play a minor role. However, there still has been no system change in Germany. T</w:t>
      </w:r>
    </w:p>
    <w:p>
      <w:pPr/>
      <w:r>
        <w:rPr>
          <w:b/>
        </w:rPr>
        <w:t>POSSIBLE 2018:</w:t>
      </w:r>
      <w:r>
        <w:t xml:space="preserve"> Unlocking Land Markets and Infrastructure Provision — https://doi.org/10.1057/978-1-137-59792-2_4</w:t>
      </w:r>
    </w:p>
    <w:p>
      <w:pPr/>
      <w:r>
        <w:rPr>
          <w:b/>
        </w:rPr>
        <w:t>Shared claim-specific concepts:</w:t>
      </w:r>
      <w:r>
        <w:t xml:space="preserve"> infrastructure, provision, important, but; EU scope not established. This is a provisional connection, not an outcome finding.</w:t>
      </w:r>
    </w:p>
    <w:p>
      <w:pPr>
        <w:pStyle w:val="SourceNote"/>
      </w:pPr>
      <w:r>
        <w:rPr>
          <w:b/>
        </w:rPr>
        <w:t>Available abstract (not full text):</w:t>
      </w:r>
      <w:r>
        <w:t xml:space="preserve"> Abstract This chapter focuses on the challenges and opportunities related to the provision of land and infrastructure for affordable housing. It drills down on three key challenges impeding the supply of affordable housing in Africa: poor land governance and weak management systems; the multiplicity of conflicting land tenure regimes; and the rapid growth of low-density, informal residential developments, leading to urban sprawl in peri-urban areas. The chapter also argues that the provision of basic infrastructure, especially transport infrastructure, not only shapes cities, but is also an important determinant of housing affordability, particularly for low-income families.</w:t>
      </w:r>
    </w:p>
    <w:p>
      <w:pPr>
        <w:pStyle w:val="Heading2"/>
      </w:pPr>
      <w:r>
        <w:t>811.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2022:</w:t>
      </w:r>
      <w:r>
        <w:t xml:space="preserve"> ‘Reflexology: Exploring the mechanism of action’ — https://doi.org/10.1016/j.ctcp.2022.101606</w:t>
      </w:r>
    </w:p>
    <w:p>
      <w:pPr/>
      <w:r>
        <w:rPr>
          <w:b/>
        </w:rPr>
        <w:t>Shared claim-specific concepts:</w:t>
      </w:r>
      <w:r>
        <w:t xml:space="preserve"> therefore, important, individual; EU scope not established. This is a provisional connection, not an outcome finding.</w:t>
      </w:r>
    </w:p>
    <w:p>
      <w:pPr>
        <w:pStyle w:val="SourceNote"/>
      </w:pPr>
      <w:r>
        <w:rPr>
          <w:b/>
        </w:rPr>
        <w:t>Available abstract (not full text):</w:t>
      </w:r>
      <w:r>
        <w:t xml:space="preserve"> Reflexology is a complementary therapy focusing mainly on the application of pressure on the feet, hands and ears. A small but growing evidence base suggests that positive outcomes can be gained in the management and improvement of symptoms across a range of conditions. Biological plausibility is a key concept in the determination of the usefulness of therapies. Research which tests for safety and efficacy alongside the underpinning mechanism of action are therefore important. This paper explores the potential mechanism of action for the outcomes associated with reflexology treatment as reflected in the current evidence. The influences of therapeutic touch, relaxation, placebo effects and the similarities with other therapeutic methods of structural manipulation are considered. The lack of clarity around the precise definition of reflexology and the challenges of researching the therapy as a treatment tailored to individual need are discussed. A deeper understanding of the mechanism of action for reflexology may help to further develop research into safety and efficacy. Such an understanding may lead to the integration of knowledge which may provide both symptomatic support and longer term preventative health benefits.</w:t>
      </w:r>
    </w:p>
    <w:p>
      <w:pPr/>
      <w:r>
        <w:rPr>
          <w:b/>
        </w:rPr>
        <w:t>POSSIBLE 2022:</w:t>
      </w:r>
      <w:r>
        <w:t xml:space="preserve"> Does Value Lead to Loyalty? Exploring the Important Role of the Tourist–Destination Relationship — https://doi.org/10.3390/bs12050136</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The perceived value of a tourist's trip, representing a trade-off between costs and benefits of travelling to a destination, can exert a significant influence on tourists' loyalty, which is a main concern for managers of tourist destinations. However, the mechanism between the destination value and tourist loyalty remains unexplored, especially in the new context of relationship marketing. To advance the understanding of the mechanism, we introduced 3 variables of "tourist-destination relationship", namely place attachment (PA), destination trust (DT) and tourist satisfaction (TS), combined with perceived value (PV) and tourist loyalty (TL), and therefore constructed the conceptual model. Taking the Hangzhou City of China as an example, the conceptual model was fitted and tested using the structural equation model (SEM). The results show that: (1) PV can directly and positively affect TS and DT respectively, while there was no significant effect of PV on PA; (2) TS and DT can directly and positively influence TL, but the effect of PA on TL has not been supported empirically; (3) PV has a significant positive effect on TL; and (4) there are internal relationship among the 3 variables measuring the tourist-destination relationship, in other words, TS can significantly affects PA, DT respectively, and DT has a significant positive effect on PA. The findings of this study provide e</w:t>
      </w:r>
    </w:p>
    <w:p>
      <w:pPr/>
      <w:r>
        <w:rPr>
          <w:b/>
        </w:rPr>
        <w:t>POSSIBLE 2021:</w:t>
      </w:r>
      <w:r>
        <w:t xml:space="preserve"> Exploring Sparsity in Image Super-Resolution for Efficient Inference — https://doi.org/10.1109/cvpr46437.2021.00488</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Current CNN-based super-resolution (SR) methods process all locations equally with computational resources being uniformly assigned in space. However, since missing details in low-resolution (LR) images mainly exist in regions of edges and textures, less computational resources are required for those flat regions. Therefore, existing CNN-based methods involve redundant computation in flat regions, which increases their computational cost and limits their applications on mobile devices. In this paper, we explore the sparsity in image SR to improve inference efficiency of SR networks. Specifically, we develop a Sparse Mask SR (SMSR) network to learn sparse masks to prune redundant computation. Within our SMSR, spatial masks learn to identify "important" regions while channel masks learn to mark redundant channels in those "unimportant" regions. Consequently, redundant computation can be accurately localized and skipped while maintaining comparable performance. It is demonstrated that our SMSR achieves state-of-the-art performance with 41%/33%/27% FLOPs being reduced for ×2/3/4 SR. Code is available at: https://github.com/LongguangWang/SMSR.</w:t>
      </w:r>
    </w:p>
    <w:p>
      <w:pPr/>
      <w:r>
        <w:rPr>
          <w:b/>
        </w:rPr>
        <w:t>POSSIBLE 2021:</w:t>
      </w:r>
      <w:r>
        <w:t xml:space="preserve"> Exploring Maieutic Instruction — https://doi.org/10.4018/978-1-7998-7172-9.ch006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General views of the Socratic Method consist of it being a dialectical exchange based on probing questions concerning a topic. While this definition may prove practical, it may not do justice to the broad nature and practice of the instructional strategy. It is, therefore, equally important to explore how maieutic questioning grounds the Socratic Method as a viable instructional strategy. By realizing the maieutic process as giving birth to discoveries, educationists and students are given a clearer framework in implementing the Socratic Method in educational experiences. In further elucidating this claim, this chapter first draws from the maieutic practice found in Plato's dialogues. Second, the chapter explores research on maieutic questioning in teaching and learning experiences. Lastly, a recognition of both Socrates' original maieutic practice and the modern conception of it are advanced as strategies educationists can implement in their courses.</w:t>
      </w:r>
    </w:p>
    <w:p>
      <w:pPr/>
      <w:r>
        <w:rPr>
          <w:b/>
        </w:rPr>
        <w:t>POSSIBLE 2021:</w:t>
      </w:r>
      <w:r>
        <w:t xml:space="preserve"> Role of Biofuels in Energy Transition, Green Economy and Carbon Neutrality — https://doi.org/10.3390/su132212374</w:t>
      </w:r>
    </w:p>
    <w:p>
      <w:pPr/>
      <w:r>
        <w:rPr>
          <w:b/>
        </w:rPr>
        <w:t>Shared claim-specific concepts:</w:t>
      </w:r>
      <w:r>
        <w:t xml:space="preserve"> different, energy; EU scope not established. This is a provisional connection, not an outcome finding.</w:t>
      </w:r>
    </w:p>
    <w:p>
      <w:pPr>
        <w:pStyle w:val="SourceNote"/>
      </w:pPr>
      <w:r>
        <w:rPr>
          <w:b/>
        </w:rPr>
        <w:t>Available abstract (not full text):</w:t>
      </w:r>
      <w:r>
        <w:t xml:space="preserve"> Modern civilization is heavily reliant on petroleum-based fuels to meet the energy demand of the transportation sector. However, burning fossil fuels in engines emits greenhouse gas emissions that harm the environment. Biofuels are commonly regarded as an alternative for sustainable transportation and economic development. Algal-based fuels, solar fuels, e-fuels, and CO2-to-fuels are marketed as next-generation sources that address the shortcomings of first-generation and second-generation biofuels. This article investigates the benefits, limitations, and trends in different generations of biofuels through a review of the literature. The study also addresses the newer generation of biofuels highlighting the social, economic, and environmental aspects, providing the reader with information on long-term sustainability. The use of nanoparticles in the commercialization of biofuel is also highlighted. Finally, the paper discusses the recent advancements that potentially enable a sustainable energy transition, green economy, and carbon neutrality in the biofuel sector.</w:t>
      </w:r>
    </w:p>
    <w:p>
      <w:pPr/>
      <w:r>
        <w:rPr>
          <w:b/>
        </w:rPr>
        <w:t>POSSIBLE 2021:</w:t>
      </w:r>
      <w:r>
        <w:t xml:space="preserve"> Low-carbon energy democracy in the Global South? — https://doi.org/10.4324/9780429402302-41</w:t>
      </w:r>
    </w:p>
    <w:p>
      <w:pPr/>
      <w:r>
        <w:rPr>
          <w:b/>
        </w:rPr>
        <w:t>Shared claim-specific concepts:</w:t>
      </w:r>
      <w:r>
        <w:t xml:space="preserve"> energy, businesses; EU scope not established. This is a provisional connection, not an outcome finding.</w:t>
      </w:r>
    </w:p>
    <w:p>
      <w:pPr>
        <w:pStyle w:val="SourceNote"/>
      </w:pPr>
      <w:r>
        <w:rPr>
          <w:b/>
        </w:rPr>
        <w:t>Available abstract (not full text):</w:t>
      </w:r>
      <w:r>
        <w:t xml:space="preserve"> Social science tools and practitioner experiences help to understand relations of democratic processes to low-carbon energy transitions in the Global South. This requires interrogating Euro-centric assumptions about participation, national development, and infrastructure models in conditions of inequality and state capture. Issues of historical extractive energy injustice and the asymmetries of Southern climate vulnerability, as compared to Northern GHG emission sources, drag this topic into political focus for questioning the models of mass consumption that have driven economic development for over two centuries. Can democracy be reinvented with renewables? The UK Low Carbon Energy for Development Network (LCEDN) has since 2012 pooled expertise across disciplines involved in energy research in the developing world in order to enhance the ability of renewable energy systems to address poverty and gender inequality issues off-grid. The LCEDN has come to constitute an overarching community of practice linked to other communities of practice formed by the NGOs, businesses, and policy community committed to low-carbon transitions and centered on energy development justice. The LCEDN and associate communities have determined to widen an agenda of acquiring evidence from case studies, critical participatory approaches, and research into grassroots and municipal initiatives, thereby i</w:t>
      </w:r>
    </w:p>
    <w:p>
      <w:pPr/>
      <w:r>
        <w:rPr>
          <w:b/>
        </w:rPr>
        <w:t>POSSIBLE 2020:</w:t>
      </w:r>
      <w:r>
        <w:t xml:space="preserve"> Exploring the value of augmented reality for tourism — https://doi.org/10.1016/j.tmp.2020.100672</w:t>
      </w:r>
    </w:p>
    <w:p>
      <w:pPr/>
      <w:r>
        <w:rPr>
          <w:b/>
        </w:rPr>
        <w:t>Shared claim-specific concepts:</w:t>
      </w:r>
      <w:r>
        <w:t xml:space="preserve"> therefore, important, explore, different; EU scope not established. This is a provisional connection, not an outcome finding.</w:t>
      </w:r>
    </w:p>
    <w:p>
      <w:pPr>
        <w:pStyle w:val="SourceNote"/>
      </w:pPr>
      <w:r>
        <w:rPr>
          <w:b/>
        </w:rPr>
        <w:t>Available abstract (not full text):</w:t>
      </w:r>
      <w:r>
        <w:t xml:space="preserve"> Augmented reality (AR) is increasingly used as a marketing, information and experience channel within the tourism industry. However, little is known with regards to the actual value of AR for the tourism industry, with most research still in its infancy. Therefore, the aim of this paper is to explore the perceived value of AR for the tourism industry from the perspective of tourism experts. Using a qualitative and exploratory approach, this study conducted fifteen interviews with tourism experts in order to explore tourism specific AR value dimensions. Interviews were analysed using thematic analysis. This study revealed five value dimensions including marketing, economic, tourist, epistemic and organisational. Commonalities and differences between different perspectives are discussed. These findings provide important implications for strategy development, AR implementation, and tourist experience design.</w:t>
      </w:r>
    </w:p>
    <w:p>
      <w:pPr/>
      <w:r>
        <w:rPr>
          <w:b/>
        </w:rPr>
        <w:t>POSSIBLE 2020:</w:t>
      </w:r>
      <w:r>
        <w:t xml:space="preserve"> Exploring Children’s Views on Important Park Features: A Qualitative Study Using Walk-Along Interviews — https://doi.org/10.3390/ijerph17134625</w:t>
      </w:r>
    </w:p>
    <w:p>
      <w:pPr/>
      <w:r>
        <w:rPr>
          <w:b/>
        </w:rPr>
        <w:t>Shared claim-specific concepts:</w:t>
      </w:r>
      <w:r>
        <w:t xml:space="preserve"> therefore, important, lives; EU scope not established. This is a provisional connection, not an outcome finding.</w:t>
      </w:r>
    </w:p>
    <w:p>
      <w:pPr>
        <w:pStyle w:val="SourceNote"/>
      </w:pPr>
      <w:r>
        <w:rPr>
          <w:b/>
        </w:rPr>
        <w:t>Available abstract (not full text):</w:t>
      </w:r>
      <w:r>
        <w:t xml:space="preserve"> Parks are places where children can interact with others and engage in physical activity in a natural setting. Park visits can enhance children’s social, mental, and physical health. It is therefore important to better understand how parks can be designed to ensure optimal use by children. This qualitative study explored children’s perceptions of park features that may influence their park visits, park-based physical activity, and social interaction. Qualitative walk-along interviews were completed with 30 children (mean age 9.7 years (SD 1.3), female n = 16) in nine parks located in varying socioeconomic areas of Melbourne, Australia. As they walked through the park, children shared thoughts regarding characteristics that may influence their visitation, park-based physical activity, and social interactions. Features that would encourage visitation included: challenging and interesting play equipment; a pond and water play area; trees/greenery and shade; and full-sized basketball courts. Features most valued for physical activity included: sports courts, ovals, and equipment; open space; trees to climb; and nature/rocks. Features most valued for social interaction included: a large size; playgrounds; and picnic areas. Children offer unique and important views. Park designers should consider inclusion of these features, when (re)developing parks to support children to lead healt</w:t>
      </w:r>
    </w:p>
    <w:p>
      <w:pPr/>
      <w:r>
        <w:rPr>
          <w:b/>
        </w:rPr>
        <w:t>POSSIBLE 2020:</w:t>
      </w:r>
      <w:r>
        <w:t xml:space="preserve"> Exploring influential factors affecting guest satisfaction — https://doi.org/10.1108/jhtt-07-2018-0054</w:t>
      </w:r>
    </w:p>
    <w:p>
      <w:pPr/>
      <w:r>
        <w:rPr>
          <w:b/>
        </w:rPr>
        <w:t>Shared claim-specific concepts:</w:t>
      </w:r>
      <w:r>
        <w:t xml:space="preserve"> therefore, important, explore, affect; EU scope not established. This is a provisional connection, not an outcome finding.</w:t>
      </w:r>
    </w:p>
    <w:p>
      <w:pPr>
        <w:pStyle w:val="SourceNote"/>
      </w:pPr>
      <w:r>
        <w:rPr>
          <w:b/>
        </w:rPr>
        <w:t>Available abstract (not full text):</w:t>
      </w:r>
      <w:r>
        <w:t xml:space="preserve"> Purpose Electronic word of mouth in the form of user-generated content (UGC) in social media plays an important role in influencing customer decision-making and enhancing service providers’ brand images, sales and service innovations. While few research studies have explored real content generated by hotel guests in social media, business analytics techniques are still not widely seen in the literature and how such techniques can be deployed to benefit hoteliers has not been fully explored. Thus, this study aims to explore the significant factors that affect hotel guest satisfaction via UGC and business analytics and also to showcase the use of business analytics tools for both the hospitality industry and the academic world. Design/methodology/approach This study uses big data and business analytics techniques. Big data and business analytics enable hoteliers to develop effective and efficient strategies improving products and services for guest satisfaction. Therefore, this study analyzes 200,431 hotel reviews on Tripadvisor.com through business analytics to explore and assess the significant factors affecting guest satisfaction. Findings The findings show that service, room and value evaluations are the top-three factors affecting overall guests’ satisfaction. While brand type and negative emotions are negatively associated with guests’ satisfaction, all other factors consid</w:t>
      </w:r>
    </w:p>
    <w:p>
      <w:pPr/>
      <w:r>
        <w:rPr>
          <w:b/>
        </w:rPr>
        <w:t>POSSIBLE 2020:</w:t>
      </w:r>
      <w:r>
        <w:t xml:space="preserve"> Neo-Carbon Food concept: A pilot-scale hybrid biological–inorganic system with direct air capture of carbon dioxide — https://doi.org/10.1016/j.jclepro.2020.123423</w:t>
      </w:r>
    </w:p>
    <w:p>
      <w:pPr/>
      <w:r>
        <w:rPr>
          <w:b/>
        </w:rPr>
        <w:t>Shared claim-specific concepts:</w:t>
      </w:r>
      <w:r>
        <w:t xml:space="preserve"> neo-carbon, energy, system; EU scope not established. This is a provisional connection, not an outcome finding.</w:t>
      </w:r>
    </w:p>
    <w:p>
      <w:pPr>
        <w:pStyle w:val="SourceNote"/>
      </w:pPr>
      <w:r>
        <w:rPr>
          <w:b/>
        </w:rPr>
        <w:t>Available abstract (not full text):</w:t>
      </w:r>
      <w:r>
        <w:t xml:space="preserve"> The pace at which the human population is growing raises serious concerns related to food security while at the same time conventional agriculture-based food production is becoming a major cause of environmental pollution and greenhouse gas emissions. Numerous solutions have been proposed to boost food production among which edible microbial biomass is considered a promising alternative to conventional sources of food and feed with lower environmental footprint. This work introduces the Neo-Carbon Food concept that is a pilot-scale hybrid biological–inorganic process suitable for the production of microbial biomass. The concept includes integrated hydrogen production by water electrolysis, direct air capture (DAC) of carbon dioxide, and its subsequent assimilation by autotrophic hydrogen-oxidizing bacteria (HOB). The hydrogen production with in situ electrolysis achieved specific energy consumption just below 100 kWh/kgH2 while the specific energy consumption of DAC was around 20 kWh/kgCO2.</w:t>
      </w:r>
    </w:p>
    <w:p>
      <w:pPr/>
      <w:r>
        <w:rPr>
          <w:b/>
        </w:rPr>
        <w:t>POSSIBLE 2019:</w:t>
      </w:r>
      <w:r>
        <w:t xml:space="preserve"> Continuous Transformation and Neo-Carbon Energy Scenarios — https://openalex.org/W2946377064</w:t>
      </w:r>
    </w:p>
    <w:p>
      <w:pPr/>
      <w:r>
        <w:rPr>
          <w:b/>
        </w:rPr>
        <w:t>Shared claim-specific concepts:</w:t>
      </w:r>
      <w:r>
        <w:t xml:space="preserve"> explore, neo-carbon, energy, system; EU scope not established. This is a provisional connection, not an outcome finding.</w:t>
      </w:r>
    </w:p>
    <w:p>
      <w:pPr>
        <w:pStyle w:val="SourceNote"/>
      </w:pPr>
      <w:r>
        <w:rPr>
          <w:b/>
        </w:rPr>
        <w:t>Available abstract (not full text):</w:t>
      </w:r>
      <w:r>
        <w:t xml:space="preserve"> This report describes the process and results of Futures Clinique held 22nd May 2015 at Aalto University. At the Futures Clinique − titled Creatively Sustainable Built Environment in Neo-Carbon Energy Worlds − students of Continuous Transformation Course elaborated four tentative scenarios of an on-going Tekes-funded project called Neo-Carbon Energy. The goal of the research project is to explore futures based on renewable energy system. The report begins by describing the method, project, and the theoretical framework. This is followed by the description of the process and results of the Futures Clinique. The nature of change and transformation is also discussed. Working in four groups, the participants focused on a chosen scenario through a multi-staged process. As the report is given to the participants for feedback as well as for further discussion and development, comments on the results are also presented. The conclusive chapter presents observations on transformation and futures learning.</w:t>
      </w:r>
    </w:p>
    <w:p>
      <w:pPr>
        <w:pStyle w:val="Heading2"/>
      </w:pPr>
      <w:r>
        <w:t>812.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stakeholder, efficient;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2020:</w:t>
      </w:r>
      <w:r>
        <w:t xml:space="preserve"> An assessment of attitudes towards plastics and bioplastics in Europe — https://doi.org/10.1016/j.scitotenv.2020.142732</w:t>
      </w:r>
    </w:p>
    <w:p>
      <w:pPr/>
      <w:r>
        <w:rPr>
          <w:b/>
        </w:rPr>
        <w:t>Shared claim-specific concepts:</w:t>
      </w:r>
      <w:r>
        <w:t xml:space="preserve"> assessment, used, therefore, about; EU scope visible. This is a provisional connection, not an outcome finding.</w:t>
      </w:r>
    </w:p>
    <w:p>
      <w:pPr>
        <w:pStyle w:val="SourceNote"/>
      </w:pPr>
      <w:r>
        <w:rPr>
          <w:b/>
        </w:rPr>
        <w:t>Available abstract (not full text):</w:t>
      </w:r>
      <w:r>
        <w:t xml:space="preserve"> Over the last 50 years, conventional fossil-based plastics have become an integral part of our everyday lives. Apart from their low production costs, this is due to a number of their unique properties, including durability, strength, lightness, electrical and thermal insulation, resistance to chemicals and corrosion. The production of plastics has increased from 1.5 million metric tons in 1950 to 359 million metric tons in 2018. Of this total, 61.8 million metric tons were produced in Europe. There are various problems associated with plastic use and disposal that pose a serious threat to both the physical environment and human health. Since public behaviour plays a key role when it comes to the use of plastic, this paper reports on a study that focused on an assessment of attitudes towards plastics and bioplastics in Europe. The results showed that packaging is the most frequent modality of plastic used among participants. In addition, majority of participants are aware that plastic waste can affect environment and human health and therefore segregate and properly dispose plastics. Also, even though most respondents were aware of the environmental problems related to plastic use and showed a positive inclination towards using bioplastic materials, their limited availability and lack of relevant information about bioplastics pose a problem for wider use. Departing from the assu</w:t>
      </w:r>
    </w:p>
    <w:p>
      <w:pPr/>
      <w:r>
        <w:rPr>
          <w:b/>
        </w:rPr>
        <w:t>POSSIBLE 2020:</w:t>
      </w:r>
      <w:r>
        <w:t xml:space="preserve"> Integrated assessment projections for the impact of innovation on CCS deployment in Europe — https://doi.org/10.1016/j.ijggc.2020.103133</w:t>
      </w:r>
    </w:p>
    <w:p>
      <w:pPr/>
      <w:r>
        <w:rPr>
          <w:b/>
        </w:rPr>
        <w:t>Shared claim-specific concepts:</w:t>
      </w:r>
      <w:r>
        <w:t xml:space="preserve"> assessment, about, achieving, system; EU scope visible. This is a provisional connection, not an outcome finding.</w:t>
      </w:r>
    </w:p>
    <w:p>
      <w:pPr>
        <w:pStyle w:val="SourceNote"/>
      </w:pPr>
      <w:r>
        <w:rPr>
          <w:b/>
        </w:rPr>
        <w:t>Available abstract (not full text):</w:t>
      </w:r>
      <w:r>
        <w:t xml:space="preserve"> CCS is expected to play a sizeable role over the next several decades to drastically abate greenhouse gas emissions in the energy system by 2050. With the integrated assessment model TIAM-ECN we project how large its contribution could be in Europe in the power sector and industry, and analyze how this contribution may be affected by cost decline (driven by technological innovation) and ambitious greenhouse gas emission reduction targets. If Europe stays on track of achieving zero net emissions by mid-century, we find that CO2 capture activities in Europe may grow to a total amount of some 1700 MtCO2/yr in 2050. We project that by 2050 power plants equipped with CCS could contribute by approximately 25 % to total electricity generation, in competition with low-carbon alternatives such as nuclear energy and renewables like solar photovoltaic and wind power. CCS in association with the use of natural gas could account for about 35 % of energy use in industrial applications, while the use of biomass and coal combined with CCS could be employed for the production of hydrogen. We find that stringent climate policy measures constitute a bigger driver of broad CCS diffusion than CCS technology cost reductions. We project that under stringent climate policy targeting zero net emissions by 2050, a 30 % CCS capital cost reduction as a result of technological advancement could proffer Eur</w:t>
      </w:r>
    </w:p>
    <w:p>
      <w:pPr/>
      <w:r>
        <w:rPr>
          <w:b/>
        </w:rPr>
        <w:t>POSSIBLE 2020:</w:t>
      </w:r>
      <w:r>
        <w:t xml:space="preserve"> European biodiversity assessments in livestock science: A review of research characteristics and indicators — https://doi.org/10.1016/j.ecolind.2019.105902</w:t>
      </w:r>
    </w:p>
    <w:p>
      <w:pPr/>
      <w:r>
        <w:rPr>
          <w:b/>
        </w:rPr>
        <w:t>Shared claim-specific concepts:</w:t>
      </w:r>
      <w:r>
        <w:t xml:space="preserve"> used, therefore, about; EU scope visible. This is a provisional connection, not an outcome finding.</w:t>
      </w:r>
    </w:p>
    <w:p>
      <w:pPr>
        <w:pStyle w:val="SourceNote"/>
      </w:pPr>
      <w:r>
        <w:rPr>
          <w:b/>
        </w:rPr>
        <w:t>Available abstract (not full text):</w:t>
      </w:r>
      <w:r>
        <w:t xml:space="preserve"> Developments in agriculture are a main driver for biodiversity loss, in which livestock play a major role through pastures and feed crop cultivation. Addressing biodiversity loss is challenging due to the broad definition of and the multitude of indicators for biodiversity. We reviewed scientific literature assessing effects of livestock on biodiversity in Europe, to provide an overview of general characteristics of these studies and their indicators for biodiversity. The search was performed in SCOPUS and Web of Science and yielded 857 records after deduplication, which was narrowed down to 131 articles that assessed biodiversity impacts of livestock in Europe. Analysis of these articles focused on general characteristics of the research (i.e. context, scale, species, function of livestock, approach), indicators used, and the general conclusion regarding the impact of livestock on biodiversity. The majority of articles studied biodiversity in France, UK, Italy, Germany and Spain; and studied the direct impact of grazing cattle and sheep on biodiversity at field scale. Indirect impacts of livestock on biodiversity through feed production were assessed in few studies. In about one third of the studies, the function of livestock was not related to food production, but to conservation of open landscapes through grazing. We found a large variety of indicators used to assess the imp</w:t>
      </w:r>
    </w:p>
    <w:p>
      <w:pPr/>
      <w:r>
        <w:rPr>
          <w:b/>
        </w:rPr>
        <w:t>POSSIBLE 2019:</w:t>
      </w:r>
      <w:r>
        <w:t xml:space="preserve"> Plantation forests in Europe: challenges and opportunities — https://doi.org/10.36333/fs09</w:t>
      </w:r>
    </w:p>
    <w:p>
      <w:pPr/>
      <w:r>
        <w:rPr>
          <w:b/>
        </w:rPr>
        <w:t>Shared claim-specific concepts:</w:t>
      </w:r>
      <w:r>
        <w:t xml:space="preserve"> stakeholder, therefore, about, options, achieving;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2019:</w:t>
      </w:r>
      <w:r>
        <w:t xml:space="preserve"> A climatological assessment of balancing effects and shortfall risks of photovoltaics and wind energy in Germany and Europe — https://doi.org/10.5194/asr-16-119-2019</w:t>
      </w:r>
    </w:p>
    <w:p>
      <w:pPr/>
      <w:r>
        <w:rPr>
          <w:b/>
        </w:rPr>
        <w:t>Shared claim-specific concepts:</w:t>
      </w:r>
      <w:r>
        <w:t xml:space="preserve"> illustrate, assessment, system; EU scope visible. This is a provisional connection, not an outcome finding.</w:t>
      </w:r>
    </w:p>
    <w:p>
      <w:pPr>
        <w:pStyle w:val="SourceNote"/>
      </w:pPr>
      <w:r>
        <w:rPr>
          <w:b/>
        </w:rPr>
        <w:t>Available abstract (not full text):</w:t>
      </w:r>
      <w:r>
        <w:t xml:space="preserve"> Abstract. With an increased share of solar and wind energy e.g. in the German and European energy systems it is becoming increasingly important to analyze the impact of weather variability on the reliability of the energy production. In this study, we calculate solar PV and wind power capacity factors using two recently developed climatological datasets that provide information with high spatial and temporal details on the continental (European) scale and are of sufficient length for assessments at climatological time scales: Surface radiation derived from meteorological satellites (SARAH-2) and wind speed from a high-resolution regional reanalysis (COSMO-REA6). Balancing effects are analysed: On average, the seasonal cycles of PV and wind power production complement each other in Germany as well as in Europe. The frequency of events with a risk of low electricity generation is analyzed under different assumptions. When using wind energy over German land areas as a reference case, the results illustrate that the number of low production events is reduced when Germany's Exclusive Economic Zone is included into the analysis, or when a combined system of PV and wind energy is considered. A European-wide analysis also leads to a distinct reduction of such events.</w:t>
      </w:r>
    </w:p>
    <w:p>
      <w:pPr/>
      <w:r>
        <w:rPr>
          <w:b/>
        </w:rPr>
        <w:t>POSSIBLE 2019:</w:t>
      </w:r>
      <w:r>
        <w:t xml:space="preserve"> Is the nitrogen footprint fit for purpose? An assessment of models and proposed uses — https://doi.org/10.1016/j.jenvman.2019.03.083</w:t>
      </w:r>
    </w:p>
    <w:p>
      <w:pPr/>
      <w:r>
        <w:rPr>
          <w:b/>
        </w:rPr>
        <w:t>Shared claim-specific concepts:</w:t>
      </w:r>
      <w:r>
        <w:t xml:space="preserve"> purpose, assessment, used, therefore, debate, options; EU scope not established. This is a provisional connection, not an outcome finding.</w:t>
      </w:r>
    </w:p>
    <w:p>
      <w:pPr>
        <w:pStyle w:val="SourceNote"/>
      </w:pPr>
      <w:r>
        <w:rPr>
          <w:b/>
        </w:rPr>
        <w:t>Available abstract (not full text):</w:t>
      </w:r>
      <w:r>
        <w:t xml:space="preserve"> The nitrogen footprint has been proposed as an environmental indicator to quantify and highlight how individuals, organizations, or countries contribute to nitrogen pollution. While some footprint indicators have been successful in raising awareness of environmental pressures among the public and policy-makers, they have also attracted criticism from members of the life cycle assessment (LCA) community who find some footprints confusing and misleading as they measure substance and energy flows without considering their environmental impacts. However, there are also legitimate reasons to defend footprints as a useful class of indicators despite their incompatibility with LCA principles. Here, in light of this previous research and debate, we critically assess models and proposed uses for the nitrogen footprint, and explore options for further development. As the nitrogen footprint merely quantifies gross nitrogen emissions irrespective of time, location, and chemical form, it is a crude proxy of environmental and health impacts compared to other, more sophisticated environmental impact indicators. However, developing the nitrogen footprint toward LCA-compatible impact assessment would imply more uncertainty, more complexity, and more work. Furthermore, we emphasize that impact assessment has an unavoidable subjective dimension that should be recognized in any development toward </w:t>
      </w:r>
    </w:p>
    <w:p>
      <w:pPr/>
      <w:r>
        <w:rPr>
          <w:b/>
        </w:rPr>
        <w:t>POSSIBLE 2018:</w:t>
      </w:r>
      <w:r>
        <w:t xml:space="preserve"> Are advisory services “fit for purpose” to support sustainable soil management? An assessment of advice in Europe — https://doi.org/10.1111/sum.12452</w:t>
      </w:r>
    </w:p>
    <w:p>
      <w:pPr/>
      <w:r>
        <w:rPr>
          <w:b/>
        </w:rPr>
        <w:t>Shared claim-specific concepts:</w:t>
      </w:r>
      <w:r>
        <w:t xml:space="preserve"> purpose, assessment, structured, about, achieving; EU scope visible. This is a provisional connection, not an outcome finding.</w:t>
      </w:r>
    </w:p>
    <w:p>
      <w:pPr>
        <w:pStyle w:val="SourceNote"/>
      </w:pPr>
      <w:r>
        <w:rPr>
          <w:b/>
        </w:rPr>
        <w:t>Available abstract (not full text):</w:t>
      </w:r>
      <w:r>
        <w:t xml:space="preserve"> Abstract This assessment examines the extent to which advisory services are able to address current and emerging knowledge needs of practitioners (primarily farmers) about sustainable soil management ( SSM ) in Europe. The assessment is structured around the following components: the context of advice (policy, market, socio‐economic conditions, privatization of advisory systems); the challenges that SSM presents for advice; the current and emerging practitioner knowledge needs; and the existing structure and function of advisory services for SSM . The analysis reveals fragmented policy and advisory services, paralleled by the multi‐scale character of SSM and a diverse audience for advice. The challenges and opportunities this complex arena presents are analysed, and suggestions made for achieving more effective advisory services for SSM , together with examples of existing approaches.</w:t>
      </w:r>
    </w:p>
    <w:p>
      <w:pPr/>
      <w:r>
        <w:rPr>
          <w:b/>
        </w:rPr>
        <w:t>POSSIBLE 2018:</w:t>
      </w:r>
      <w:r>
        <w:t xml:space="preserve"> Assessment and quantification of marginal lands for biomass production in Europe using soil-quality indicators — https://doi.org/10.5194/soil-4-267-2018</w:t>
      </w:r>
    </w:p>
    <w:p>
      <w:pPr/>
      <w:r>
        <w:rPr>
          <w:b/>
        </w:rPr>
        <w:t>Shared claim-specific concepts:</w:t>
      </w:r>
      <w:r>
        <w:t xml:space="preserve"> assessment, therefore, system; EU scope visible. This is a provisional connection, not an outcome finding.</w:t>
      </w:r>
    </w:p>
    <w:p>
      <w:pPr>
        <w:pStyle w:val="SourceNote"/>
      </w:pPr>
      <w:r>
        <w:rPr>
          <w:b/>
        </w:rPr>
        <w:t>Available abstract (not full text):</w:t>
      </w:r>
      <w:r>
        <w:t xml:space="preserve"> Abstract. The cultivation of bioenergy plants at fertile, arable lands increasingly results in new land use conflicts with food production and cannot be considered as sustainable, therefore. Marginal lands have been frequently considered as potential alternative for producing bioenergy from biomass. However, clear definitions and assessment methods for selecting marginal lands and for calculating potentials are still widely missing. The project "SEEMLA" aims at triggering the exploitation of currently underused marginal lands for biomass production for energy purposes. Study sites have been selected in different European countries: Germany, Greece and Ukraine. The selected sites represent a wide variety of different types of marginal lands. Based on a soil assessment set given by the Muencheberg Soil Quality Rating (SQR) system potentially "marginal" sites have been investigated. The SQR system allows for clearly distinguishing between soils of higher and lower quality. Soils with SQR scores below 40 are regarded as "marginal". They can be classified into different groups with regard to the importance of soil hazard indicators as valuated by the SQR approach. The calculated SQR scores correlate significantly with biomass yields of bioenergy plants. Further, the SQR method was adapted for use in a GIS study on marginal land potentials in Europe. 46 % of the investigated European</w:t>
      </w:r>
    </w:p>
    <w:p>
      <w:pPr>
        <w:pStyle w:val="Heading2"/>
      </w:pPr>
      <w:r>
        <w:t>813.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r>
        <w:rPr>
          <w:b/>
        </w:rPr>
        <w:t>POSSIBLE 2023:</w:t>
      </w:r>
      <w:r>
        <w:t xml:space="preserve"> Exploring pathways to 100% renewable energy in European industry — https://doi.org/10.1016/j.energy.2023.126687</w:t>
      </w:r>
    </w:p>
    <w:p>
      <w:pPr/>
      <w:r>
        <w:rPr>
          <w:b/>
        </w:rPr>
        <w:t>Shared claim-specific concepts:</w:t>
      </w:r>
      <w:r>
        <w:t xml:space="preserve"> however, renewable, available;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2022:</w:t>
      </w:r>
      <w:r>
        <w:t xml:space="preserve"> Assessment of the 2021 summer flood in Central Europe — https://doi.org/10.1186/s12302-022-00685-1</w:t>
      </w:r>
    </w:p>
    <w:p>
      <w:pPr/>
      <w:r>
        <w:rPr>
          <w:b/>
        </w:rPr>
        <w:t>Shared claim-specific concepts:</w:t>
      </w:r>
      <w:r>
        <w:t xml:space="preserve"> however, even, though, become; EU scope visible. This is a provisional connection, not an outcome finding.</w:t>
      </w:r>
    </w:p>
    <w:p>
      <w:pPr>
        <w:pStyle w:val="SourceNote"/>
      </w:pPr>
      <w:r>
        <w:rPr>
          <w:b/>
        </w:rPr>
        <w:t>Available abstract (not full text):</w:t>
      </w:r>
      <w:r>
        <w:t xml:space="preserve"> Abstract The flood event in July 2021 in the uplands of the Eifel-Ardennes mountains in Germany, Belgium and The Netherlands and their foreland was caused by heavy rainfall and resulted in one of the largest flood disasters in Western Europe for decades. Due to climate change, it can be assumed that such events will become more frequent in future. Even though such extreme flood can happen at any time, the consequences and impacts can be significantly reduced by appropriate technical and non-technical measures. However, such measures always require a comprehensive understanding and knowledge of previous events and comparable processes. Therefore, this special issue aims at collecting the scientific evaluation and its implications of the 2021 extreme summer flood. This editorial serves as an introduction for an article collection published in the journal Environmental Sciences Europe, providing an overview of the current state of integrative assessment of the 2021 summer flood in Central Europe.</w:t>
      </w:r>
    </w:p>
    <w:p>
      <w:pPr/>
      <w:r>
        <w:rPr>
          <w:b/>
        </w:rPr>
        <w:t>POSSIBLE 2022:</w:t>
      </w:r>
      <w:r>
        <w:t xml:space="preserve"> A copula-based assessment of renewable energy droughts across Europe — https://doi.org/10.1016/j.renene.2022.10.091</w:t>
      </w:r>
    </w:p>
    <w:p>
      <w:pPr/>
      <w:r>
        <w:rPr>
          <w:b/>
        </w:rPr>
        <w:t>Shared claim-specific concepts:</w:t>
      </w:r>
      <w:r>
        <w:t xml:space="preserve"> renewable; EU scope visible. This is a provisional connection, not an outcome finding.</w:t>
      </w:r>
    </w:p>
    <w:p>
      <w:pPr>
        <w:pStyle w:val="SourceNote"/>
      </w:pPr>
      <w:r>
        <w:rPr>
          <w:b/>
        </w:rPr>
        <w:t>Available abstract (not full text):</w:t>
      </w:r>
      <w:r>
        <w:t xml:space="preserve"> Meeting carbon-reduction targets will require thorough consideration of climate variability and climate change due to the increasing share of climate-sensitive renewable energy sources (RES). One of the main concerns arises from situations of low renewable production and high demand, which can hinder the power system. We analysed energy droughts, defined as periods of low energy production (wind plus solar generation) or high residual load (demand minus production), in terms of two main properties: duration and severity. We estimated the joint return periods associated with energy droughts of residual load and power production. We showed that moderate winter energy droughts of both low renewable production and high residual load occur every half a year, while summer events occur every 3.6 and 2.4 years (on average). As expected, the occurrence of energy droughts tends to decrease with the degree of the severity of the energy drought, and moderate and extreme energy droughts showed longer return periods for most countries. In general, we found a large variability across Europe in summer, with some countries (e.g. Italy) being more sensitive to energy droughts. Our results highlight the relevance of sharing RES during prolonged periods of low production and high demand.</w:t>
      </w:r>
    </w:p>
    <w:p>
      <w:pPr/>
      <w:r>
        <w:rPr>
          <w:b/>
        </w:rPr>
        <w:t>POSSIBLE 2021:</w:t>
      </w:r>
      <w:r>
        <w:t xml:space="preserve"> Malignant mesothelioma and asbestos exposure in Europe: Evidence of spatial clustering — https://doi.org/10.4081/gh.2021.951</w:t>
      </w:r>
    </w:p>
    <w:p>
      <w:pPr/>
      <w:r>
        <w:rPr>
          <w:b/>
        </w:rPr>
        <w:t>Shared claim-specific concepts:</w:t>
      </w:r>
      <w:r>
        <w:t xml:space="preserve"> however, even, though, use; EU scope visible. This is a provisional connection, not an outcome finding.</w:t>
      </w:r>
    </w:p>
    <w:p>
      <w:pPr>
        <w:pStyle w:val="SourceNote"/>
      </w:pPr>
      <w:r>
        <w:rPr>
          <w:b/>
        </w:rPr>
        <w:t>Available abstract (not full text):</w:t>
      </w:r>
      <w:r>
        <w:t xml:space="preserve">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pPr/>
      <w:r>
        <w:rPr>
          <w:b/>
        </w:rPr>
        <w:t>POSSIBLE 2021:</w:t>
      </w:r>
      <w:r>
        <w:t xml:space="preserve"> The Expiry of Humira® Market Exclusivity and the Entry of Adalimumab Biosimilars in Europe: An Overview of Pricing and National Policy Measures — https://doi.org/10.3389/fphar.2020.591134</w:t>
      </w:r>
    </w:p>
    <w:p>
      <w:pPr/>
      <w:r>
        <w:rPr>
          <w:b/>
        </w:rPr>
        <w:t>Shared claim-specific concepts:</w:t>
      </w:r>
      <w:r>
        <w:t xml:space="preserve"> however, even, though, use, available; EU scope visible. This is a provisional connection, not an outcome finding.</w:t>
      </w:r>
    </w:p>
    <w:p>
      <w:pPr>
        <w:pStyle w:val="SourceNote"/>
      </w:pPr>
      <w:r>
        <w:rPr>
          <w:b/>
        </w:rPr>
        <w:t>Available abstract (not full text):</w:t>
      </w:r>
      <w:r>
        <w:t xml:space="preserve"> Background: From October 2018, adalimumab biosimilars could enter the European market. However, in some countries, such as Netherlands, high discounts reported for the originator product may have influenced biosimilar entry. Objectives: The aim of this paper is to provide a European overview of (list) prices of originator adalimumab, before and after loss of exclusivity; to report changes in the reimbursement status of adalimumab products; and discuss relevant policy measures. Methods: Experts in European countries received a survey consisting of three parts: 1) general financing/co-payment of medicines, 2) reimbursement status and prices of originator adalimumab, and availability of biosimilars, and 3) policy measures related to the use of adalimumab. Results: In May 2019, adalimumab biosimilars were available in 24 of the 30 countries surveyed. Following introduction of adalimumab biosimilars, a number of countries have made changes in relation to the reimbursement status of adalimumab products. Originator adalimumab list prices varied between countries by a factor of 2.8 before and 4.1 after loss of exclusivity. Overall, list prices of originator adalimumab decreased after loss of exclusivity, although for 13 countries list prices were unchanged. When reported, discounts/rebates on originator adalimumab after loss of exclusivity ranged from 0% to approximately 26% (Romania),</w:t>
      </w:r>
    </w:p>
    <w:p>
      <w:pPr/>
      <w:r>
        <w:rPr>
          <w:b/>
        </w:rPr>
        <w:t>POSSIBLE 2021:</w:t>
      </w:r>
      <w:r>
        <w:t xml:space="preserve"> Governing the European Intelligence: Multilateral Intelligence Cooperation in the European Union — https://doi.org/10.53451/ijps.900302</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Since intelligence is an essential part of national security, a high volume of cooperation in this area is not expected. An assessment of the literature shows that there are several obstacles to intelligence cooperation. More precisely, states are reluctant to involve in intelligence cooperation because of trust factors and other factors such as bureaucratic culture and resistance, regime type, lack of normative motivation and shared identities. Even if they are compelled to cooperate, they prefer bilateral intelligence cooperation. However, due to the globalization of national security threats in the last two decades, intelligence organizations are currently obliged to cooperate multilaterally even though they do not prefer to do so. Multilateral intelligence cooperation within the European Union is a unique example of relatively successful multilateral intelligence cooperation. On the one hand, official European intelligence agencies INTCEN and Europol provide the legal framework of intelligence cooperation among the Union. On the other hand, informal channels such as the Club of Berne are also proven useful for the EU’s intelligence cooperation. We argue that the relative success of European intelligence cooperation derives from at least three factors. These are institutionalized demand for intelligence governance, the delegated authority of the members of the EU’s (epistemi</w:t>
      </w:r>
    </w:p>
    <w:p>
      <w:pPr>
        <w:pStyle w:val="Heading2"/>
      </w:pPr>
      <w:r>
        <w:t>814.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2024:</w:t>
      </w:r>
      <w:r>
        <w:t xml:space="preserve"> Experience in applying large language models to analyse sociological data obtained as a result of interviews on students’ perception of entrepreneurial activity — https://doi.org/10.26425/2658-347x-2024-7-3-4-14</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Modern society is experiencing a digital transformation of various spheres associated with the development of artificial intelligence and big data. The introduction of large language models (hereinafter referred to as LLM) into scientific research opens new opportunities, but also raises a number of questions, which makes it relevant to study the peculiarities of their application for qualitative data analysis in sociology. The purpose of this article is to explore how LLM can influence the methodology and practice of sociological research, and to identify the advantages and disadvantages of their application. The authors rely on the use of the Calude-3 LLM to qualitatively analyse empirical data from a sociological study of students’ perception of ­entrepreneurship. The possibilities of LLM in the analysis of qualitative data are revealed: analysis of sentiment, construction of logical conclusions, classification, clustering, and formation of typologies. The advantages of using LLM are shown: increased data processing speed, saving time and resources. The application of LLM becomes a tool to optimise the research process in sociology, allowing to deepen the analysis of qualitative data, but it also has a number of limitations: social and political bias, difficulties with hallucinations. It is necessary to increase the transparency of models, improve their interpretability and </w:t>
      </w:r>
    </w:p>
    <w:p>
      <w:pPr/>
      <w:r>
        <w:rPr>
          <w:b/>
        </w:rPr>
        <w:t>POSSIBLE 2024:</w:t>
      </w:r>
      <w:r>
        <w:t xml:space="preserve"> DELAY RED FLAG CONSTRUCTION COMPANY: CONTROL ANALYSIS WITH FOUR LEVER OF CONTROL — https://doi.org/10.37641/riset.v6i2.2118</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Despite extensive research on construction delays, this persistent issue continues to challenge the global construction industry. This case study aims to enhance the theoretical and practical understanding of management control systems (MCS) in construction firms by identifying the primary causes of project delays and examining the MCS components involved. A qualitative case study was conducted at a national private construction company (Jakons) to identify delay factors and propose solutions by linking them to MCS. The study focused on two Jakons projects that experienced delays, with primary data collected through interviews with five key informants directly engaged in MCS for the projects. Analysis of the interviews revealed common delay causes related to the project owner, consultants, labor, and materials. These causes were then connected to MCS practices and assessed using the four Levers of Control (LoC) framework, including Belief, Boundary, Diagnostic, and Interactive control systems. The study identified areas for improvement in MCS related to communication management, coordination, competence, and risk management that impact schedule delays. These findings provide valuable guidance for construction practitioners in planning and managing projects and offer insights to reassess MCS strategies to mitigate delays and achieve timely project completion.</w:t>
      </w:r>
    </w:p>
    <w:p>
      <w:pPr/>
      <w:r>
        <w:rPr>
          <w:b/>
        </w:rPr>
        <w:t>POSSIBLE 2022:</w:t>
      </w:r>
      <w:r>
        <w:t xml:space="preserve"> Analysis of the Drivers of Highway Construction Companies Adopting Smart Construction Technology — https://doi.org/10.3390/su15010703</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In this study, we aimed to identify the influencing factors that drive highway construction companies to adopt smart construction technologies. Using expert interviews and expert scoring, we collected interview data from 25 experts in the field and we proposed the TOSE framework based on the TOE framework, identifying four dimensions and fourteen influencing factors. We analyzed the results using the Fuzzy DEMATEL-ISM method, and we then summarized the findings according to the evaluation criteria to determine the validity of the fourteen hypotheses and the extent to which they drive highway construction companies to adopt smart construction technologies. The findings of this paper are of high value to decision makers and participants in highway construction companies, as well as to other companies in the construction industry, in their decision to adopt smart construction technologies.</w:t>
      </w:r>
    </w:p>
    <w:p>
      <w:pPr/>
      <w:r>
        <w:rPr>
          <w:b/>
        </w:rPr>
        <w:t>POSSIBLE 2022:</w:t>
      </w:r>
      <w:r>
        <w:t xml:space="preserve"> Construction Path of Smart City Under Mobile Big Data — https://doi.org/10.1109/icerect56837.2022.10060717</w:t>
      </w:r>
    </w:p>
    <w:p>
      <w:pPr/>
      <w:r>
        <w:rPr>
          <w:b/>
        </w:rPr>
        <w:t>Shared claim-specific concepts:</w:t>
      </w:r>
      <w:r>
        <w:t xml:space="preserve"> data, construction, four; EU scope not established. This is a provisional connection, not an outcome finding.</w:t>
      </w:r>
    </w:p>
    <w:p>
      <w:pPr>
        <w:pStyle w:val="SourceNote"/>
      </w:pPr>
      <w:r>
        <w:rPr>
          <w:b/>
        </w:rPr>
        <w:t>Available abstract (not full text):</w:t>
      </w:r>
      <w:r>
        <w:t xml:space="preserve"> Establishing a new model of smart city is one of the significant work of urban development and construction, and the built of the smart city is inseparable with the support of big data technology. Through literature reading and interview method, this paper studies the smart city construction in Wuhan with the support of mobile big data technology, analyzes some current situation of Wuhan smart city construction, discusses the experience and shortcomings of smart construction under mobile big data, and analyzes four aspects about system, technology, management and personnel, then innovative construction methods are proposed. In the conclusion, firstly strengthen the overall integration of smart city construction, secondly broaden the channels and ways for citizens to participate, thirdly strengthen the construction of information security, lastly strengthen the construction of relevant systems. This paper suggests jointly promoting the development the new smart city of new technologies under the mobile big data, further promoting the realization of the harmonious society.</w:t>
      </w:r>
    </w:p>
    <w:p>
      <w:pPr/>
      <w:r>
        <w:rPr>
          <w:b/>
        </w:rPr>
        <w:t>POSSIBLE 2022:</w:t>
      </w:r>
      <w:r>
        <w:t xml:space="preserve"> Factoring construction and demolition waste in the Zambian construction industry — https://doi.org/10.30574/gjeta.2022.11.2.0089</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The Zambian Construction Industry (ZCI) is one of the fastest growing sectors in Zambia arising from increased infrastructure development. The ZCI, like elsewhere, is composed of many players including designers, contractors, regulators, manufacturers and suppliers of construction materials. The country has seen an upsurge in Construction and Demolition Waste (CDW) generation due to increased construction activities. However, opportunities for utilizing CDW for sustainable construction and management have been minimal. Most research in developing countries has focused on Municipal Waste Management (MWM) rather CDW. In Zambia, CDW is a challenge in the absence of legislation, guidelines and regulation. In the developed countries, guidelines, legislation and regulation, exist. Sustainable utilization of CDW in Zambia is limited due to inadequate policy guidelines and legislation. The research aimed at estimating the levels of CDW waste generation and utilization, and proposing a framework for sustainable utilization and management of CDW. The research required both qualitative and quantitative data. Primary data was collected through questionnaires, interviews and site visits whilst secondary data was obtained through literature review. The research, conducted in four provinces of Zambia, established that CDW generation rates were mainly in the 1-10% levels and utilization was lo</w:t>
      </w:r>
    </w:p>
    <w:p>
      <w:pPr/>
      <w:r>
        <w:rPr>
          <w:b/>
        </w:rPr>
        <w:t>POSSIBLE 2022:</w:t>
      </w:r>
      <w:r>
        <w:t xml:space="preserve"> Four Themes About Construction of Histograms — https://doi.org/10.52041/iase.icots11.t14i3</w:t>
      </w:r>
    </w:p>
    <w:p>
      <w:pPr/>
      <w:r>
        <w:rPr>
          <w:b/>
        </w:rPr>
        <w:t>Shared claim-specific concepts:</w:t>
      </w:r>
      <w:r>
        <w:t xml:space="preserve"> data, construction, four; EU scope not established. This is a provisional connection, not an outcome finding.</w:t>
      </w:r>
    </w:p>
    <w:p>
      <w:pPr>
        <w:pStyle w:val="SourceNote"/>
      </w:pPr>
      <w:r>
        <w:rPr>
          <w:b/>
        </w:rPr>
        <w:t>Available abstract (not full text):</w:t>
      </w:r>
      <w:r>
        <w:t xml:space="preserve"> This article reports findings from a multi-year mixed-method study that explored the challenges students encountered while answering fundamental histogram questions. In the first stage in 2017, an exploratory study was conducted using think-aloud protocols. In the second stage in 2019, an online survey was developed to confirm the preliminary themes. Four themes were identified. The themes are as follows: (a) identify the correct type of graph to explore the center and variability of one quantitative variable; (b) realize data has its own expressed shape; (c) lose concrete identifiers; and (d) create bins and count individual values. These themes will add to the current knowledge of students' difficulty with interpreting and describing histograms. This knowledge can help teachers prepare activities to promote understanding of histograms.</w:t>
      </w:r>
    </w:p>
    <w:p>
      <w:pPr>
        <w:pStyle w:val="Heading2"/>
      </w:pPr>
      <w:r>
        <w:t>815.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thus, approach, framework, assessment, general;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Forest-based climate change mitigation and adaptation in Europe — https://doi.org/10.36333/fs14</w:t>
      </w:r>
    </w:p>
    <w:p>
      <w:pPr/>
      <w:r>
        <w:rPr>
          <w:b/>
        </w:rPr>
        <w:t>Shared claim-specific concepts:</w:t>
      </w:r>
      <w:r>
        <w:t xml:space="preserve"> climate, sector;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Central European forest–steppe: An ecosystem shaped by climate, topography and disturbances — https://doi.org/10.1111/jbi.14364</w:t>
      </w:r>
    </w:p>
    <w:p>
      <w:pPr/>
      <w:r>
        <w:rPr>
          <w:b/>
        </w:rPr>
        <w:t>Shared claim-specific concepts:</w:t>
      </w:r>
      <w:r>
        <w:t xml:space="preserve"> develop, here, climate, framework, general; EU scope visible. This is a provisional connection, not an outcome finding.</w:t>
      </w:r>
    </w:p>
    <w:p>
      <w:pPr>
        <w:pStyle w:val="SourceNote"/>
      </w:pPr>
      <w:r>
        <w:rPr>
          <w:b/>
        </w:rPr>
        <w:t>Available abstract (not full text):</w:t>
      </w:r>
      <w:r>
        <w:t xml:space="preserve"> Abstract The occurrence and origin of dry grasslands and their rich biota in the moderately humid Central‐European climate have fascinated scientists for over a century. Modern palaeoecological and phylogeographical data support earlier hypotheses that these grasslands are late Pleistocene relicts and can therefore be considered part of the Eurasian forest–steppe biome. However, it is still unclear which factors fostered the maintenance of steppe patches in Central Europe throughout the Holocene. Here, we provide an overview of the main hypotheses, which stress, respectively, the effects of climate, edaphic conditions and disturbances. We then develop a general conceptual framework on how these three factors interact to form forest–steppe mosaics. We thereby emphasize the role of topography as a crucial control on forest–steppe patterns at the landscape scale. Topography is related to several mechanistic drivers that influence vegetation processes, such as near‐surface microclimate and soil formation. Consequently, topographic variation allows both forest and steppe patches to occur beyond their macroclimatic niche, favouring the development of forest–steppe mosaics. To illustrate our framework, we demonstrate the interactive effect of macroclimate and topography on the occurrence of steppe patches at 108 selected Central European forest–steppe sites. Although we developed our </w:t>
      </w:r>
    </w:p>
    <w:p>
      <w:pPr/>
      <w:r>
        <w:rPr>
          <w:b/>
        </w:rPr>
        <w:t>POSSIBLE 2021:</w:t>
      </w:r>
      <w:r>
        <w:t xml:space="preserve"> Gastrointestinal cancers in China, the USA, and Europe — https://doi.org/10.1093/gastro/goab010</w:t>
      </w:r>
    </w:p>
    <w:p>
      <w:pPr/>
      <w:r>
        <w:rPr>
          <w:b/>
        </w:rPr>
        <w:t>Shared claim-specific concepts:</w:t>
      </w:r>
      <w:r>
        <w:t xml:space="preserve"> thus, here; EU scope visible. This is a provisional connection, not an outcome finding.</w:t>
      </w:r>
    </w:p>
    <w:p>
      <w:pPr>
        <w:pStyle w:val="SourceNote"/>
      </w:pPr>
      <w:r>
        <w:rPr>
          <w:b/>
        </w:rPr>
        <w:t>Available abstract (not full text):</w:t>
      </w:r>
      <w:r>
        <w:t xml:space="preserve"> Gastrointestinal (GI) cancers, including colorectal cancer, gastric cancer, and esophageal cancer, are a major medical and economic burden worldwide and have the largest number of new cancer cases and cancer deaths each year. Esophageal and gastric cancers are most common in developing countries, while colorectal cancer forms the major GI malignancy in Western countries. However, a great shift in the predominant GI-cancer type is happening in countries under economically transitioning and, at the same time, esophageal and gastric cancers are reigniting in Western countries due to the higher exposure to certain risk factors. The development of all GI cancers is highly associated with lifestyle habits and all can be detected by identified precancerous diseases. Thus, they are all suitable for cancer screening. Here, we review the epidemiological status of GI cancers in China, the USA, and Europe; the major risk factors and their distribution in these regions; and the current screening strategies.</w:t>
      </w:r>
    </w:p>
    <w:p>
      <w:pPr/>
      <w:r>
        <w:rPr>
          <w:b/>
        </w:rPr>
        <w:t>POSSIBLE 2021:</w:t>
      </w:r>
      <w:r>
        <w:t xml:space="preserve"> Current and projected regional economic impacts of heatwaves in Europe — https://doi.org/10.1038/s41467-021-26050-z</w:t>
      </w:r>
    </w:p>
    <w:p>
      <w:pPr/>
      <w:r>
        <w:rPr>
          <w:b/>
        </w:rPr>
        <w:t>Shared claim-specific concepts:</w:t>
      </w:r>
      <w:r>
        <w:t xml:space="preserve"> thus, here;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climate, assessment;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2020:</w:t>
      </w:r>
      <w:r>
        <w:t xml:space="preserve"> Emergence and spread of a SARS-CoV-2 variant through Europe in the summer of 2020 — https://doi.org/10.1101/2020.10.25.20219063</w:t>
      </w:r>
    </w:p>
    <w:p>
      <w:pPr/>
      <w:r>
        <w:rPr>
          <w:b/>
        </w:rPr>
        <w:t>Shared claim-specific concepts:</w:t>
      </w:r>
      <w:r>
        <w:t xml:space="preserve"> thus, develop, here; EU scope visible. This is a provisional connection, not an outcome finding.</w:t>
      </w:r>
    </w:p>
    <w:p>
      <w:pPr>
        <w:pStyle w:val="SourceNote"/>
      </w:pPr>
      <w:r>
        <w:rPr>
          <w:b/>
        </w:rPr>
        <w:t>Available abstract (not full text):</w:t>
      </w:r>
      <w:r>
        <w:t xml:space="preserve">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pPr>
        <w:pStyle w:val="Heading2"/>
      </w:pPr>
      <w:r>
        <w:t>816.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2023:</w:t>
      </w:r>
      <w:r>
        <w:t xml:space="preserve"> Unveiling the Carbon Footprint of Europe and Central Asia: Insights into the Impact of Key Factors on CO2 Emissions — https://doi.org/10.5281/zenodo.7669782</w:t>
      </w:r>
    </w:p>
    <w:p>
      <w:pPr/>
      <w:r>
        <w:rPr>
          <w:b/>
        </w:rPr>
        <w:t>Shared claim-specific concepts:</w:t>
      </w:r>
      <w:r>
        <w:t xml:space="preserve"> key, negative, emissions, carbon; EU scope visible. This is a provisional connection, not an outcome finding.</w:t>
      </w:r>
    </w:p>
    <w:p>
      <w:pPr>
        <w:pStyle w:val="SourceNote"/>
      </w:pPr>
      <w:r>
        <w:rPr>
          <w:b/>
        </w:rPr>
        <w:t>Available abstract (not full text):</w:t>
      </w:r>
      <w:r>
        <w:t xml:space="preserve"> This study delves into the intricate relationship between carbon dioxide (CO2) emissions and crucial variables in Europe and Central Asia from 1990-2021. By examining the impact of renewable energy, industry value added, foreign direct investment (FDI), gross domestic product (GDP) per capita, and population density on CO2 emissions using the autoregressive distributed lag (ARDL) method, the study uncovers intriguing findings. The study reveals a significant negative correlation between linear per capita income and CO2 emissions in both the short and long run. Moreover, it confirms the inverted N-shaped environmental Kuznets curve (EKC) relationship between the variables. The study further highlights the unfavorable impact of renewable energy and industry value added on CO2 emissions, pointing to the fact that their growth increases CO2 emissions. On the other hand, population density is found to be a vital factor in reducing CO2 emissions. FDI is identified to have a negative and insignificant impact on CO2 emissions, suggesting that it may not be an effective tool for reducing carbon emissions in the region. The insights from this study have significant implications for policymakers in the region to design and implement effective strategies to reduce CO2 emissions.</w:t>
      </w:r>
    </w:p>
    <w:p>
      <w:pPr/>
      <w:r>
        <w:rPr>
          <w:b/>
        </w:rPr>
        <w:t>POSSIBLE 2022:</w:t>
      </w:r>
      <w:r>
        <w:t xml:space="preserve"> Key factors for successful uptake of biosimilars: Europe and the US — https://doi.org/10.5639/gabij.2022.1103.018</w:t>
      </w:r>
    </w:p>
    <w:p>
      <w:pPr/>
      <w:r>
        <w:rPr>
          <w:b/>
        </w:rPr>
        <w:t>Shared claim-specific concepts:</w:t>
      </w:r>
      <w:r>
        <w:t xml:space="preserve"> key, via, also; EU scope visible. This is a provisional connection, not an outcome finding.</w:t>
      </w:r>
    </w:p>
    <w:p>
      <w:pPr>
        <w:pStyle w:val="SourceNote"/>
      </w:pPr>
      <w:r>
        <w:rPr>
          <w:b/>
        </w:rPr>
        <w:t>Available abstract (not full text):</w:t>
      </w:r>
      <w:r>
        <w:t xml:space="preserve"> Introduction: Biosimilars were first introduced in Europe in 2006 and then in the US in 2015. An online webinar on the successful uptake in Europe and the US was held to discuss measures taken for improving biosimilar uptake, and trends in uptake. Methods: The webinar was held by the Alliance for Safe Biologic Medicines (ASBM) in collaboration with Generics and Biosimilars Initiative (GaBI) on 29 June 2022. It consisted of a number of expert speaker presentations followed by a Q&amp;A with the panel and the audience also had the opportunity to ask questions online throughout the webinar. Results: Presentations discussed key elements contributing to the wide uptake of biosimilars in Europe and the US and physicians’ trust in prescribing and switching of biosimilars. Further details of the presentations were discussed during the Q&amp;A and clarifications made via the concurrent online Q&amp;A. Conclusion: The webinar enabled in-depth discussion of the current status of biosimilar adoption in Europe and the US. It was highlighted that, although the US adopted biosimilars at a later date, their uptake is starting to rival that of Europe. Aspects of forced switching policies in Canada and Australia were also discussed.</w:t>
      </w:r>
    </w:p>
    <w:p>
      <w:pPr/>
      <w:r>
        <w:rPr>
          <w:b/>
        </w:rPr>
        <w:t>POSSIBLE 2022:</w:t>
      </w:r>
      <w:r>
        <w:t xml:space="preserve"> Environmental sustainability of negative emissions technologies: A review — https://doi.org/10.1016/j.spc.2022.06.028</w:t>
      </w:r>
    </w:p>
    <w:p>
      <w:pPr/>
      <w:r>
        <w:rPr>
          <w:b/>
        </w:rPr>
        <w:t>Shared claim-specific concepts:</w:t>
      </w:r>
      <w:r>
        <w:t xml:space="preserve"> negative, emissions, use, biomass, carbon, capture; EU scope not established. This is a provisional connection, not an outcome finding.</w:t>
      </w:r>
    </w:p>
    <w:p>
      <w:pPr>
        <w:pStyle w:val="SourceNote"/>
      </w:pPr>
      <w:r>
        <w:rPr>
          <w:b/>
        </w:rPr>
        <w:t>Available abstract (not full text):</w:t>
      </w:r>
      <w:r>
        <w:t xml:space="preserve"> Negative emissions technologies (NETs) are expected to play a significant role in mitigating climate change. However, there are also concerns that a large scale deployment of NETs may cause various environmental impacts due to the use of land, water and energy resources. A number of studies have assessed the environmental performance of various NETs; however, a comprehensive review comparing a range of different NETs is not available in the literature. To address this research gap, this paper compares life cycle assessment (LCA) studies of the following options for which the data were available in the literature: bioenergy with carbon capture and storage (BECCS), biochar incorporation into soil, afforestation and reforestation, soil carbon sequestration, building with biomass, direct air carbon capture and storage (DACCS), enhanced weathering and mineral carbonation. It is evident from this review that these technologies can have net negative life cycle GHG emissions, ranging from −603 kg CO 2 eq./t CO 2 removed for building with biomass to −1173 kg CO 2 eq./t CO 2 removed for biochar incorporation into soil. However, the estimates of GHG removal potentials vary widely among the studies for each technology as well as among the NETs owing to technological differences, methodological choices and differing assumptions. For example, the net global warming potential (GWP) of biochar</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Carbon capture and biomass in industry: A techno-economic analysis and comparison of negative emission options — https://doi.org/10.1016/j.rser.2021.111028</w:t>
      </w:r>
    </w:p>
    <w:p>
      <w:pPr/>
      <w:r>
        <w:rPr>
          <w:b/>
        </w:rPr>
        <w:t>Shared claim-specific concepts:</w:t>
      </w:r>
      <w:r>
        <w:t xml:space="preserve"> negative, emissions, sector, use, biomass, carbon; EU scope not established. This is a provisional connection, not an outcome finding.</w:t>
      </w:r>
    </w:p>
    <w:p>
      <w:pPr>
        <w:pStyle w:val="SourceNote"/>
      </w:pPr>
      <w:r>
        <w:rPr>
          <w:b/>
        </w:rPr>
        <w:t>Available abstract (not full text):</w:t>
      </w:r>
      <w:r>
        <w:t xml:space="preserve"> Meeting the Paris Agreement will most likely require the combination of CO2 capture and biomass in the industrial sector, resulting in net negative emissions. CO2 capture within the industry has been extensively investigated. However, biomass options have been poorly explored, with literature alluding to technical and economic barriers. In addition, a lack of consistency among studies makes comparing the performance of CO2 capture and/or biomass use between studies and sectors difficult. These inconsistencies include differences in methodology, system boundaries, level of integration, costs, greenhouse gas intensity of feedstock and energy carriers, and capital cost estimations. Therefore, an integrated evaluation of the techno-economic performance regarding CO2 capture and biomass use was performed for five energy-intensive industrial sub-sectors. Harmonization results indicate that CO2 mitigation potentials vary for each sub-sector, resulting in reductions of 1.4–2.7 t CO2/t steel (77%–149%), 0.7 t CO2/t cement (92%), 0.2 t CO2/t crude oil (68%), 1.9 t CO2/t pulp (1663%–2548%), and 34.9 t CO2/t H2 (313%). Negative emissions can be reached in the steel, paper and H2 sectors. Novel bio-based production routes might enable net negative emissions in the cement and (petro)chemical sectors as well. All the above-mentioned potentials can be reached for 100 €/t CO2 or less. Implement</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emissions, power, sector, transport, sectors, also;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2020:</w:t>
      </w:r>
      <w:r>
        <w:t xml:space="preserve"> Congenital Hypothyroidism: A 2020–2021 Consensus Guidelines Update—An ENDO-European Reference Network Initiative Endorsed by the European Society for Pediatric Endocrinology and the European Society for Endocrinology — https://doi.org/10.1089/thy.2020.0333</w:t>
      </w:r>
    </w:p>
    <w:p>
      <w:pPr/>
      <w:r>
        <w:rPr>
          <w:b/>
        </w:rPr>
        <w:t>Shared claim-specific concepts:</w:t>
      </w:r>
      <w:r>
        <w:t xml:space="preserve"> key, conclusions, also; EU scope visible. This is a provisional connection, not an outcome finding.</w:t>
      </w:r>
    </w:p>
    <w:p>
      <w:pPr>
        <w:pStyle w:val="SourceNote"/>
      </w:pPr>
      <w:r>
        <w:rPr>
          <w:b/>
        </w:rPr>
        <w:t>Available abstract (not full text):</w:t>
      </w:r>
      <w:r>
        <w:t xml:space="preserve"> Background: An ENDO-European Reference Network (ERN) initiative was launched that was endorsed by the European Society for Pediatric Endocrinology and the European Society for Endocrinology with 22 participants from the ENDO-ERN and the two societies. The aim was to update the practice guidelines for the diagnosis and management of congenital hypothyroidism (CH). A systematic literature search was conducted to identify key articles on neonatal screening, diagnosis, and management of primary and central CH. The evidence-based guidelines were graded with the Grading of Recommendations, Assessment, Development and Evaluation system, describing both the strength of recommendations and the quality of evidence. In the absence of sufficient evidence, conclusions were based on expert opinion. Summary: The recommendations include the various neonatal screening approaches for CH as well as the etiology (also genetics), diagnostics, treatment, and prognosis of both primary and central CH. When CH is diagnosed, the expert panel recommends the immediate start of correctly dosed levothyroxine treatment and frequent follow-up including laboratory testing to keep thyroid hormone levels in their target ranges, timely assessment of the need to continue treatment, attention for neurodevelopment and neurosensory functions, and, if necessary, consulting other health professionals, and education of </w:t>
      </w:r>
    </w:p>
    <w:p>
      <w:pPr>
        <w:pStyle w:val="Heading2"/>
      </w:pPr>
      <w:r>
        <w:t>817.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r>
        <w:rPr>
          <w:b/>
        </w:rPr>
        <w:t>POSSIBLE 2024:</w:t>
      </w:r>
      <w:r>
        <w:t xml:space="preserve"> Determinants of Financial Security of European Union Farms—A Factor Analysis Model Approach — https://doi.org/10.3390/agriculture14010119</w:t>
      </w:r>
    </w:p>
    <w:p>
      <w:pPr/>
      <w:r>
        <w:rPr>
          <w:b/>
        </w:rPr>
        <w:t>Shared claim-specific concepts:</w:t>
      </w:r>
      <w:r>
        <w:t xml:space="preserve"> factors, number, between, union; EU scope visible. This is a provisional connection, not an outcome finding.</w:t>
      </w:r>
    </w:p>
    <w:p>
      <w:pPr>
        <w:pStyle w:val="SourceNote"/>
      </w:pPr>
      <w:r>
        <w:rPr>
          <w:b/>
        </w:rPr>
        <w:t>Available abstract (not full text):</w:t>
      </w:r>
      <w:r>
        <w:t xml:space="preserve"> The objective of this study was to assess the level of financial security of farms and identify its determinants based on factor analysis. The data used in this research were obtained from the European FADN (Farm Accountancy Data Network). Factor analysis (FA) was employed to reduce the number of variables that potentially determine the financial security of farms. The results indicate that the surveyed entities maintained financial security between 2014 and 2021. This study suggests that it is necessary to examine these factors separately for farms engaged in crop farming and animal production. The results obtained for all farms were less satisfactory than those that took into account the specifics of agricultural production. This study addresses a gap in the literature by including highly correlated variables in the analysis of the determinants of financial security. Factor analysis is used to reduce the number of variables without losing important information. Firstly, seventeen variables related to the financial security of all farms were assigned to six factors. These were income and self-financing of operations; area and subsidies; long-term investments and financial decisions consequences; economic size, taxes, and non-breeding livestocks; investment activity; and inputs, stock, short-term loans, and labor. Then, the determinants of the financial security of farms were e</w:t>
      </w:r>
    </w:p>
    <w:p>
      <w:pPr/>
      <w:r>
        <w:rPr>
          <w:b/>
        </w:rPr>
        <w:t>POSSIBLE 2022:</w:t>
      </w:r>
      <w:r>
        <w:t xml:space="preserve"> Factors influencing antimicrobial resistance in the European food system and potential leverage points for intervention: A participatory, One Health study — https://doi.org/10.1371/journal.pone.0263914</w:t>
      </w:r>
    </w:p>
    <w:p>
      <w:pPr/>
      <w:r>
        <w:rPr>
          <w:b/>
        </w:rPr>
        <w:t>Shared claim-specific concepts:</w:t>
      </w:r>
      <w:r>
        <w:t xml:space="preserve"> factors, number, between; EU scope visible. This is a provisional connection, not an outcome finding.</w:t>
      </w:r>
    </w:p>
    <w:p>
      <w:pPr>
        <w:pStyle w:val="SourceNote"/>
      </w:pPr>
      <w:r>
        <w:rPr>
          <w:b/>
        </w:rPr>
        <w:t>Available abstract (not full text):</w:t>
      </w:r>
      <w:r>
        <w:t xml:space="preserve"> INTRODUCTION: Antimicrobial resistance (AMR) is a global crisis that evolves from a complex system of factors. Understanding what factors interact is key to finding solutions. Our objective was to identify the factors influencing AMR in the European food system and places to intervene. MATERIALS AND METHODS: We conducted two workshops involving participants with diverse perspectives to identify the factors influencing AMR and leverage points (places) to target interventions. Transcripts were open coded for factors and connections, then transcribed into Vensim 8.0.4 to develop a causal loop diagram (CLD) and compute the number of feedback loops. Thematic analysis followed to describe AMR dynamics in Europe's food system and places for intervention. The CLD and themes were confirmed via participant feedback. RESULTS: Seventeen participants representing human, animal and agricultural sectors identified 91 CLD factors and 331 connections. Seven themes (e.g., social and economic conditions) describing AMR dynamics in Europe's food system, five 'overarching factors' that impact the entire CLD system (e.g., leadership) and fourteen places for intervention (e.g., consumer demand) emerged from workshop discussions. Most leverage points fell on highly networked feedback loops suggesting that intervening at these places may create unpredictable consequences. CONCLUSIONS: Our study produce</w:t>
      </w:r>
    </w:p>
    <w:p>
      <w:pPr/>
      <w:r>
        <w:rPr>
          <w:b/>
        </w:rPr>
        <w:t>POSSIBLE 2022:</w:t>
      </w:r>
      <w:r>
        <w:t xml:space="preserve"> INFLUENCE OF THE EUROPEAN INTEGRATION ON LINGUISTIC ASPECTS — https://doi.org/10.52058/2786-6165-2022-4(4)-8-21</w:t>
      </w:r>
    </w:p>
    <w:p>
      <w:pPr/>
      <w:r>
        <w:rPr>
          <w:b/>
        </w:rPr>
        <w:t>Shared claim-specific concepts:</w:t>
      </w:r>
      <w:r>
        <w:t xml:space="preserve"> factors, influence, between, federation, significant, union; EU scope visible. This is a provisional connection, not an outcome finding.</w:t>
      </w:r>
    </w:p>
    <w:p>
      <w:pPr>
        <w:pStyle w:val="SourceNote"/>
      </w:pPr>
      <w:r>
        <w:rPr>
          <w:b/>
        </w:rPr>
        <w:t>Available abstract (not full text):</w:t>
      </w:r>
      <w:r>
        <w:t xml:space="preserve"> The article deals with factors of linguistic integration and the role of the European Union in these processes.The issue of the influence of English loanwords on the Ukrainian linguistic picture of the world is under consideration.Linguistic policy aimed at preserving national identity acts as an opposition to integration.The European choice of Ukraine is conditioned by the awareness of integration as a factor contributing to state independence, national security, political stability, economic development, intellectual progress, and restoration of the country's European essence.The topic of language in modern conditions is significant and interesting within various disciplines of social and humanitarian knowledge: linguistics, sociolinguistics, ethnolinguistics, pedagogy and psychology, sociology, political science, ethnopolitical science.Language is a dominant factor in the development of any society.Ukraine's acquisition of associate membership in the European Federation of National Language Institutes (EFNIL) will significantly strengthen the position of the Ukrainian language as the state language and contribute to its prospective use as a mandatory language in EU countries.The main importance of linguistic identity is one of the key factors in the formation of a single political community capable of developing a common national course, the clear and consistent observance o</w:t>
      </w:r>
    </w:p>
    <w:p>
      <w:pPr/>
      <w:r>
        <w:rPr>
          <w:b/>
        </w:rPr>
        <w:t>POSSIBLE 2022:</w:t>
      </w:r>
      <w:r>
        <w:t xml:space="preserve"> Modelling site response at regional scale for the 2020 European Seismic Risk Model (ESRM20) — https://doi.org/10.1007/s10518-022-01526-5</w:t>
      </w:r>
    </w:p>
    <w:p>
      <w:pPr/>
      <w:r>
        <w:rPr>
          <w:b/>
        </w:rPr>
        <w:t>Shared claim-specific concepts:</w:t>
      </w:r>
      <w:r>
        <w:t xml:space="preserve"> influence, stations; EU scope visible. This is a provisional connection, not an outcome finding.</w:t>
      </w:r>
    </w:p>
    <w:p>
      <w:pPr>
        <w:pStyle w:val="SourceNote"/>
      </w:pPr>
      <w:r>
        <w:rPr>
          <w:b/>
        </w:rPr>
        <w:t>Available abstract (not full text):</w:t>
      </w:r>
      <w:r>
        <w:t xml:space="preserve"> Abstract Quantitative estimation of seismic risk over a region requires both an underlying probabilistic seismic hazard model and a means to characterise shallow site response over a large scale. The 2020 European Seismic Risk Model (ESRM20) builds on the 2020 European Seismic Hazard Model (ESHM20), requiring additional information to firstly parameterise the local site condition across all of Europe, and subsequently determine its influence on the prediction of seismic ground motion. Initially, a harmonised digital geological database for Europe is compiled, alongside a model of topographic/bathymetric elevation and a database of 30 m averaged shearwave velocity measurements ( $$V_{S30}$$ VS30 ), in order to produce separate 30 arc-second maps of inferred $$V_{S30}$$ VS30 based on topography and on geology. We then capitalise on a large database of seismic recording stations in Europe for which site-to-site ground motion residuals ( $$\delta S2S_{S}$$ δS2SS ) have been determined with respect to the shallow crustal ground motion model used in the ESHM20. These residuals allow us to incorporate site amplification functions into the European GMM calibrated upon either observed or inferred $$V_{S30}$$ VS30 , or on the European geology and topography models. We present the resulting pan-European seismic site amplification model and assess its impact on seismic hazard and risk comp</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influence, between, significant;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2021:</w:t>
      </w:r>
      <w:r>
        <w:t xml:space="preserve"> Comparison of factors influencing liquidity of European Islamic and conventional banks — https://doi.org/10.24136/oc.2021.013</w:t>
      </w:r>
    </w:p>
    <w:p>
      <w:pPr/>
      <w:r>
        <w:rPr>
          <w:b/>
        </w:rPr>
        <w:t>Shared claim-specific concepts:</w:t>
      </w:r>
      <w:r>
        <w:t xml:space="preserve"> factors, influence, due; EU scope visible. This is a provisional connection, not an outcome finding.</w:t>
      </w:r>
    </w:p>
    <w:p>
      <w:pPr>
        <w:pStyle w:val="SourceNote"/>
      </w:pPr>
      <w:r>
        <w:rPr>
          <w:b/>
        </w:rPr>
        <w:t>Available abstract (not full text):</w:t>
      </w:r>
      <w:r>
        <w:t xml:space="preserve"> Research background: The innovation in Shar??ah-compliant banking products has resulted in the rapidly increasing size of assets in Islamic banks worldwide. The assets of such banks have been growing twice as fast as those of conventional banks. Islamic banks do not depend on conventional interest, speculation, or complex derivatives stemming from banking operations. Instead, their actions in respect of profit/risk sharing, and the clarity of the contract are consistent with Islamic Shar??ah principles, which seek to promote a more equal society. Purpose of the article: This research aims to identify and compare factors influencing the liquidity of Islamic and conventional banks in Europe. Candidate factors are sought amongst profitability, credit quality, credit expansion and capital adequacy indicators. Methodology: First, relevant financial ratios for 249 observations on Islamic banks and 2,306 observations on conventional banks are selected and compared for the period 2013?2017. Second, liquidity is explained separately for each type of banks by panel data regression to identify its determinants in a comparative context. Findings &amp; value added: The results indicate that the impact of the net interest margin on the liquidity ratio of Islamic banks is insignificant, which is obviously due to the prohibition of the use of interest (riba). To the contrary, in conventional banki</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factors, traffic, due;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2021:</w:t>
      </w:r>
      <w:r>
        <w:t xml:space="preserve"> The open source electricity Model Base for Europe - An engagement framework for open and transparent European energy modelling — https://doi.org/10.1016/j.energy.2021.121973</w:t>
      </w:r>
    </w:p>
    <w:p>
      <w:pPr/>
      <w:r>
        <w:rPr>
          <w:b/>
        </w:rPr>
        <w:t>Shared claim-specific concepts:</w:t>
      </w:r>
      <w:r>
        <w:t xml:space="preserve"> presents, between; EU scope visible. This is a provisional connection, not an outcome finding.</w:t>
      </w:r>
    </w:p>
    <w:p>
      <w:pPr>
        <w:pStyle w:val="SourceNote"/>
      </w:pPr>
      <w:r>
        <w:rPr>
          <w:b/>
        </w:rPr>
        <w:t>Available abstract (not full text):</w:t>
      </w:r>
      <w:r>
        <w:t xml:space="preserve"> The transition to a low carbon energy system as laid out in the Paris Agreement and the European Green Deal presents challenges that involve society at all levels from planners to consumers. A key challenge is the communication across these levels. Tools to foster engagement and discussion between the different actors are open-source models with a low threshold for uptake. This paper presents the Open-Source electricity Model Base for Europe an electricity sector engagement model covering all member states of the EU, Norway, Switzerland and the United Kingdom. Built in OSeMOSYS and available on GitHub, the model provides a starting point into energy systems modelling and can be further developed in a collaborative manner. It enables non-experts to develop an understanding of energy systems models and energy planning. Thereby, it can serve as an engagement tool to carry the debate on the future of the European power system beyond the academy, which might contribute to finding societal consensus on how to decarbonise our energy system. The model allows dynamic power sector expansion analysis of the European power system till 2050. It can be used for scenario analysis and is expandable to other sectors to analyse the benefits of sector coupling.</w:t>
      </w:r>
    </w:p>
    <w:p>
      <w:pPr/>
      <w:r>
        <w:rPr>
          <w:b/>
        </w:rPr>
        <w:t>POSSIBLE 2021:</w:t>
      </w:r>
      <w:r>
        <w:t xml:space="preserve"> Fine-scale variation in projected climate change presents opportunities for biodiversity conservation in Europe — https://doi.org/10.1038/s41598-021-96717-6</w:t>
      </w:r>
    </w:p>
    <w:p>
      <w:pPr/>
      <w:r>
        <w:rPr>
          <w:b/>
        </w:rPr>
        <w:t>Shared claim-specific concepts:</w:t>
      </w:r>
      <w:r>
        <w:t xml:space="preserve"> factors, presents, land; EU scope visible. This is a provisional connection, not an outcome finding.</w:t>
      </w:r>
    </w:p>
    <w:p>
      <w:pPr>
        <w:pStyle w:val="SourceNote"/>
      </w:pPr>
      <w:r>
        <w:rPr>
          <w:b/>
        </w:rPr>
        <w:t>Available abstract (not full text):</w:t>
      </w:r>
      <w:r>
        <w:t xml:space="preserve"> Climate change is a major threat to global biodiversity, although projected changes show remarkable geographical and temporal variability. Understanding this variability allows for the identification of regions where the present-day conservation objectives may be at risk or where opportunities for biodiversity conservation emerge. We use a multi-model ensemble of regional climate models to identify areas with significantly high and low climate stability persistent throughout the twenty-first century in Europe. We then confront our predictions with the land coverage of three prominent biodiversity conservation initiatives at two scales. The continental-scale assessment shows that areas with the least stable future climate in Europe are likely to occur at low and high latitudes, with the Iberian Peninsula and the Boreal zones identified as prominent areas of low climatic stability. A follow-up regional scale investigation shows that robust climatic refugia exist even within the highly exposed southern and northern macro-regions. About 23-31% of assessed biodiversity conservation sites in Europe coincide with areas of high future climate stability, we contend that these sites should be prioritised in the formulation of future conservation priorities as the stability of future climate is one of the key factors determining their conservation prospects. Although such focus on climate</w:t>
      </w:r>
    </w:p>
    <w:p>
      <w:pPr/>
      <w:r>
        <w:rPr>
          <w:b/>
        </w:rPr>
        <w:t>POSSIBLE 2020:</w:t>
      </w:r>
      <w:r>
        <w:t xml:space="preserve"> Factors Influencing Adoption of Sustainable Farming Practices in Europe: A Systemic Review of Empirical Literature — https://doi.org/10.3390/su12229719</w:t>
      </w:r>
    </w:p>
    <w:p>
      <w:pPr/>
      <w:r>
        <w:rPr>
          <w:b/>
        </w:rPr>
        <w:t>Shared claim-specific concepts:</w:t>
      </w:r>
      <w:r>
        <w:t xml:space="preserve"> factors, influence, land, between; EU scope visible. This is a provisional connection, not an outcome finding.</w:t>
      </w:r>
    </w:p>
    <w:p>
      <w:pPr>
        <w:pStyle w:val="SourceNote"/>
      </w:pPr>
      <w:r>
        <w:rPr>
          <w:b/>
        </w:rPr>
        <w:t>Available abstract (not full text):</w:t>
      </w:r>
      <w:r>
        <w:t xml:space="preserve"> Modern practices of industrial farming, such as mineral fertilization, caused a widespread degradation of agricultural land and water bodies in Europe. Different farm management strategies exist to reduce the impact of mineral fertilization while preserving soil productivity. The aim of this paper is to provide a thorough systemic review of contemporary literature exploring factors and conditions affecting EU farmers’ adoption of sustainable farming practices. The specific focus is on widely adopted and empirically explored measures, such as organic farming, manure treatment technologies and manure fertilization, as well as soil and water conservation methods. In total, 23 peer-reviewed studies were extracted by means of Google Scholar covering the time period between 2003 and 2019. The main findings show that farmers’ environmental and economic attitudes in addition to their sources of information have a strong effect on the adoption of organic farming, although there is a lack of evidence of their impact on adopting manure treatment and conservation measures. Similarly, farmers’ age and education are found to systemically influence organic farming adoption, but not adoption of other reviewed technologies. While other factors, such as farm physical characteristics or technological attributes, may be important determinants of adoption, it is hard to recognize definite patterns </w:t>
      </w:r>
    </w:p>
    <w:p>
      <w:pPr/>
      <w:r>
        <w:rPr>
          <w:b/>
        </w:rPr>
        <w:t>POSSIBLE 2020:</w:t>
      </w:r>
      <w:r>
        <w:t xml:space="preserve"> European Regional Airport: Factors Influencing Efficency — https://doi.org/10.2478/ttj-2020-0017</w:t>
      </w:r>
    </w:p>
    <w:p>
      <w:pPr/>
      <w:r>
        <w:rPr>
          <w:b/>
        </w:rPr>
        <w:t>Shared claim-specific concepts:</w:t>
      </w:r>
      <w:r>
        <w:t xml:space="preserve"> factors, number, traffic, trend, due; EU scope visible. This is a provisional connection, not an outcome finding.</w:t>
      </w:r>
    </w:p>
    <w:p>
      <w:pPr>
        <w:pStyle w:val="SourceNote"/>
      </w:pPr>
      <w:r>
        <w:rPr>
          <w:b/>
        </w:rPr>
        <w:t>Available abstract (not full text):</w:t>
      </w:r>
      <w:r>
        <w:t xml:space="preserve"> Abstract During the recent decade a lot of research has been focused on identification of the importance of regional airport for the local economy and the measuring and predicting of the airport’s efficiency. With regard to individual airport planning it turns out that airports are not free in the optimization of infrastructure due the need to comply international aviation standards and recommended practices, one the one hand, and the tendency of air transportation system development including aircraft design and airlines’ fleet development, on the other. Furthermore, it is also important to take into account the specificity of each particular airport, including the traffic variability resulting from seasonality, with the airport’s mission geared to it. We found, tha t one of the reasons for the relatively low efficiency of regional airports, given the general trend in the growth in the number of seats for narrow-body aircraft. Likewise, it has been found, that the seasonality of air traffic at regional airports is comparatively high. In addition, this paper spotlights the ways the theoretical model of returns to scale affects the efficiency of the apron of the regional airport and briefly discusses the different interpretations of the definition of regional airport.</w:t>
      </w:r>
    </w:p>
    <w:p>
      <w:pPr>
        <w:pStyle w:val="Heading2"/>
      </w:pPr>
      <w:r>
        <w:t>818.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2023:</w:t>
      </w:r>
      <w:r>
        <w:t xml:space="preserve"> Impact of Key Drivers on Energy Intensity and GHG Emissions in Manufacturing in the Baltic States — https://doi.org/10.3390/su15043330</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pPr/>
      <w:r>
        <w:rPr>
          <w:b/>
        </w:rPr>
        <w:t>POSSIBLE 2023:</w:t>
      </w:r>
      <w:r>
        <w:t xml:space="preserve"> Empirical Assessment of Carbon Reduction and Energy Transition Targets of European Companies — https://doi.org/10.2478/picbe-2023-0067</w:t>
      </w:r>
    </w:p>
    <w:p>
      <w:pPr/>
      <w:r>
        <w:rPr>
          <w:b/>
        </w:rPr>
        <w:t>Shared claim-specific concepts:</w:t>
      </w:r>
      <w:r>
        <w:t xml:space="preserve"> show, reduction, energy; EU scope visible. This is a provisional connection, not an outcome finding.</w:t>
      </w:r>
    </w:p>
    <w:p>
      <w:pPr>
        <w:pStyle w:val="SourceNote"/>
      </w:pPr>
      <w:r>
        <w:rPr>
          <w:b/>
        </w:rPr>
        <w:t>Available abstract (not full text):</w:t>
      </w:r>
      <w:r>
        <w:t xml:space="preserve"> Abstract The paper presents an analysis of the carbon reduction and energy transition targets set by all companies included in the STOXX All Europe 100 index. This is an emerging topic, and the scientific literature is scarce. We employ a quantitative research method, as we extract by hand the targets from various sources: corporate annual reports, Refinitiv Database, Science Based Targets etc. The research question is: Which are the directions of corporate European strategies regarding carbon emissions and reduction targets? The total number of emissions reduction targets in the sample is 427, while renewable energy targets are 89, efficiency targets are 33, and electric vehicle adoption targets are 29. The analysis reveals that most of the targets are set for a short or medium time frame. Also, most of them are expressed in absolute terms and some of them have already been achieved. The research has implications for policy setting, as we show that the regulations should be an incentive for companies to strive to achieve meaningful targets. Thus, the results show that longer term targets are more difficult to track, and progress is less disclosed in the annual reports. The countries in which the sample companies are headquartered are not yet on track to achieve the goals of the Paris Agreement, which means that environmental and disclosure policies need to be improved.</w:t>
      </w:r>
    </w:p>
    <w:p>
      <w:pPr/>
      <w:r>
        <w:rPr>
          <w:b/>
        </w:rPr>
        <w:t>POSSIBLE 2023:</w:t>
      </w:r>
      <w:r>
        <w:t xml:space="preserve"> Assessing WHO2021 air quality guideline levels in Europe: Population exposure and PM2.5 reduction potential — https://doi.org/10.5194/egusphere-egu23-15917</w:t>
      </w:r>
    </w:p>
    <w:p>
      <w:pPr/>
      <w:r>
        <w:rPr>
          <w:b/>
        </w:rPr>
        <w:t>Shared claim-specific concepts:</w:t>
      </w:r>
      <w:r>
        <w:t xml:space="preserve"> implementing, emission, reduction, however; EU scope visible. This is a provisional connection, not an outcome finding.</w:t>
      </w:r>
    </w:p>
    <w:p>
      <w:pPr>
        <w:pStyle w:val="SourceNote"/>
      </w:pPr>
      <w:r>
        <w:rPr>
          <w:b/>
        </w:rPr>
        <w:t>Available abstract (not full text):</w:t>
      </w:r>
      <w:r>
        <w:t xml:space="preserve"> Although anthropogenic emissions have decreased during the last two decades, air pollution is still problematic in many regions in Europe. In 2021, the World Health Organisation has released updated air quality guideline levels that base on newest medical research and have drastically decreased in comparison to the previous levels, except for SO2. These levels reflect the minimum concentration for which evidence of adverse health effects have been found. This study analyses the air quality in Europe using simulations by EURAD-IM for the year 2016 with optimized emissions to evaluate guideline exceedances for PM2.5, NO2, and O3. All air pollutant concentrations in Europe exceed the WHO2021 annual guideline levels by a large amount. High PM2.5 and O3 concentrations are homogeneously distributed across Europe with 99 % and 100 % of the EU38 population (European Union and eleven other European states) exposed to concentrations above the guideline levels. High NO2 concentrations are linked to densely populated areas. However, 61% of the EU38 population is exposed to concentrations above the guideline level. For PM2.5, the effect of different aerosol classes on the bulk mass and different PM reduction scenarios are analysed. NO3- shows the largest contribution to total PM2.5 while primary anthropogenic aerosols are mainly responsible for extremely high PM2.5 concentrations of up to 3</w:t>
      </w:r>
    </w:p>
    <w:p>
      <w:pPr/>
      <w:r>
        <w:rPr>
          <w:b/>
        </w:rPr>
        <w:t>POSSIBLE 2022:</w:t>
      </w:r>
      <w:r>
        <w:t xml:space="preserve"> How COVID-19 Affected GHG Emissions of Ferries in Europe — https://doi.org/10.3390/su14095287</w:t>
      </w:r>
    </w:p>
    <w:p>
      <w:pPr/>
      <w:r>
        <w:rPr>
          <w:b/>
        </w:rPr>
        <w:t>Shared claim-specific concepts:</w:t>
      </w:r>
      <w:r>
        <w:t xml:space="preserve"> ghg, reduction, additional; EU scope visible. This is a provisional connection, not an outcome finding.</w:t>
      </w:r>
    </w:p>
    <w:p>
      <w:pPr>
        <w:pStyle w:val="SourceNote"/>
      </w:pPr>
      <w:r>
        <w:rPr>
          <w:b/>
        </w:rPr>
        <w:t>Available abstract (not full text):</w:t>
      </w:r>
      <w:r>
        <w:t xml:space="preserve">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 reduction,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Balancing GHG mitigation and land-use conflicts: Alternative Northern European energy system scenarios — https://doi.org/10.1016/j.apenergy.2022.118557</w:t>
      </w:r>
    </w:p>
    <w:p>
      <w:pPr/>
      <w:r>
        <w:rPr>
          <w:b/>
        </w:rPr>
        <w:t>Shared claim-specific concepts:</w:t>
      </w:r>
      <w:r>
        <w:t xml:space="preserve"> show, ghg, target, energy, however; EU scope visible. This is a provisional connection, not an outcome finding.</w:t>
      </w:r>
    </w:p>
    <w:p>
      <w:pPr>
        <w:pStyle w:val="SourceNote"/>
      </w:pPr>
      <w:r>
        <w:rPr>
          <w:b/>
        </w:rPr>
        <w:t>Available abstract (not full text):</w:t>
      </w:r>
      <w:r>
        <w:t xml:space="preserve">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pPr/>
      <w:r>
        <w:rPr>
          <w:b/>
        </w:rPr>
        <w:t>POSSIBLE 2022:</w:t>
      </w:r>
      <w:r>
        <w:t xml:space="preserve"> Targeted, Implementable, and Practical Energy Relief Measures for Households in Europe — https://doi.org/10.5089/9798400227400.001</w:t>
      </w:r>
    </w:p>
    <w:p>
      <w:pPr/>
      <w:r>
        <w:rPr>
          <w:b/>
        </w:rPr>
        <w:t>Shared claim-specific concepts:</w:t>
      </w:r>
      <w:r>
        <w:t xml:space="preserve"> energy, however; EU scope visible. This is a provisional connection, not an outcome finding.</w:t>
      </w:r>
    </w:p>
    <w:p>
      <w:pPr>
        <w:pStyle w:val="SourceNote"/>
      </w:pPr>
      <w:r>
        <w:rPr>
          <w:b/>
        </w:rPr>
        <w:t>Available abstract (not full text):</w:t>
      </w:r>
      <w:r>
        <w:t xml:space="preserve"> The recommended way of helping households during the ongoing European energy crisis is to allow price signals to operate freely while providing targeted compensation to the vulnerable. In practice, however, institutional, political, and technical constraints have led many European governments to adopt broad, price-suppressing measures, which impede the adjustment in demand, have high fiscal costs, and widen cross-country gaps in prices. This paper focuses on easy-to-implement, second-best policies. Bonuses or rebates on energy bills (that are not linked to the current volume of consumption) or block tariffs are simple options which would improve on the current policy design in many countries. To avoid stoking inflation, fiscal policy should not add to aggregate demand, so relief for energy bills should be targeted and coupled with offsetting fiscal measures. One option is to reclaim the relief from the better-off through income taxation, which would also make support more progressive.</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emission, reduction, target, mostly, however;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r>
        <w:rPr>
          <w:b/>
        </w:rPr>
        <w:t>POSSIBLE 2022:</w:t>
      </w:r>
      <w:r>
        <w:t xml:space="preserve"> Greenhouse Gas Emission Reduction Potentials in Europe by Sector: A Bootstrap-Based Nonparametric Efficiency Analysis — https://doi.org/10.1007/s10640-022-00660-7</w:t>
      </w:r>
    </w:p>
    <w:p>
      <w:pPr/>
      <w:r>
        <w:rPr>
          <w:b/>
        </w:rPr>
        <w:t>Shared claim-specific concepts:</w:t>
      </w:r>
      <w:r>
        <w:t xml:space="preserve"> show, emission, reduction; EU scope visible. This is a provisional connection, not an outcome finding.</w:t>
      </w:r>
    </w:p>
    <w:p>
      <w:pPr>
        <w:pStyle w:val="SourceNote"/>
      </w:pPr>
      <w:r>
        <w:rPr>
          <w:b/>
        </w:rPr>
        <w:t>Available abstract (not full text):</w:t>
      </w:r>
      <w:r>
        <w:t xml:space="preserve"> Abstract The reduction of greenhouse gas emissions is the key action to limit global warming. An important source of greenhouse gas emissions and pollution is the inefficiency of production processes. We report results from a stochastic nonparametric efficiency analysis using directional distance functions to take account of undesirable outputs like greenhouse gases. With this approach, we are able to provide estimates of the potential emission reductions for 7 main sectors in 16 European countries. A specially adapted bootstrapping approach allows to implement a bias correction of the estimates and to compute confidence intervals. The results show that static efficiency improvements are a quantitatively important element of the emission reductions which are required to achieve the reduction targets of the European Union.</w:t>
      </w:r>
    </w:p>
    <w:p>
      <w:pPr>
        <w:pStyle w:val="Heading2"/>
      </w:pPr>
      <w:r>
        <w:t>819.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also, different, technologies;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2021:</w:t>
      </w:r>
      <w:r>
        <w:t xml:space="preserve"> Wind resource evolution in Europe under different scenarios of climate change characterised by the novel Shared Socioeconomic Pathways — https://doi.org/10.1016/j.enconman.2021.113961</w:t>
      </w:r>
    </w:p>
    <w:p>
      <w:pPr/>
      <w:r>
        <w:rPr>
          <w:b/>
        </w:rPr>
        <w:t>Shared claim-specific concepts:</w:t>
      </w:r>
      <w:r>
        <w:t xml:space="preserve"> also, different, regions, political; EU scope visible. This is a provisional connection, not an outcome finding.</w:t>
      </w:r>
    </w:p>
    <w:p>
      <w:pPr>
        <w:pStyle w:val="SourceNote"/>
      </w:pPr>
      <w:r>
        <w:rPr>
          <w:b/>
        </w:rPr>
        <w:t>Available abstract (not full text):</w:t>
      </w:r>
      <w:r>
        <w:t xml:space="preserve"> Wind energy is a fundamental pillar of the energy mix in Europe – hence the need for understanding the evolution of the wind energy resource under climate change. For this purpose, near-, mid- and long-term wind speed projections from 18 global climate models are considered and a multi-model ensemble is constructed with the ones found to best reproduce past-present conditions. The evolution and temporal variability of wind power is investigated considering different climate change scenarios through the novel Shared Socioeconomic Pathways (SSPs). More specifically, two SSPs are considered, each corresponding to its own socio-economic and political environment and, therefore, its own level of greenhouse emissions: SSP5-8.5 (highest emissions scenario) and SSP2-4.5 (intermediate emissions scenario). Both scenarios lead to a significant reduction (up to 35%) in wind power density in northern Continental Europe and the Central Mediterranean, and an increase of similar magnitude in West Finland. Over the Atlantic Ocean, Ireland and Britain the resource is also projected to decrease significantly. In other regions, however, the general trend (positive or negative) depends on the SSP scenario. This is the case, notably, of Central Europe, with considerable growth in SSP2-4.5 but some reduction in SSP5-8.5. Thus, in the intermediate emissions scenario (SSP2-4.5) both growth and decline </w:t>
      </w:r>
    </w:p>
    <w:p>
      <w:pPr/>
      <w:r>
        <w:rPr>
          <w:b/>
        </w:rPr>
        <w:t>POSSIBLE 2021:</w:t>
      </w:r>
      <w:r>
        <w:t xml:space="preserve"> Assessing the Distribution of Exotic Egg Parasitoids of Halyomorpha halys in Europe with a Large-Scale Monitoring Program — https://doi.org/10.3390/insects12040316</w:t>
      </w:r>
    </w:p>
    <w:p>
      <w:pPr/>
      <w:r>
        <w:rPr>
          <w:b/>
        </w:rPr>
        <w:t>Shared claim-specific concepts:</w:t>
      </w:r>
      <w:r>
        <w:t xml:space="preserve"> also, present, assess; EU scope visible. This is a provisional connection, not an outcome finding.</w:t>
      </w:r>
    </w:p>
    <w:p>
      <w:pPr>
        <w:pStyle w:val="SourceNote"/>
      </w:pPr>
      <w:r>
        <w:rPr>
          <w:b/>
        </w:rPr>
        <w:t>Available abstract (not full text):</w:t>
      </w:r>
      <w:r>
        <w:t xml:space="preserve"> The brown marmorated stink bug Halyomorpha halys is an invasive agricultural pest with a worldwide distribution. Classical biological control has been identified as the most promising method to reduce the populations of H. halys. Adventive populations of two candidates for releases, Trissolcus japonicus and Trissolcus mitsukurii, have recently been detected in Europe. To assess their distribution and abundance, a large-scale survey was performed. From May to September 2019, a wide area covering northern Italy and parts of Switzerland was surveyed, highlighting the expanding distribution of both Tr. japonicus and Tr. mitsukurii. Within four years after their first detection in Europe, both species have rapidly spread into all types of habitats where H. halys is present, showing a wide distribution and continuous expansion. Both exotic Trissolcus showed high levels of parasitism rate towards H. halys, while parasitization of non-target species was a rare event. The generalist Anastatus bifasciatus was the predominant native parasitoid of H. halys, while the emergence of native scelionids from H. halys eggs was rarely observed. The presence of the hyperparasitoid Acroclisoides sinicus was also recorded. This study provided fundamental data that supported the development of the first inoculative release program of Tr. japonicus in Europe.</w:t>
      </w:r>
    </w:p>
    <w:p>
      <w:pPr/>
      <w:r>
        <w:rPr>
          <w:b/>
        </w:rPr>
        <w:t>POSSIBLE 2021:</w:t>
      </w:r>
      <w:r>
        <w:t xml:space="preserve"> European Stroke Organisation and European Society for Swallowing Disorders guideline for the diagnosis and treatment of post-stroke dysphagia — https://doi.org/10.1177/23969873211039721</w:t>
      </w:r>
    </w:p>
    <w:p>
      <w:pPr/>
      <w:r>
        <w:rPr>
          <w:b/>
        </w:rPr>
        <w:t>Shared claim-specific concepts:</w:t>
      </w:r>
      <w:r>
        <w:t xml:space="preserve"> also, present, different, interventions; EU scope visible. This is a provisional connection, not an outcome finding.</w:t>
      </w:r>
    </w:p>
    <w:p>
      <w:pPr>
        <w:pStyle w:val="SourceNote"/>
      </w:pPr>
      <w:r>
        <w:rPr>
          <w:b/>
        </w:rPr>
        <w:t>Available abstract (not full text):</w:t>
      </w:r>
      <w:r>
        <w:t xml:space="preserve"> Post-stroke dysphagia (PSD) is present in more than 50% of acute stroke patients, increases the risk of complications, in particular aspiration pneumonia, malnutrition and dehydration, and is linked to poor outcome and mortality. The aim of this guideline is to assist all members of the multidisciplinary team in their management of patients with PSD. These guidelines were developed based on the European Stroke Organisation (ESO) standard operating procedure and followed the Grading of Recommendations, Assessment, Development and Evaluation (GRADE) approach. An interdisciplinary working group identified 20 relevant questions, performed systematic reviews and meta-analyses of the literature, assessed the quality of the available evidence and wrote evidence-based recommendations. Expert opinion was provided if not enough evidence was available to provide recommendations based on the GRADE approach. We found moderate quality of evidence to recommend dysphagia screening in all stroke patients to prevent post-stroke pneumonia and to early mortality and low quality of evidence to suggest dysphagia assessment in stroke patients having been identified at being at risk of PSD. We found low to moderate quality of evidence for a variety of treatment options to improve swallowing physiology and swallowing safety. These options include dietary interventions, behavioural swallowing treatment </w:t>
      </w:r>
    </w:p>
    <w:p>
      <w:pPr/>
      <w:r>
        <w:rPr>
          <w:b/>
        </w:rPr>
        <w:t>POSSIBLE 2021:</w:t>
      </w:r>
      <w:r>
        <w:t xml:space="preserve"> Assessing Nearly Zero Energy Buildings (NZEBs) development in Europe — https://doi.org/10.1016/j.esr.2021.100680</w:t>
      </w:r>
    </w:p>
    <w:p>
      <w:pPr/>
      <w:r>
        <w:rPr>
          <w:b/>
        </w:rPr>
        <w:t>Shared claim-specific concepts:</w:t>
      </w:r>
      <w:r>
        <w:t xml:space="preserve"> also, different, diffusion, technologies; EU scope visible. This is a provisional connection, not an outcome finding.</w:t>
      </w:r>
    </w:p>
    <w:p>
      <w:pPr>
        <w:pStyle w:val="SourceNote"/>
      </w:pPr>
      <w:r>
        <w:rPr>
          <w:b/>
        </w:rPr>
        <w:t>Available abstract (not full text):</w:t>
      </w:r>
      <w:r>
        <w:t xml:space="preserve"> Decarbonising the energy sector is crucial to reach future climate and energy goals. As established by the Energy Performance of Building Directive recast, Nearly Zero Energy Buildings (NZEBs) are the mandatory building target in Europe for all new buildings from 2021 onwards. In the light of the approaching deadline, this paper assesses the development of NZEBs in Europe based on the most recent collected data and information. This paper provides an overview of the implementation of national definitions and energy performance values for new, existing, residential, and non-residential buildings in Member States. It evaluates the differences with the established European benchmark and cost-optimal levels. An overview of the most commonly implemented technologies in NZEBs is given together with costs and the relative projections over next decades. Finally, quantitative data on the NZEBs diffusion in Member States are given as recently assessed. The evolution of the NZEB concept and the future NZEBs role is also forecasted. The results assume a strategic value in the light of future targets for the building sector, showing the progress made by Member States in relation to different NZEBs aspects. They provide a comprehensive analysis of the European NZEBs implementation depicting a positive overall progress improvement for NZEBs definitions, uptake, technology development, and ene</w:t>
      </w:r>
    </w:p>
    <w:p>
      <w:pPr/>
      <w:r>
        <w:rPr>
          <w:b/>
        </w:rPr>
        <w:t>POSSIBLE 2020:</w:t>
      </w:r>
      <w:r>
        <w:t xml:space="preserve"> Economic analysis of BIPV systems as a building envelope material for building skins in Europe — https://doi.org/10.1016/j.energy.2020.117931</w:t>
      </w:r>
    </w:p>
    <w:p>
      <w:pPr/>
      <w:r>
        <w:rPr>
          <w:b/>
        </w:rPr>
        <w:t>Shared claim-specific concepts:</w:t>
      </w:r>
      <w:r>
        <w:t xml:space="preserve"> also, present, alternative; EU scope visible. This is a provisional connection, not an outcome finding.</w:t>
      </w:r>
    </w:p>
    <w:p>
      <w:pPr>
        <w:pStyle w:val="SourceNote"/>
      </w:pPr>
      <w:r>
        <w:rPr>
          <w:b/>
        </w:rPr>
        <w:t>Available abstract (not full text):</w:t>
      </w:r>
      <w:r>
        <w:t xml:space="preserve"> The main purpose of this study is to evaluate the economic feasibility of the BIPV system as a building envelope material for the whole building skins. The paper is dealing with the lifecycle cost analysis (LCCA) of BIPV system in the capitals of all the European Union member states (EU) as well as the capitals of Norway and Switzerland. The results revealed that by a discount rate of zero, BIPV system could refund all the investment even on the north facades while in terms of traditional building envelope materials as an alternative option for building skins, there would be rarely added benefits after investment. Furthermore, the societal and environmental benefits of a BIPV system in Europe have its greatest impact on the south façade. Moreover, for all the studied directions of building skins with a discount rate of five present in Europe except the north facade, just the quantified amount of societal and environmental advantages of BIPV systems could almost reimburse all the invested money. The results illustrated that the BIPV system as a building envelope material for the whole building skins could reimburse not only all the investment costs but also become a source of income for the building.</w:t>
      </w:r>
    </w:p>
    <w:p>
      <w:pPr/>
      <w:r>
        <w:rPr>
          <w:b/>
        </w:rPr>
        <w:t>POSSIBLE 2020:</w:t>
      </w:r>
      <w:r>
        <w:t xml:space="preserve"> Flood trends in Europe: are changes in small and big floods different? — https://doi.org/10.5194/hess-24-1805-2020</w:t>
      </w:r>
    </w:p>
    <w:p>
      <w:pPr/>
      <w:r>
        <w:rPr>
          <w:b/>
        </w:rPr>
        <w:t>Shared claim-specific concepts:</w:t>
      </w:r>
      <w:r>
        <w:t xml:space="preserve"> also, assess, different, show, regions;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pStyle w:val="Heading2"/>
      </w:pPr>
      <w:r>
        <w:t>820.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r>
        <w:rPr>
          <w:b/>
        </w:rPr>
        <w:t>POSSIBLE 2021:</w:t>
      </w:r>
      <w:r>
        <w:t xml:space="preserve"> Double materiality and the shift from non-financial to European sustainability reporting: review, outlook and implications — https://doi.org/10.1108/jaar-04-2021-0114</w:t>
      </w:r>
    </w:p>
    <w:p>
      <w:pPr/>
      <w:r>
        <w:rPr>
          <w:b/>
        </w:rPr>
        <w:t>Shared claim-specific concepts:</w:t>
      </w:r>
      <w:r>
        <w:t xml:space="preserve"> implications, number, fully; EU scope visible. This is a provisional connection, not an outcome finding.</w:t>
      </w:r>
    </w:p>
    <w:p>
      <w:pPr>
        <w:pStyle w:val="SourceNote"/>
      </w:pPr>
      <w:r>
        <w:rPr>
          <w:b/>
        </w:rPr>
        <w:t>Available abstract (not full text):</w:t>
      </w:r>
      <w:r>
        <w:t xml:space="preserve"> Purpose This paper outlines the development of the principle of materiality in the European accounting framework, from the Modernization Directive (2003/51/EC) to the NFI Directive (2014/95/EU) and on to the proposals for a Corporate Sustainability Reporting (CSR) Directive (2021/0104 (COD)). The authors highlight how the requirements for corporate reporting in terms of sustainability matters have changed, underlining the main issues that require further attention by practitioners, researchers and legislators. Design/methodology/approach This paper is based upon a historic analysis of European Union (EU) regulations in the field of non-financial and sustainability reporting and how these have changed over time. A conceptual comparison of different reporting concepts is presented, and changes in their relevance to the EU accounting framework are discussed as part of the historic analysis. Implications from corporate practice are derived from previous empirical findings from the EU Commission's consultations. Findings The proposed change from non-financial to sustainability reporting within the EU affects more than simply the terminology used. It implies that a different understanding is needed of both the purposes of company reporting on sustainability matters and the aims of carrying out such reporting. This change was driven by the need and desire to appropriately interpret th</w:t>
      </w:r>
    </w:p>
    <w:p>
      <w:pPr/>
      <w:r>
        <w:rPr>
          <w:b/>
        </w:rPr>
        <w:t>POSSIBLE 2020:</w:t>
      </w:r>
      <w:r>
        <w:t xml:space="preserve"> European environment policy for the circular economy: Implications for business and industry stakeholders — https://doi.org/10.1002/sd.2113</w:t>
      </w:r>
    </w:p>
    <w:p>
      <w:pPr/>
      <w:r>
        <w:rPr>
          <w:b/>
        </w:rPr>
        <w:t>Shared claim-specific concepts:</w:t>
      </w:r>
      <w:r>
        <w:t xml:space="preserve"> implications, number; EU scope visible. This is a provisional connection, not an outcome finding.</w:t>
      </w:r>
    </w:p>
    <w:p>
      <w:pPr>
        <w:pStyle w:val="SourceNote"/>
      </w:pPr>
      <w:r>
        <w:rPr>
          <w:b/>
        </w:rPr>
        <w:t>Available abstract (not full text):</w:t>
      </w:r>
      <w:r>
        <w:t xml:space="preserve"> Abstract European Union (EU) institutions and agencies are increasingly raising awareness on the circular economy agenda. They are encouraging marketplace stakeholders to engage in sustainable production and consumption behaviors by reducing, reusing, restoring, refurbishing, and recycling resources in all stages of their value chain. Therefore, this research evaluates the latest European environmental policies including its “new circular economy plans for a cleaner and more competitive Europe.” Afterwards, it presents a systematic literature review that is focused on the circular economy in the EU context. The findings suggest that there are a number of opportunities as well as challenges for the successful planning, organization, implementation, and measurement of circular economy practices for sustainable supply chains in Europe. This contribution identifies key implications and provides reasonable recommendations to policy makers and industry practitioners.</w:t>
      </w:r>
    </w:p>
    <w:p>
      <w:pPr/>
      <w:r>
        <w:rPr>
          <w:b/>
        </w:rPr>
        <w:t>POSSIBLE 2020:</w:t>
      </w:r>
      <w:r>
        <w:t xml:space="preserve"> Mapping the evidence of climate change adaptation policy instruments in Europe — https://doi.org/10.1088/1748-9326/ab8fd1</w:t>
      </w:r>
    </w:p>
    <w:p>
      <w:pPr/>
      <w:r>
        <w:rPr>
          <w:b/>
        </w:rPr>
        <w:t>Shared claim-specific concepts:</w:t>
      </w:r>
      <w:r>
        <w:t xml:space="preserve"> number, instruments; EU scope visible. This is a provisional connection, not an outcome finding.</w:t>
      </w:r>
    </w:p>
    <w:p>
      <w:pPr>
        <w:pStyle w:val="SourceNote"/>
      </w:pPr>
      <w:r>
        <w:rPr>
          <w:b/>
        </w:rPr>
        <w:t>Available abstract (not full text):</w:t>
      </w:r>
      <w:r>
        <w:t xml:space="preserve"> Abstract With climate change impacts being felt across Europe, governments have started to invest in designing and implementing adaptation actions. The means through which governments adapt is generally referred to as policy instruments. Although there is a large body of adaptation policy literature emerging, our comprehensive understanding of policy instruments is limited nor do we know much about how scholarship on adaptation is addressing critical questions about policy instrument choice and effectiveness to support policy practice. In this article we map academic scholarship on climate change adaptation policy instruments in Europe. Using systematic approaches, we identify 184 relevant articles published 2014–2019. Our findings show that research is heavily concentrated on a limited number of western-European countries, with hardly any insights from eastern Europe and smaller countries. Most studies do not connect climate change impacts and risks with policy instruments, making assessment of policy effectiveness difficult, if not impossible. We argue that expanding the geographical scope of future research and enhancing the diversity of study types across Europe is critical for advancing theories on climate change adaptation policy, as well as providing useful recommendations for policy makers to strengthen the solution space and accelerate climate change adaptation.</w:t>
      </w:r>
    </w:p>
    <w:p>
      <w:pPr/>
      <w:r>
        <w:rPr>
          <w:b/>
        </w:rPr>
        <w:t>POSSIBLE 2018:</w:t>
      </w:r>
      <w:r>
        <w:t xml:space="preserve"> Regional inequality in Europe: evidence, theory and policy implications — https://doi.org/10.1093/jeg/lby021</w:t>
      </w:r>
    </w:p>
    <w:p>
      <w:pPr/>
      <w:r>
        <w:rPr>
          <w:b/>
        </w:rPr>
        <w:t>Shared claim-specific concepts:</w:t>
      </w:r>
      <w:r>
        <w:t xml:space="preserve"> implications, effective; EU scope visible. This is a provisional connection, not an outcome finding.</w:t>
      </w:r>
    </w:p>
    <w:p>
      <w:pPr>
        <w:pStyle w:val="SourceNote"/>
      </w:pPr>
      <w:r>
        <w:rPr>
          <w:b/>
        </w:rPr>
        <w:t>Available abstract (not full text):</w:t>
      </w:r>
      <w:r>
        <w:t xml:space="preserve">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pStyle w:val="Heading2"/>
      </w:pPr>
      <w:r>
        <w:t>821.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2026:</w:t>
      </w:r>
      <w:r>
        <w:t xml:space="preserve"> The water–agriculture–food nexus in Europe: a governance perspective — https://openalex.org/W7205710043</w:t>
      </w:r>
    </w:p>
    <w:p>
      <w:pPr/>
      <w:r>
        <w:rPr>
          <w:b/>
        </w:rPr>
        <w:t>Shared claim-specific concepts:</w:t>
      </w:r>
      <w:r>
        <w:t xml:space="preserve"> water, use, four; EU scope visible. This is a provisional connection, not an outcome finding.</w:t>
      </w:r>
    </w:p>
    <w:p>
      <w:pPr>
        <w:pStyle w:val="SourceNote"/>
      </w:pPr>
      <w:r>
        <w:rPr>
          <w:b/>
        </w:rPr>
        <w:t>Available abstract (not full text):</w:t>
      </w:r>
      <w:r>
        <w:t xml:space="preserve"> Achieving water use within planetary boundaries requires greater alignment among the actors governing water use in food systems. These systems involve multiple actors with diverse and sometimes competing interests, increasing the complexity of understanding how institutional arrangements shape user decisions. This study analyses the water–agriculture–food (WAF) nexus in Europe and proposes a framework, grounded in the Institutional Analysis and Development (IAD) framework, to classify key actors and governance instruments across four institutional levels, from global agenda-setting to local implementation.The findings show that literature remains predominantly water-centered and sectorally fragmented. While water–agriculture linkages are relatively well developed, food-system dimensions and user behavior are less consistently integrated into institutional analyses. Coordination gaps across governance levels further limit the operationalization of nexus-based water conservation strategies. The study also identifies structural economic challenges -including unpriced externalities, information failures, and market power asymmetries- that constrain effective cross-sector governance, and points toward a future research agenda for integrated WAF nexus governance.</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2024:</w:t>
      </w:r>
      <w:r>
        <w:t xml:space="preserve"> The water footprint of hydrogen production — https://doi.org/10.1016/j.scitotenv.2024.172384</w:t>
      </w:r>
    </w:p>
    <w:p>
      <w:pPr/>
      <w:r>
        <w:rPr>
          <w:b/>
        </w:rPr>
        <w:t>Shared claim-specific concepts:</w:t>
      </w:r>
      <w:r>
        <w:t xml:space="preserve"> water, footprint, production;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Advancing water footprint assessments: Combining the impacts of water pollution and scarcity — https://doi.org/10.1016/j.scitotenv.2023.161910</w:t>
      </w:r>
    </w:p>
    <w:p>
      <w:pPr/>
      <w:r>
        <w:rPr>
          <w:b/>
        </w:rPr>
        <w:t>Shared claim-specific concepts:</w:t>
      </w:r>
      <w:r>
        <w:t xml:space="preserve"> water, footprint, level, consumption, use; EU scope visible. This is a provisional connection, not an outcome finding.</w:t>
      </w:r>
    </w:p>
    <w:p>
      <w:pPr>
        <w:pStyle w:val="SourceNote"/>
      </w:pPr>
      <w:r>
        <w:rPr>
          <w:b/>
        </w:rPr>
        <w:t>Available abstract (not full text):</w:t>
      </w:r>
      <w:r>
        <w:t xml:space="preserve"> Several water footprint indicators have been developed to curb freshwater stress. Volumetric footprints support water allocation decisions and strive to increase water productivity in all sectors. In contrast, impact-oriented footprints are used to minimize the impacts of water use on human health, ecosystems, and freshwater resources. Efforts to combine both perspectives in a harmonized framework have been undertaken, but common challenges remain, such as pollution and ecosystems impacts modelling. To address these knowledge gaps, we build upon a water footprint assessment framework proposed at conceptual level to expand and operationalize relevant features. We propose two regionalized indicators, namely the water biodiversity footprint and the water resource footprint, that aggregate all impacts from toxic chemicals, nutrients, and water scarcity. The first impact indicator represents the impacts on freshwater ecosystems. The second one models the competition for freshwater resources and its consequences on freshwater availability. As part of the framework, we complement the two indicators with a sustainability assessment representing the levels above which ecological and human freshwater needs are no longer sustained. We test our approach assessing the sustainability of water use in the European Union in 2010. Water stress hampers 15 % of domestic, agricultural and industria</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footprint, population, consumption, technological;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European Union Regulation of Water Stress Risks — https://doi.org/10.1017/err.2023.76</w:t>
      </w:r>
    </w:p>
    <w:p>
      <w:pPr/>
      <w:r>
        <w:rPr>
          <w:b/>
        </w:rPr>
        <w:t>Shared claim-specific concepts:</w:t>
      </w:r>
      <w:r>
        <w:t xml:space="preserve"> water, level, based; EU scope visible. This is a provisional connection, not an outcome finding.</w:t>
      </w:r>
    </w:p>
    <w:p>
      <w:pPr>
        <w:pStyle w:val="SourceNote"/>
      </w:pPr>
      <w:r>
        <w:rPr>
          <w:b/>
        </w:rPr>
        <w:t>Available abstract (not full text):</w:t>
      </w:r>
      <w:r>
        <w:t xml:space="preserve"> Abstract Water stress is a growing concern in Europe, partly due to the changing climate context. Despite the cross-cutting impacts that water availability has on different areas under the competence of the European Union (EU), there is not currently a comprehensive and systematic legal framework addressing this issue. The purpose of this article is therefore to examine the EU legislation that concerns the measures aimed at mitigating these risks. To this purpose, it is first examined how droughts and water scarcity are framed within EU legal acts. Based on such an overview, the analysis is directed to the mechanisms developed at the EU level for monitoring, identifying and forecasting water stress risks, as well as the legal provisions relating to the planning tools. The remainder of the article is devoted to the regulation of preventative measures for water scarcity and drought risk reduction, following the water hierarchy resulting from COM(2007) 414.</w:t>
      </w:r>
    </w:p>
    <w:p>
      <w:pPr/>
      <w:r>
        <w:rPr>
          <w:b/>
        </w:rPr>
        <w:t>POSSIBLE 2022:</w:t>
      </w:r>
      <w:r>
        <w:t xml:space="preserve"> Analysis of the Water Footprint of Central and Eastern Europe Countries — https://doi.org/10.21697/seb.2022.27</w:t>
      </w:r>
    </w:p>
    <w:p>
      <w:pPr/>
      <w:r>
        <w:rPr>
          <w:b/>
        </w:rPr>
        <w:t>Shared claim-specific concepts:</w:t>
      </w:r>
      <w:r>
        <w:t xml:space="preserve"> water, footprint, production; EU scope visible. This is a provisional connection, not an outcome finding.</w:t>
      </w:r>
    </w:p>
    <w:p>
      <w:pPr>
        <w:pStyle w:val="SourceNote"/>
      </w:pPr>
      <w:r>
        <w:rPr>
          <w:b/>
        </w:rPr>
        <w:t>Available abstract (not full text):</w:t>
      </w:r>
      <w:r>
        <w:t xml:space="preserve"> The article presents an analysis of the water footprint of five Central and Eastern European countries, i.e. Poland, Slovakia, Lithuania, Ukraine and Belarus. The first three are members of the European Union, the other two are not. These countries also differ in terms of climate. The green, blue and grey water footprints of crop production, grazing, animal water supply, industrial production and domestic water supply are analysed. The per capita water footprint is also calculated. It is the highest for the countries of the former Soviet Union, that is Ukraine, Belarus and Lithuania, and half as low for Poland and Slovakia. In the case of virtual water, Poland dominates in the area of import, and Ukraine in export. The index of the net import of virtual water is unfavourable for Ukraine and Lithuania and is much more positive for Poland and Belarus. When calculated per capita, the net import of green virtual water is the highest for Belarus (340 m3/person/year) and Poland (148 m3/person/year). A positive value of this index was also recorded for Slovakia and negative for Lithuania and Ukraine (-282 m3/person/year). Taking into account the exposure of the southern Ukraine steppe to water stress, this is not a favourable situation for greater export of virtual water than its import.</w:t>
      </w:r>
    </w:p>
    <w:p>
      <w:pPr/>
      <w:r>
        <w:rPr>
          <w:b/>
        </w:rPr>
        <w:t>POSSIBLE 2022:</w:t>
      </w:r>
      <w:r>
        <w:t xml:space="preserve"> IoT-Based Solutions to Monitor Water Level, Leakage, and Motor Control for Smart Water Tanks — https://doi.org/10.3390/w14030309</w:t>
      </w:r>
    </w:p>
    <w:p>
      <w:pPr/>
      <w:r>
        <w:rPr>
          <w:b/>
        </w:rPr>
        <w:t>Shared claim-specific concepts:</w:t>
      </w:r>
      <w:r>
        <w:t xml:space="preserve"> water, level, population; EU scope not established. This is a provisional connection, not an outcome finding.</w:t>
      </w:r>
    </w:p>
    <w:p>
      <w:pPr>
        <w:pStyle w:val="SourceNote"/>
      </w:pPr>
      <w:r>
        <w:rPr>
          <w:b/>
        </w:rPr>
        <w:t>Available abstract (not full text):</w:t>
      </w:r>
      <w:r>
        <w:t xml:space="preserve"> Today, a large portion of the human population around the globe has no access to freshwater for drinking, cooking, and other domestic applications. Water resources in numerous countries are becoming scarce due to over urbanization, rapid industrial growth, and current global warming. Water is often stored in the aboveground or underground tanks. In developing countries, these tanks are maintained manually, and in some cases, water is wasted due to human negligence. In addition, water could also leak out from tanks and supply pipes due to the decayed infrastructure. To address these issues, researchers worldwide turned to the Internet-of-Things (IoT) technology to efficiently monitor water levels, detect leakage, and auto refill tanks whenever needed. Notably, this technology can also supply real-time feedback to end-users and other experts through a webpage or a smartphone. Literature reveals a plethora of review articles on smart water monitoring, including water quality, supply pipes leakage, and water waste recycling. However, none of the reviews focus on the IoT-based solution to monitor water level, detect water leakage, and auto control water pumps, especially at the induvial level that form a vast proportion of water consumers worldwide. To fill this gap in the literature, this study presents a review of IoT-controlled water storage tanks (IoT-WST). Some important contri</w:t>
      </w:r>
    </w:p>
    <w:p>
      <w:pPr/>
      <w:r>
        <w:rPr>
          <w:b/>
        </w:rPr>
        <w:t>POSSIBLE 2022:</w:t>
      </w:r>
      <w:r>
        <w:t xml:space="preserve"> A Water Level Measurement Approach Based on YOLOv5s — https://doi.org/10.3390/s22103714</w:t>
      </w:r>
    </w:p>
    <w:p>
      <w:pPr/>
      <w:r>
        <w:rPr>
          <w:b/>
        </w:rPr>
        <w:t>Shared claim-specific concepts:</w:t>
      </w:r>
      <w:r>
        <w:t xml:space="preserve"> water, level, based; EU scope not established. This is a provisional connection, not an outcome finding.</w:t>
      </w:r>
    </w:p>
    <w:p>
      <w:pPr>
        <w:pStyle w:val="SourceNote"/>
      </w:pPr>
      <w:r>
        <w:rPr>
          <w:b/>
        </w:rPr>
        <w:t>Available abstract (not full text):</w:t>
      </w:r>
      <w:r>
        <w:t xml:space="preserve"> Existing water gauge reading approaches based on image analysis have problems such as poor scene adaptability and weak robustness. Here, we proposed a novel water level measurement method based on deep learning (YOLOv5s, convolutional neural network) to overcome these problems. The proposed method uses the YOLOv5s to extract the water gauge area and all scale character areas in the original video image, uses image processing technology to identify the position of the water surface line, and then calculates the actual water level elevation. The proposed method is validated with a video monitoring station on a river in Beijing, and the results show that the systematic error of the proposed method is only 7.7 mm, the error is within 1 cm/the error is between 1 cm and 3 cm, and the proportion of the number of images is 95%/5% (daylight), 98%/2% (infrared lighting at night), 97%/2% (strong light), 45%/44% (transparent water body), 91%/9% (rainfall), and 90%/10% (water gauge is slightly dirty). The results demonstrate that the proposed method shows good performance in different scenes, and its effectiveness has been confirmed. At the same time, it has a strong robustness and provides a certain reference for the application of deep learning in the field of hydrological monitoring.</w:t>
      </w:r>
    </w:p>
    <w:p>
      <w:pPr/>
      <w:r>
        <w:rPr>
          <w:b/>
        </w:rPr>
        <w:t>POSSIBLE 2021:</w:t>
      </w:r>
      <w:r>
        <w:t xml:space="preserve"> A Review of Water Stress and Water Footprint Accounting — https://doi.org/10.3390/w13020201</w:t>
      </w:r>
    </w:p>
    <w:p>
      <w:pPr/>
      <w:r>
        <w:rPr>
          <w:b/>
        </w:rPr>
        <w:t>Shared claim-specific concepts:</w:t>
      </w:r>
      <w:r>
        <w:t xml:space="preserve"> water, footprint, production, consumption, use; EU scope not established. This is a provisional connection, not an outcome finding.</w:t>
      </w:r>
    </w:p>
    <w:p>
      <w:pPr>
        <w:pStyle w:val="SourceNote"/>
      </w:pPr>
      <w:r>
        <w:rPr>
          <w:b/>
        </w:rPr>
        <w:t>Available abstract (not full text):</w:t>
      </w:r>
      <w:r>
        <w:t xml:space="preserve"> Production and consumption activities deplete freshwater, generate water pollution and may further lead to water stress. The accurate measurement of water stress is a precondition for sustainable water management. This paper reviews the literature on physical water stress induced by blue and green water use and by water pollution. Specifically, we clarify several key concepts (i.e., water stress, scarcity, availability, withdrawal, consumption and the water footprint) for water stress evaluation, and review physical water stress indicators in terms of quantity and quality. Furthermore, we identify research gaps in physical water stress assessment, related to environmental flow requirements, return flows, outsourcing of water pollution and standardization of terminology and approaches. These research gaps can serve as venues for further research dealing with the evaluation and reduction of water stress.</w:t>
      </w:r>
    </w:p>
    <w:p>
      <w:pPr/>
      <w:r>
        <w:rPr>
          <w:b/>
        </w:rPr>
        <w:t>POSSIBLE 2021:</w:t>
      </w:r>
      <w:r>
        <w:t xml:space="preserve"> Possibilities of the Development of Edible Insect-Based Foods in Europe — https://doi.org/10.3390/foods10040766</w:t>
      </w:r>
    </w:p>
    <w:p>
      <w:pPr/>
      <w:r>
        <w:rPr>
          <w:b/>
        </w:rPr>
        <w:t>Shared claim-specific concepts:</w:t>
      </w:r>
      <w:r>
        <w:t xml:space="preserve"> population, production, consumption;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2020:</w:t>
      </w:r>
      <w:r>
        <w:t xml:space="preserve"> The Water Footprint of Global Food Production — https://doi.org/10.3390/w12102696</w:t>
      </w:r>
    </w:p>
    <w:p>
      <w:pPr/>
      <w:r>
        <w:rPr>
          <w:b/>
        </w:rPr>
        <w:t>Shared claim-specific concepts:</w:t>
      </w:r>
      <w:r>
        <w:t xml:space="preserve"> water, footprint, population, production, diets, use; EU scope not established. This is a provisional connection, not an outcome finding.</w:t>
      </w:r>
    </w:p>
    <w:p>
      <w:pPr>
        <w:pStyle w:val="SourceNote"/>
      </w:pPr>
      <w:r>
        <w:rPr>
          <w:b/>
        </w:rPr>
        <w:t>Available abstract (not full text):</w:t>
      </w:r>
      <w:r>
        <w:t xml:space="preserve"> Agricultural production is the main consumer of water. Future population growth, income growth, and dietary shifts are expected to increase demand for water. The paper presents a brief review of the water footprint of crop production and the sustainability of the blue water footprint. The estimated global consumptive (green plus blue) water footprint ranges from 5938 to 8508 km3/year. The water footprint is projected to increase by as much as 22% due to climate change and land use change by 2090. Approximately 57% of the global blue water footprint is shown to violate the environmental flow requirements. This calls for action to improve the sustainability of water and protect ecosystems that depend on it. Some of the measures include increasing water productivity, setting benchmarks, setting caps on the water footprint per river basin, shifting the diets to food items with low water requirements, and reducing food waste.</w:t>
      </w:r>
    </w:p>
    <w:p>
      <w:pPr>
        <w:pStyle w:val="Heading2"/>
      </w:pPr>
      <w:r>
        <w:t>822.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2024:</w:t>
      </w:r>
      <w:r>
        <w:t xml:space="preserve"> Stronger Member States for a Stronger European Union — https://doi.org/10.62733/2024.2.143-161</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Conservation needs and opportunities drive LIFE funding allocation for European birds — https://doi.org/10.1016/j.biocon.2024.110833</w:t>
      </w:r>
    </w:p>
    <w:p>
      <w:pPr/>
      <w:r>
        <w:rPr>
          <w:b/>
        </w:rPr>
        <w:t>Shared claim-specific concepts:</w:t>
      </w:r>
      <w:r>
        <w:t xml:space="preserve"> member, tend, but, funding, expected; EU scope visible. This is a provisional connection, not an outcome finding.</w:t>
      </w:r>
    </w:p>
    <w:p>
      <w:pPr>
        <w:pStyle w:val="SourceNote"/>
      </w:pPr>
      <w:r>
        <w:rPr>
          <w:b/>
        </w:rPr>
        <w:t>Available abstract (not full text):</w:t>
      </w:r>
      <w:r>
        <w:t xml:space="preserve"> Conservation resources are unevenly distributed among species and this can hamper conservation efforts. Previous research indicates that species popularity can be strongly associated with conservation funding allocation, suggesting conservation outcomes can be partly influenced by subjective human perceptions. We assessed the allocation of European Union LIFE projects targeting species conservation among European birds (548 species) and how it associates with species' conservation priorities, scientific knowledge availability, distribution, popularity and visual aesthetic attractiveness. We modelled how these factors relate to the probability that a species has received EU LIFE funding, and how many projects have targeted it. As expected given LIFE funding regulations, species listed in the EU Birds Directive Annex I are more likely to receive funding than non-listed species, and receive more projects. We also found that knowledge availability, presence in more EU member countries with access to LIFE funding, and higher conservation priority in Europe are positively associated with the probability of receiving funding, and the number of projects received. More popular species are less likely to receive conservation funding, but tend to receive more projects when allocated funding. Visual attractiveness was not associated with funding. These results suggest that pragmatic factor</w:t>
      </w:r>
    </w:p>
    <w:p>
      <w:pPr/>
      <w:r>
        <w:rPr>
          <w:b/>
        </w:rPr>
        <w:t>POSSIBLE 2024:</w:t>
      </w:r>
      <w:r>
        <w:t xml:space="preserve"> THE INFLUENCE OF EUROPEAN FISCAL POLICIES ON STRATEGIES FOR ATTRACTING EUROPEAN FUNDS – A COMPARATIVE ANALYSIS — https://doi.org/10.61846/cuji-ssh.2024.4.08</w:t>
      </w:r>
    </w:p>
    <w:p>
      <w:pPr/>
      <w:r>
        <w:rPr>
          <w:b/>
        </w:rPr>
        <w:t>Shared claim-specific concepts:</w:t>
      </w:r>
      <w:r>
        <w:t xml:space="preserve"> member, states, fund, commission, funding, framework; EU scope visible. This is a provisional connection, not an outcome finding.</w:t>
      </w:r>
    </w:p>
    <w:p>
      <w:pPr>
        <w:pStyle w:val="SourceNote"/>
      </w:pPr>
      <w:r>
        <w:rPr>
          <w:b/>
        </w:rPr>
        <w:t>Available abstract (not full text):</w:t>
      </w:r>
      <w:r>
        <w:t xml:space="preserve"> European fiscal policies significantly shape member states' strategies for attracting and utilising European funds, influencing the allocation of resources, compliance requirements, and fund accessibility. This article explores the comparative impact of these policies on fund attraction strategies across EU member states, focusing on how fiscal regulations either facilitate or restrict effective fund utilisation. Using a legislative comparative analysis alongside cause-effect methodology, this study examines variations in fiscal policy frameworks, compliance dynamics, and administrative capacities. Findings suggest that while aligned fiscal policies can foster efficiency and transparency, variations in national frameworks create disparities in fund attraction success, requiring adaptive strategies tailored to each member state. KEYWORDS: comparative analysis, european fiscal policies, EU member states, fiscal strategy, fund attraction, legislative impact. J.E.L. CLASSIFICATION: H77, H87, E62 1. INTRODUCTION European fiscal policies play a pivotal role in shaping the ability of member states to attract and utilise European funds, which are essential for financing local development, infrastructure, and economic growth. By setting overarching regulatory frameworks, the European Union (EU) aims to standardise fund accessibility and encourage fiscal responsibility across its member </w:t>
      </w:r>
    </w:p>
    <w:p>
      <w:pPr/>
      <w:r>
        <w:rPr>
          <w:b/>
        </w:rPr>
        <w:t>POSSIBLE 2023:</w:t>
      </w:r>
      <w:r>
        <w:t xml:space="preserve"> The impact of the European social fund on youth education and employment — https://doi.org/10.1016/j.seps.2023.101650</w:t>
      </w:r>
    </w:p>
    <w:p>
      <w:pPr/>
      <w:r>
        <w:rPr>
          <w:b/>
        </w:rPr>
        <w:t>Shared claim-specific concepts:</w:t>
      </w:r>
      <w:r>
        <w:t xml:space="preserve"> fund, funding, both; EU scope visible. This is a provisional connection, not an outcome finding.</w:t>
      </w:r>
    </w:p>
    <w:p>
      <w:pPr>
        <w:pStyle w:val="SourceNote"/>
      </w:pPr>
      <w:r>
        <w:rPr>
          <w:b/>
        </w:rPr>
        <w:t>Available abstract (not full text):</w:t>
      </w:r>
      <w:r>
        <w:t xml:space="preserve"> The effectiveness of the European Union's Cohesion Policy in reducing regional socio-economic gaps remains an open empirical issue, while evidence as to how the policy is affected by specific territorial factors and which social groups benefit most from it remains sparse. This article seeks to address this gap by disentangling the impact of the European Social Fund (ESF) on youth education and employment prospects. Drawing on macro-level data for the European NUTS-2 regions, we assess the impact that this fund has on different education-specific youth population shares and employment rates. In the case of education, we find that the receipt of funding is associated with a human capital polarization of regional populations. Specifically, we identify a positive impact of the ESF on population shares with lower-secondary and tertiary education, and a simultaneous negative impact on the share of those with upper-secondary education. In the case of employment, we find a positive response for youth of all education levels. A heterogeneity analysis indicates that both the education and employment responses of the youth population to the receipt of the ESF are strongly influenced by local specialization in high-skilled activities.</w:t>
      </w:r>
    </w:p>
    <w:p>
      <w:pPr/>
      <w:r>
        <w:rPr>
          <w:b/>
        </w:rPr>
        <w:t>POSSIBLE 2021:</w:t>
      </w:r>
      <w:r>
        <w:t xml:space="preserve"> Hydrogen in the Strategies of the European Union Member States — https://doi.org/10.24425/gsm.2021.138660</w:t>
      </w:r>
    </w:p>
    <w:p>
      <w:pPr/>
      <w:r>
        <w:rPr>
          <w:b/>
        </w:rPr>
        <w:t>Shared claim-specific concepts:</w:t>
      </w:r>
      <w:r>
        <w:t xml:space="preserve"> member, states, currently, but, sources, climate; EU scope visible. This is a provisional connection, not an outcome finding.</w:t>
      </w:r>
    </w:p>
    <w:p>
      <w:pPr>
        <w:pStyle w:val="SourceNote"/>
      </w:pPr>
      <w:r>
        <w:rPr>
          <w:b/>
        </w:rPr>
        <w:t>Available abstract (not full text):</w:t>
      </w:r>
      <w:r>
        <w:t xml:space="preserve"> Strategies and roadmaps are essential in areas that require long-term planning, such as the energy transition. Strategic plans can play an important role in developing visions for reducing CO2 emissions, developing renewable energy sources (RES) and hydrogen technologies. Hydrogen can be included in value chains in various sectors of the economy as raw material, emission-free fuel, or as an energy carrier and storage. The analysis of the future of hydrogen energy, which is an essential component of transforming the economy into an environmentally neutral one, is an integral part of the strategies of the European Union (EU) Member States. This article reviews the strategic documents of the EU countries in the field of a hydrogen economy. Currently, six EU Member States have approved the hydrogen strategy (Germany, France, the Netherlands, Portugal, Hungary, Czech Republic), and two of them have roadmaps (Spain, Finland). The others are working on their completion in 2021. EU countries have the possibility of energy transformation based on a hydrogen policy, including green hydrogen, within the framework of the European Green Deal, i.e. aiming for climate neutrality and creating a modern and environmentally friendly economy. By 2030, some of the countries plan to become a leader not only in the field of hydrogen production or RES development aimed at this process but also in the </w:t>
      </w:r>
    </w:p>
    <w:p>
      <w:pPr/>
      <w:r>
        <w:rPr>
          <w:b/>
        </w:rPr>
        <w:t>POSSIBLE 2020:</w:t>
      </w:r>
      <w:r>
        <w:t xml:space="preserve"> Overview of BIM integration into the Construction Sector in European Member States and European Union Acquis — https://doi.org/10.1088/1755-1315/410/1/012073</w:t>
      </w:r>
    </w:p>
    <w:p>
      <w:pPr/>
      <w:r>
        <w:rPr>
          <w:b/>
        </w:rPr>
        <w:t>Shared claim-specific concepts:</w:t>
      </w:r>
      <w:r>
        <w:t xml:space="preserve"> indicate, member, states, but, energy; EU scope visible. This is a provisional connection, not an outcome finding.</w:t>
      </w:r>
    </w:p>
    <w:p>
      <w:pPr>
        <w:pStyle w:val="SourceNote"/>
      </w:pPr>
      <w:r>
        <w:rPr>
          <w:b/>
        </w:rPr>
        <w:t>Available abstract (not full text):</w:t>
      </w:r>
      <w:r>
        <w:t xml:space="preserve"> Abstract The amount of information involved in any construction project and the necessity of control of time, cost and waste, has established Building Information Modelling (BIM) as an integral part of construction sector towards achieving adequate communication of information among various parties involved in construction projects. Moreover, it can be considered as a valuable tool for the optimum selection of materials, systems and design decisions, regarding not only the improve of a structure’s performance, but also in terms of reducing its carbon footprint during its life cycle. The study attempts to present the integration of BIM into the national legislation of European Member States, with a special focus on the energy related aspects of BIM analysis. This study performs an overview of the introduction of BIM into different aspects and requirements of the EU Member States building practices, through a comprehensive literature and legislation review of relative legislative documents of the construction sector. According to the findings of this overview study, the concept of BIM has already been incorporated in many aspects of the Acquis of EU Member States, which is recognized as a valuable tool to be exploited by the construction sector, however there is still room for development in this area. The study has revealed that especially in the energy assessment of the built e</w:t>
      </w:r>
    </w:p>
    <w:p>
      <w:pPr/>
      <w:r>
        <w:rPr>
          <w:b/>
        </w:rPr>
        <w:t>POSSIBLE 2020:</w:t>
      </w:r>
      <w:r>
        <w:t xml:space="preserve"> Scope and Exercise of the Exclusive Competences of the Member States of the European Union — https://doi.org/10.31743/recl.6056</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The process of European integration has introduced the Member States into a new legal reality. The existing exclusivity in the area of competence implementation has been replaced by a two-stage model of their exercise. The Member States, when conferring part of their supervisory powers, did not specify the scope of their own competences. The so-called European clauses were analysed in the Constitutions of selected Member States, which showed that they define the recipient of the conferral and, in a non-uniform manner, specify the subject of the conferral. The analysis of the indicated provisions clearly shows that the Constitutions of the Member States exclude full conferral of competences on the European Union. There is no specification of the scope of competences that may be conferred. However, this issue was addressed by Constitutional Courts of the Member States. The article refers to the judgements of the German Federal Constitutional Court and the Polish Constitutional Court. It has been shown that they equate exclusive competences of the Member States with the scope of the concept of constitutional identity reduced to basic principles of the state. The Court of Justice of the European Union analysed the scope of competences of both entities. The article presents the analysis of judgements on: entries in Civil Registry regarding transcription of surnames, the issue of rec</w:t>
      </w:r>
    </w:p>
    <w:p>
      <w:pPr/>
      <w:r>
        <w:rPr>
          <w:b/>
        </w:rPr>
        <w:t>POSSIBLE 2019:</w:t>
      </w:r>
      <w:r>
        <w:t xml:space="preserve"> Differentiation in the production potential and efficiency of farms in the member states of the European Union — https://doi.org/10.17221/378/2018-agricecon</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paper contains an evaluation of the differentiation of the production potential and efficiency of farms in the member states of the European Union in 2013-2016. To this end, a taxonomic method - Hellwig's development measure - was used. The study was based on data from the European Union Farm Accountancy Data Network (FADN). The study results indicate that member states such as the Netherlands, Denmark, Luxembourg, Belgium, the United Kingdom and Slovakia were characterised by the best agricultural production potential. The first four member states also showed the highest efficiency with regard to the utilisation of production factors. On the other hand, low and average potential and efficiency were characteristic of farms in most of the new member states.</w:t>
      </w:r>
    </w:p>
    <w:p>
      <w:pPr/>
      <w:r>
        <w:rPr>
          <w:b/>
        </w:rPr>
        <w:t>POSSIBLE 2019:</w:t>
      </w:r>
      <w:r>
        <w:t xml:space="preserve"> Analysis of the Energy Consumption Behavior of European RES Cooperative Members — https://doi.org/10.3390/en12060970</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REScoops are cooperatives of renewable energy producers and/or consumers that are being formed in the developing European Smart Grid. Today, there are more than 2397 REScoops with more than 650,000 members. Their development indicates the necessity of producing and consuming green energy, assists the fight against energy poverty, and reduces greenhouse gas emissions by utilizing smart management systems and self-consumption techniques. An essential objective of the H2020 REScoop Plus project is to stimulate better understanding and promote the cooperatives’ commitment to behavioral change. To achieve such a goal, this paper presents the methodology adopted to assess the energy-saving activities and behavior of the REScoops. In order to obtain relevant conclusions, a detailed statistical analysis was undertaken. Moreover, the analysis led to an effective classification of the various members, providing insights regarding their contribution to consumption reduction according to various specific characteristics. The statistical analysis showed that REScoop members contribute significantly to energy conservation and the reduction of harmful gas emissions, and subsequently, the majority of the energy efficiency (EE) interventions led to achieving more than 20% reductions. Specific practices, already adopted by the REScoops, lead to increased energy efficiency and environmental benef</w:t>
      </w:r>
    </w:p>
    <w:p>
      <w:pPr/>
      <w:r>
        <w:rPr>
          <w:b/>
        </w:rPr>
        <w:t>POSSIBLE 2019:</w:t>
      </w:r>
      <w:r>
        <w:t xml:space="preserve"> Implementing Green Infrastructure in Spatial Planning in Europe — https://doi.org/10.3390/land8040062</w:t>
      </w:r>
    </w:p>
    <w:p>
      <w:pPr/>
      <w:r>
        <w:rPr>
          <w:b/>
        </w:rPr>
        <w:t>Shared claim-specific concepts:</w:t>
      </w:r>
      <w:r>
        <w:t xml:space="preserve"> member, states, fund, funding, sources, climate; EU scope visible. This is a provisional connection, not an outcome finding.</w:t>
      </w:r>
    </w:p>
    <w:p>
      <w:pPr>
        <w:pStyle w:val="SourceNote"/>
      </w:pPr>
      <w:r>
        <w:rPr>
          <w:b/>
        </w:rPr>
        <w:t>Available abstract (not full text):</w:t>
      </w:r>
      <w:r>
        <w:t xml:space="preserve">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pPr>
        <w:pStyle w:val="Heading2"/>
      </w:pPr>
      <w:r>
        <w:t>823.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2023:</w:t>
      </w:r>
      <w:r>
        <w:t xml:space="preserve"> Famines in medieval and early modern Europe—Connecting climate and society — https://doi.org/10.1002/wcc.859</w:t>
      </w:r>
    </w:p>
    <w:p>
      <w:pPr/>
      <w:r>
        <w:rPr>
          <w:b/>
        </w:rPr>
        <w:t>Shared claim-specific concepts:</w:t>
      </w:r>
      <w:r>
        <w:t xml:space="preserve"> strong, climate, main, period; EU scope visible. This is a provisional connection, not an outcome finding.</w:t>
      </w:r>
    </w:p>
    <w:p>
      <w:pPr>
        <w:pStyle w:val="SourceNote"/>
      </w:pPr>
      <w:r>
        <w:rPr>
          <w:b/>
        </w:rPr>
        <w:t>Available abstract (not full text):</w:t>
      </w:r>
      <w:r>
        <w:t xml:space="preserve">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pPr/>
      <w:r>
        <w:rPr>
          <w:b/>
        </w:rPr>
        <w:t>POSSIBLE 2021:</w:t>
      </w:r>
      <w:r>
        <w:t xml:space="preserve"> Assessing the Economic Structure, Climate Change and Decarbonisation in Europe — https://doi.org/10.1007/s41748-021-00232-7</w:t>
      </w:r>
    </w:p>
    <w:p>
      <w:pPr/>
      <w:r>
        <w:rPr>
          <w:b/>
        </w:rPr>
        <w:t>Shared claim-specific concepts:</w:t>
      </w:r>
      <w:r>
        <w:t xml:space="preserve"> assuming, strong, climate, mitigation, emission, reduction; EU scope visible. This is a provisional connection, not an outcome finding.</w:t>
      </w:r>
    </w:p>
    <w:p>
      <w:pPr>
        <w:pStyle w:val="SourceNote"/>
      </w:pPr>
      <w:r>
        <w:rPr>
          <w:b/>
        </w:rPr>
        <w:t>Available abstract (not full text):</w:t>
      </w:r>
      <w:r>
        <w:t xml:space="preserve"> Abstract Anthropogenic greenhouse gas (GHG) emissions coming mainly from fossil fuel combustion for energy use are causing air temperature increases resulting in climate change. This study employs an environmentally extended input–output model to conduct an economy-wide assessment of GHG emissions in the European Union (EU). Model results indicate that the assumed growth of economic activity by 2030 will lead to a large increase in GHG emissions by 89%, assuming no technological change and no additional policy mitigation efforts. The electricity sector and agriculture create the highest direct and indirect GHG emissions per unit of economic output across the 27 EU member states (EU-27); for every 1-million-euro-increase in the final demand for the products and services of the electricity sector and agriculture, 2198 and 1410 additional tons of GHG emit, respectively. Regional climate projections under a low-decarbonisation pathway (RCP8.5), in accordance with our economic analysis, indicate a further increase of regional warming, combined with pronounced changes in the hydrological cycle. Contrariwise, following a strong mitigation pathway (RCP2.6) will result in warming levels lower than 1.5 °C with respect to the 1986–2005 reference period. Our findings reveal the importance of both direct and indirect contribution of economic sectors in the generation of GHG emissions, takin</w:t>
      </w:r>
    </w:p>
    <w:p>
      <w:pPr/>
      <w:r>
        <w:rPr>
          <w:b/>
        </w:rPr>
        <w:t>POSSIBLE 2021:</w:t>
      </w:r>
      <w:r>
        <w:t xml:space="preserve"> Emergent vulnerability to climate-driven disturbances in European forests — https://doi.org/10.1038/s41467-021-21399-7</w:t>
      </w:r>
    </w:p>
    <w:p>
      <w:pPr/>
      <w:r>
        <w:rPr>
          <w:b/>
        </w:rPr>
        <w:t>Shared claim-specific concepts:</w:t>
      </w:r>
      <w:r>
        <w:t xml:space="preserve"> climate, mitigation, strategies, reduction, period, show; EU scope visible. This is a provisional connection, not an outcome finding.</w:t>
      </w:r>
    </w:p>
    <w:p>
      <w:pPr>
        <w:pStyle w:val="SourceNote"/>
      </w:pPr>
      <w:r>
        <w:rPr>
          <w:b/>
        </w:rPr>
        <w:t>Available abstract (not full text):</w:t>
      </w:r>
      <w:r>
        <w:t xml:space="preserve"> Forest disturbance regimes are expected to intensify as Earth's climate changes. Quantifying forest vulnerability to disturbances and understanding the underlying mechanisms is crucial to develop mitigation and adaptation strategies. However, observational evidence is largely missing at regional to continental scales. Here, we quantify the vulnerability of European forests to fires, windthrows and insect outbreaks during the period 1979-2018 by integrating machine learning with disturbance data and satellite products. We show that about 33.4 billion tonnes of forest biomass could be seriously affected by these disturbances, with higher relative losses when exposed to windthrows (40%) and fires (34%) compared to insect outbreaks (26%). The spatial pattern in vulnerability is strongly controlled by the interplay between forest characteristics and background climate. Hotspot regions for vulnerability are located at the borders of the climate envelope, in both southern and northern Europe. There is a clear trend in overall forest vulnerability that is driven by a warming-induced reduction in plant defence mechanisms to insect outbreaks, especially at high latitudes.</w:t>
      </w:r>
    </w:p>
    <w:p>
      <w:pPr/>
      <w:r>
        <w:rPr>
          <w:b/>
        </w:rPr>
        <w:t>POSSIBLE 2020:</w:t>
      </w:r>
      <w:r>
        <w:t xml:space="preserve"> Future Climate Change in the European Alps — https://doi.org/10.1093/acrefore/9780190228620.013.767</w:t>
      </w:r>
    </w:p>
    <w:p>
      <w:pPr/>
      <w:r>
        <w:rPr>
          <w:b/>
        </w:rPr>
        <w:t>Shared claim-specific concepts:</w:t>
      </w:r>
      <w:r>
        <w:t xml:space="preserve"> strong, climate, only, emission, until, projections; EU scope visible. This is a provisional connection, not an outcome finding.</w:t>
      </w:r>
    </w:p>
    <w:p>
      <w:pPr>
        <w:pStyle w:val="SourceNote"/>
      </w:pPr>
      <w:r>
        <w:rPr>
          <w:b/>
        </w:rPr>
        <w:t>Available abstract (not full text):</w:t>
      </w:r>
      <w:r>
        <w:t xml:space="preserve"> Abstract The analysis of state-of-the-art regional climate projections indicates a number of robust changes of the climate of the European Alps by the end of this century. Among these are a temperature increase in all seasons and at all elevations and a significant decrease in natural snow cover. Precipitation changes, however, are more subtle and subject to larger uncertainties. While annual precipitation sums are projected to remain rather constant until the end of the century, winter precipitation is projected to increase. Summer precipitation changes will most likely be negative, but increases are possible as well and are covered by the model uncertainty range. Precipitation extremes are expected to intensify in all seasons. The projected changes by the end of the century considerably depend on the greenhouse-gas scenario assumed, with the high-end RCP8.5 scenario being associated with the most prominent changes. Until the middle of the 21st century, however, it is projected that climate change in the Alpine area will only slightly depend on the specific emission scenario. These results indicate that harmful weather events in the Alpine area are likely to intensify in future. This particularly refers to extreme precipitation events, which can trigger flash floods and gravitational mass movements (debris flows, landslides) and lead to substantial damage. Convective precipita</w:t>
      </w:r>
    </w:p>
    <w:p>
      <w:pPr/>
      <w:r>
        <w:rPr>
          <w:b/>
        </w:rPr>
        <w:t>POSSIBLE 2020:</w:t>
      </w:r>
      <w:r>
        <w:t xml:space="preserve"> Climate change fingerprints in recent European plant phenology — https://doi.org/10.1111/gcb.15000</w:t>
      </w:r>
    </w:p>
    <w:p>
      <w:pPr/>
      <w:r>
        <w:rPr>
          <w:b/>
        </w:rPr>
        <w:t>Shared claim-specific concepts:</w:t>
      </w:r>
      <w:r>
        <w:t xml:space="preserve"> strong, climate, only, period; EU scope visible. This is a provisional connection, not an outcome finding.</w:t>
      </w:r>
    </w:p>
    <w:p>
      <w:pPr>
        <w:pStyle w:val="SourceNote"/>
      </w:pPr>
      <w:r>
        <w:rPr>
          <w:b/>
        </w:rPr>
        <w:t>Available abstract (not full text):</w:t>
      </w:r>
      <w:r>
        <w:t xml:space="preserve"> A paper published in Global Change Biology in 2006 revealed that phenological responses in 1971-2000 matched the warming pattern in Europe, but a lack of chilling and adaptation in farming may have reversed these findings. Therefore, for 1951-2018 in a corresponding data set, we determined changes as linear trends and analysed their variation by plant traits/groups, across season and time as well as their attribution to warming following IPCC methodology. Although spring and summer phases in wild plants advanced less (maximum advances in 1978-2007), more (~90%) and more significant (~60%) negative trends were present, being stronger in early spring, at higher elevations, but smaller for nonwoody insect-pollinated species. These trends were strongly attributable to winter and spring warming. Findings for crop spring phases were similar, but were less pronounced. There were clearer and attributable signs for a delayed senescence in response to winter and spring warming. These changes resulted in a longer growing season, but a constant generative period in wild plants and a shortened one in agricultural crops. Phenology determined by farmers' decisions differed noticeably from the purely climatic driven phases with smaller percentages of advancing (~75%) trends, but farmers' spring activities were the only group with reinforced advancement, suggesting adaptation. Trends in farmers</w:t>
      </w:r>
    </w:p>
    <w:p>
      <w:pPr/>
      <w:r>
        <w:rPr>
          <w:b/>
        </w:rPr>
        <w:t>POSSIBLE 2020:</w:t>
      </w:r>
      <w:r>
        <w:t xml:space="preserve"> Climate change impacts on trends and extremes in future heating and cooling demands over Europe — https://doi.org/10.1016/j.enbuild.2020.110397</w:t>
      </w:r>
    </w:p>
    <w:p>
      <w:pPr/>
      <w:r>
        <w:rPr>
          <w:b/>
        </w:rPr>
        <w:t>Shared claim-specific concepts:</w:t>
      </w:r>
      <w:r>
        <w:t xml:space="preserve"> climate, two, emission, until; EU scope visible. This is a provisional connection, not an outcome finding.</w:t>
      </w:r>
    </w:p>
    <w:p>
      <w:pPr>
        <w:pStyle w:val="SourceNote"/>
      </w:pPr>
      <w:r>
        <w:rPr>
          <w:b/>
        </w:rPr>
        <w:t>Available abstract (not full text):</w:t>
      </w:r>
      <w:r>
        <w:t xml:space="preserve">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r>
        <w:rPr>
          <w:b/>
        </w:rPr>
        <w:t>POSSIBLE 2020:</w:t>
      </w:r>
      <w:r>
        <w:t xml:space="preserve"> EU Values Are Law, After All: Enforcing EU Values Through Systemic Infringement Actions by the European Commission and the Member States of the European Union — https://doi.org/10.1093/yel/yeaa012</w:t>
      </w:r>
    </w:p>
    <w:p>
      <w:pPr/>
      <w:r>
        <w:rPr>
          <w:b/>
        </w:rPr>
        <w:t>Shared claim-specific concepts:</w:t>
      </w:r>
      <w:r>
        <w:t xml:space="preserve"> action, after, two, show; EU scope visible. This is a provisional connection, not an outcome finding.</w:t>
      </w:r>
    </w:p>
    <w:p>
      <w:pPr>
        <w:pStyle w:val="SourceNote"/>
      </w:pPr>
      <w:r>
        <w:rPr>
          <w:b/>
        </w:rPr>
        <w:t>Available abstract (not full text):</w:t>
      </w:r>
      <w:r>
        <w:t xml:space="preserve"> Abstract Although compliance with the founding values is presumed in its law, the Union is now confronted with persistent disregard of these values in two Member States. If it ceases to be a union of Rule-of-Law-abiding democracies, the European Union (EU) is unthinkable. Purely political mechanisms to safeguard the Rule of Law, such as those in Article 7 Treaty of European Union (TEU), do not work. Worse still, their existence has disguised the fact that the violations of the values of Article 2 TEU are also violations of EU law. The legal mechanisms tried thus far, however, do not work either. The fundamental jurisprudence on judicial independence and irremovability under Article 19(1) TEU is a good start, but it has been unable to change the situation on the ground. Despite ten years of EU attempts at reining in Rule of Law violations and even as backsliding Member States have lost cases at the Court of Justice, illiberal regimes inside the EU have become more consolidated: the EU has been losing through winning. More creative work is needed to find ways to enforce the values of Article 2 TEU more effectively. Taking this insight, we propose to turn the EU into a militant democracy, able to defend its basic principles, by using the traditional tools for the enforcement of EU law in a novel manner. We demonstrate how the familiar infringement actions—both under Article 258 an</w:t>
      </w:r>
    </w:p>
    <w:p>
      <w:pPr/>
      <w:r>
        <w:rPr>
          <w:b/>
        </w:rPr>
        <w:t>POSSIBLE 2019:</w:t>
      </w:r>
      <w:r>
        <w:t xml:space="preserve"> Distribution trends of European dragonflies under climate change — https://doi.org/10.1111/ddi.12913</w:t>
      </w:r>
    </w:p>
    <w:p>
      <w:pPr/>
      <w:r>
        <w:rPr>
          <w:b/>
        </w:rPr>
        <w:t>Shared claim-specific concepts:</w:t>
      </w:r>
      <w:r>
        <w:t xml:space="preserve"> climate, only, main; EU scope visible. This is a provisional connection, not an outcome finding.</w:t>
      </w:r>
    </w:p>
    <w:p>
      <w:pPr>
        <w:pStyle w:val="SourceNote"/>
      </w:pPr>
      <w:r>
        <w:rPr>
          <w:b/>
        </w:rPr>
        <w:t>Available abstract (not full text):</w:t>
      </w:r>
      <w:r>
        <w:t xml:space="preserve">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r>
        <w:rPr>
          <w:b/>
        </w:rPr>
        <w:t>POSSIBLE 2019:</w:t>
      </w:r>
      <w:r>
        <w:t xml:space="preserve"> A comparison of low carbon investment needs between China and Europe in stringent climate policy scenarios — https://doi.org/10.1088/1748-9326/ab0dd8</w:t>
      </w:r>
    </w:p>
    <w:p>
      <w:pPr/>
      <w:r>
        <w:rPr>
          <w:b/>
        </w:rPr>
        <w:t>Shared claim-specific concepts:</w:t>
      </w:r>
      <w:r>
        <w:t xml:space="preserve"> strong, climate, two; EU scope visible. This is a provisional connection, not an outcome finding.</w:t>
      </w:r>
    </w:p>
    <w:p>
      <w:pPr>
        <w:pStyle w:val="SourceNote"/>
      </w:pPr>
      <w:r>
        <w:rPr>
          <w:b/>
        </w:rPr>
        <w:t>Available abstract (not full text):</w:t>
      </w:r>
      <w:r>
        <w:t xml:space="preserve"> Abstract The radical change in recent global climate governance calls for China and Europe to ramp up their efforts in leading the world to reach the long-term climate goals. By analyzing the results from the state-of-the-art global integrated assessment model, MESSAGEix-GLOBIOM, this paper aims to understand the future levels of financial investment needed for building and maintaining energy-related infrastructure in the two regions for fulfilling stringent targets consistent with ‘well below 2 °C’. The results indicate that a rapid upscaling and structural change of these investments towards decarbonization are necessitated by the climate stringent scenarios. China and Europe need to increase their low carbon investments by 65% and 38% in a scenario reaching the 2° target relative to their respective reference scenarios which assume no such target from 2016–2050. In a more stringent climate policy scenario of the 1.5° target, these investment needs will increase by 149% and 79% for China and Europe respectively. Among all the energy sectors, energy efficiency, renewable electricity generation and electricity transmission and distribution are the three largest investing targets for the two regions. However, those investments will not likely be realized without strong policy incentives. Implications for green finance and multilateral cooperation initiatives are discussed in the</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strong, climate, only, until, projections;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Industry Concentration in Europe and North America — https://doi.org/10.1787/2ff98246-en</w:t>
      </w:r>
    </w:p>
    <w:p>
      <w:pPr/>
      <w:r>
        <w:rPr>
          <w:b/>
        </w:rPr>
        <w:t>Shared claim-specific concepts:</w:t>
      </w:r>
      <w:r>
        <w:t xml:space="preserve"> two, period, clear; EU scope visible. This is a provisional connection, not an outcome finding.</w:t>
      </w:r>
    </w:p>
    <w:p>
      <w:pPr>
        <w:pStyle w:val="SourceNote"/>
      </w:pPr>
      <w:r>
        <w:rPr>
          <w:b/>
        </w:rPr>
        <w:t>Available abstract (not full text):</w:t>
      </w:r>
      <w:r>
        <w:t xml:space="preserve"> This report presents new evidence on industry concentration trends in Europe and in North America. It uses two novel data sources: representative firm-level concentration measures from the OECD MultiProd project, and business-group-level concentration measures using matched Orbis-Worldscope-Zephyr data. Based on the MultiProd data, it finds that between 2001 and 2012 the average industry across 10 European economies saw a 2-3-percentage-point increase in the share of the 10% largest companies in industry sales. Using the Orbis-Worldscope-Zephyr data, it documents a clear increase in industry concentration in Europe as well as in North America between 2000 and 2014 of the order of 4-8 percentage points for the average industry. Over the period, about 3 out of 4 (2-digit) industries in each region saw their concentration increase. The increase is observed for both manufacturing and non-financial services and is not driven by digital-intensive sectors.</w:t>
      </w:r>
    </w:p>
    <w:p>
      <w:pPr/>
      <w:r>
        <w:rPr>
          <w:b/>
        </w:rPr>
        <w:t>POSSIBLE 2018:</w:t>
      </w:r>
      <w:r>
        <w:t xml:space="preserve"> Explaining European fungal fruiting phenology with climate variability — https://doi.org/10.1002/ecy.2237</w:t>
      </w:r>
    </w:p>
    <w:p>
      <w:pPr/>
      <w:r>
        <w:rPr>
          <w:b/>
        </w:rPr>
        <w:t>Shared claim-specific concepts:</w:t>
      </w:r>
      <w:r>
        <w:t xml:space="preserve"> climate, two, main; EU scope visible. This is a provisional connection, not an outcome finding.</w:t>
      </w:r>
    </w:p>
    <w:p>
      <w:pPr>
        <w:pStyle w:val="SourceNote"/>
      </w:pPr>
      <w:r>
        <w:rPr>
          <w:b/>
        </w:rPr>
        <w:t>Available abstract (not full text):</w:t>
      </w:r>
      <w:r>
        <w:t xml:space="preserve"> Here we assess the impact of geographically dependent (latitude, longitude, and altitude) changes in bioclimatic (temperature, precipitation, and primary productivity) variability on fungal fruiting phenology across Europe. Two main nutritional guilds of fungi, saprotrophic and ectomycorrhizal, were further separated into spring and autumn fruiters. We used a path analysis to investigate how biogeographic patterns in fungal fruiting phenology coincided with seasonal changes in climate and primary production. Across central to northern Europe, mean fruiting varied by approximately 25 d, primarily with latitude. Altitude affected fruiting by up to 30 d, with spring delays and autumnal accelerations. Fruiting was as much explained by the effects of bioclimatic variability as by their large-scale spatial patterns. Temperature drove fruiting of autumnal ectomycorrhizal and saprotrophic groups as well as spring saprotrophic groups, while primary production and precipitation were major drivers for spring-fruiting ectomycorrhizal fungi. Species-specific phenology predictors were not stable, instead deviating from the overall mean. There is significant likelihood that further climatic change, especially in temperature, will impact fungal phenology patterns at large spatial scales. The ecological implications are diverse, potentially affecting food webs (asynchrony), nutrient cycling and</w:t>
      </w:r>
    </w:p>
    <w:p>
      <w:pPr>
        <w:pStyle w:val="Heading2"/>
      </w:pPr>
      <w:r>
        <w:t>824.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2019:</w:t>
      </w:r>
      <w:r>
        <w:t xml:space="preserve"> Heat stress risk in European dairy cattle husbandry under different climate change scenarios – uncertainties and potential impacts — https://doi.org/10.5194/esd-10-859-2019</w:t>
      </w:r>
    </w:p>
    <w:p>
      <w:pPr/>
      <w:r>
        <w:rPr>
          <w:b/>
        </w:rPr>
        <w:t>Shared claim-specific concepts:</w:t>
      </w:r>
      <w:r>
        <w:t xml:space="preserve"> presently, rate, about, balance; EU scope visible. This is a provisional connection, not an outcome finding.</w:t>
      </w:r>
    </w:p>
    <w:p>
      <w:pPr>
        <w:pStyle w:val="SourceNote"/>
      </w:pPr>
      <w:r>
        <w:rPr>
          <w:b/>
        </w:rPr>
        <w:t>Available abstract (not full text):</w:t>
      </w:r>
      <w:r>
        <w:t xml:space="preserve"> Abstract. In the last decades, an exceptional global warming trend was observed. Along with the temperature increase, modifications in the humidity and wind regime amplify the regional and local impacts on livestock husbandry. Direct impacts include the occurrence of climatic stress conditions. In Europe, cows are economically highly relevant and are mainly kept in naturally ventilated buildings that are most susceptible to climate change. The high-yielding cows are particularly vulnerable to heat stress. Modifications in housing management are the main measures taken to improve the ability of livestock to cope with these conditions. Measures are, however, typically taken in direct reaction to uncomfortable conditions instead of in anticipation of a long term risk for climatic stress. Moreover, measures that balance welfare, environmental and economic issues are barely investigated in the context of climate change and are thus almost not available for commercial farms. Quantitative analysis of the climate change impacts on the animal welfare and linked economic and environmental factors are rare. Therefore, we used a numerical modeling approach to estimate the future heat stress risk in such dairy cattle husbandry systems. The indoor climate was monitored inside three reference barns in Central Europe and in the Mediterranean region. An artificial neuronal network (ANN) was tra</w:t>
      </w:r>
    </w:p>
    <w:p>
      <w:pPr/>
      <w:r>
        <w:rPr>
          <w:b/>
        </w:rPr>
        <w:t>POSSIBLE 2019:</w:t>
      </w:r>
      <w:r>
        <w:t xml:space="preserve"> Control of hospital acquired infections and antimicrobial resistance in Europe: the way to go — https://doi.org/10.1007/s10354-018-0676-5</w:t>
      </w:r>
    </w:p>
    <w:p>
      <w:pPr/>
      <w:r>
        <w:rPr>
          <w:b/>
        </w:rPr>
        <w:t>Shared claim-specific concepts:</w:t>
      </w:r>
      <w:r>
        <w:t xml:space="preserve"> level, reflect, use, classical; EU scope visible. This is a provisional connection, not an outcome finding.</w:t>
      </w:r>
    </w:p>
    <w:p>
      <w:pPr>
        <w:pStyle w:val="SourceNote"/>
      </w:pPr>
      <w:r>
        <w:rPr>
          <w:b/>
        </w:rPr>
        <w:t>Available abstract (not full text):</w:t>
      </w:r>
      <w:r>
        <w:t xml:space="preserve"> One of the major challenges for modern medicine is our ageing society and an increased level of immunocompromised hosts. More invasive and intensive medical interventions will increase the number of healthcare-associated infections (HCAI), which means infection that occur because of or in concomitance, but in any case, during or after healthcare interventions. Such infections are caused usually endogenously from microbial components of the patient's own microbiome. Usually, the microorganisms of the microbiome show a natural resistance against a few antibiotics. Due to selection processes and epidemic transmission of specific clones, microorganisms that have become resistant to multiple antibiotics become part of the patient's microbiome and can subsequently cause infections that are difficult or even impossible to treat. The kind of infections that will occur depends on diverse factors. Already today, according to Cassini et al., 2,609,911 new cases of HCAI occur every year in the European Union and European Economic Area (EU/EEA). The cumulative burden of the six HAIs was estimated at 501 disability-adjusted life years (DALYs) per 100,000 general population each year in the EU/EEA. In a recent publication, 426,277 healthcare-associated infections caused by antimicrobial resistant microorganisms were calculated to occur in the EU every year. Attributable deaths in the EU due t</w:t>
      </w:r>
    </w:p>
    <w:p>
      <w:pPr/>
      <w:r>
        <w:rPr>
          <w:b/>
        </w:rPr>
        <w:t>POSSIBLE 2018:</w:t>
      </w:r>
      <w:r>
        <w:t xml:space="preserve"> Molecular Epidemiology and Evolution of European Bat Lyssavirus 2 — https://doi.org/10.3390/ijms19010156</w:t>
      </w:r>
    </w:p>
    <w:p>
      <w:pPr/>
      <w:r>
        <w:rPr>
          <w:b/>
        </w:rPr>
        <w:t>Shared claim-specific concepts:</w:t>
      </w:r>
      <w:r>
        <w:t xml:space="preserve"> presently, rate, level; EU scope visible. This is a provisional connection, not an outcome finding.</w:t>
      </w:r>
    </w:p>
    <w:p>
      <w:pPr>
        <w:pStyle w:val="SourceNote"/>
      </w:pPr>
      <w:r>
        <w:rPr>
          <w:b/>
        </w:rPr>
        <w:t>Available abstract (not full text):</w:t>
      </w:r>
      <w:r>
        <w:t xml:space="preserve"> Bat rabies cases in Europe are mainly attributed to two lyssaviruses, namely European Bat Lyssavirus 1 (EBLV-1) and European Bat Lyssavirus 2 (EBLV-2). Prior to the death of a bat worker in Finland in 1985, very few bat rabies cases were reported. Enhanced surveillance in the two subsequent years (1986–1987) identified 263 cases (more than a fifth of all reported cases to date). Between 1977 and 2016, 1183 cases of bat rabies were reported, with the vast majority (&gt;97%) being attributed to EBLV-1. In contrast, there have been only 39 suspected cases of EBLV-2, of which 34 have been confirmed by virus typing and presently restricted to just two bat species; Myotis daubentonii and Myotis dasycneme. The limited number of EBLV-2 cases in Europe prompted the establishment of a network of European reference laboratories to collate all available viruses and data. Despite the relatively low number of EBLV-2 cases, a large amount of anomalous data has been published in the scientific literature, which we have here reviewed and clarified. In this review, 29 EBLV-2 full genome sequences have been analysed to further our understanding of the diversity and molecular evolution of EBLV-2 in Europe. Analysis of the 29 complete EBLV-2 genome sequences clearly corroborated geographical relationships with all EBLV-2 sequences clustering at the country level irrespective of the gene studied. Furth</w:t>
      </w:r>
    </w:p>
    <w:p>
      <w:pPr/>
      <w:r>
        <w:rPr>
          <w:b/>
        </w:rPr>
        <w:t>POSSIBLE 2018:</w:t>
      </w:r>
      <w:r>
        <w:t xml:space="preserve"> Examining the Effects of Exogenous Ketones on Exercise Metabolism and Performance in Male Varsity Athletes — https://openalex.org/W2811360614</w:t>
      </w:r>
    </w:p>
    <w:p>
      <w:pPr/>
      <w:r>
        <w:rPr>
          <w:b/>
        </w:rPr>
        <w:t>Shared claim-specific concepts:</w:t>
      </w:r>
      <w:r>
        <w:t xml:space="preserve"> exogenous, reached, maintained; EU scope not established. This is a provisional connection, not an outcome finding.</w:t>
      </w:r>
    </w:p>
    <w:p>
      <w:pPr>
        <w:pStyle w:val="SourceNote"/>
      </w:pPr>
      <w:r>
        <w:rPr>
          <w:b/>
        </w:rPr>
        <w:t>Available abstract (not full text):</w:t>
      </w:r>
      <w:r>
        <w:t xml:space="preserve"> Previous research has shown that administration of exogenous acetoacetate (AcAc), beta-hydroxybutyrate (BHB) and glucose in a perfused rodent heart model can increase cardiac output while reducing oxygen uptake compared with glucose alone. With this apparent improvement in mechanical efficiency induced by AcAc and BHB, there is speculation that they may also enhance exercise performance in athletes. Although AcAc and BHB can be produced endogenously, exogenous BHB supplements have recently become commercially available in the form of ketone mineral salts (KS). Research to date has not found any performance enhancing effects of an acute dose of KS but the effects of more regular KS supplementation on whole body metabolism and exercise performance are unknown. Furthermore, medium-chain triglycerides (MCT) have recently been added to KS supplements, as the administration of KS plus MCT in rodents has been shown to increase blood BHB concentrations compared to KS administration alone. Therefore, the overall purpose of this study was to examine the hypotheses that a twice-daily KS plus MCT supplementation protocol would increase mechanical efficiency and improve exercise performance during a submaximal time to exhaustion (TTE) cycling protocol and a time trial (TT) cycling protocol in male varsity athletes. A single-blinded placebo-controlled crossover design was employed where part</w:t>
      </w:r>
    </w:p>
    <w:p>
      <w:pPr>
        <w:pStyle w:val="Heading2"/>
      </w:pPr>
      <w:r>
        <w:t>825.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2025:</w:t>
      </w:r>
      <w:r>
        <w:t xml:space="preserve"> An innovative methodology in analyzing certain pendulum oscillators — https://doi.org/10.1038/s41598-025-99645-x</w:t>
      </w:r>
    </w:p>
    <w:p>
      <w:pPr/>
      <w:r>
        <w:rPr>
          <w:b/>
        </w:rPr>
        <w:t>Shared claim-specific concepts:</w:t>
      </w:r>
      <w:r>
        <w:t xml:space="preserve"> issues, methodology, approach, assess; EU scope not established. This is a provisional connection, not an outcome finding.</w:t>
      </w:r>
    </w:p>
    <w:p>
      <w:pPr>
        <w:pStyle w:val="SourceNote"/>
      </w:pPr>
      <w:r>
        <w:rPr>
          <w:b/>
        </w:rPr>
        <w:t>Available abstract (not full text):</w:t>
      </w:r>
      <w:r>
        <w:t xml:space="preserve"> Pendulum oscillators study harmonic motion, energy conservation, and nonlinear dynamics, providing insights into mechanical vibrations, wave phenomena, weather patterns, and quantum mechanics, with real-world applications in engineering, seismology, and clock mechanisms. The present study addresses three distinct issues related to SPs; a charged magnetic spherical simple pendulum (SP), and a SP composed of heavy cylinders that roll freely in a horizontal plane, and a nonlinear model depicting the motion of a damped SP in a fluid flow. The SPs are analyzed via an innovative technology known as the non-perturbative approach (NPA), which is based on He's frequency formula (HFF). This advanced approach linearizes a nonlinear ordinary differential equation (ODE), enabling more straightforward analysis and solution. As-well known, implementing the NPA has several advantages, chief among them the removal of the constraints associated with managing Taylor expansions. Consequently, there have been no augmentations to the current restorative forces. Secondly, the novel method enables us to assess the stability criteria of the system away from the traditional perturbation techniques. The numerical comparison of nonlinear ODEs into linear ones using Mathematica Software (MS) is conducted to validate this innovative method. An analysis of the two responses demonstrates a strong concordance,</w:t>
      </w:r>
    </w:p>
    <w:p>
      <w:pPr/>
      <w:r>
        <w:rPr>
          <w:b/>
        </w:rPr>
        <w:t>POSSIBLE 2024:</w:t>
      </w:r>
      <w:r>
        <w:t xml:space="preserve"> The essence and content of scientific research methodology — https://doi.org/10.12775/jehs.2024.63.020</w:t>
      </w:r>
    </w:p>
    <w:p>
      <w:pPr/>
      <w:r>
        <w:rPr>
          <w:b/>
        </w:rPr>
        <w:t>Shared claim-specific concepts:</w:t>
      </w:r>
      <w:r>
        <w:t xml:space="preserve"> analyzes, content, methodology; EU scope not established. This is a provisional connection, not an outcome finding.</w:t>
      </w:r>
    </w:p>
    <w:p>
      <w:pPr>
        <w:pStyle w:val="SourceNote"/>
      </w:pPr>
      <w:r>
        <w:rPr>
          <w:b/>
        </w:rPr>
        <w:t>Available abstract (not full text):</w:t>
      </w:r>
      <w:r>
        <w:t xml:space="preserve"> The article analyzes the essence and content of the concepts "methodology", "methods of scientific research". The content of general and special methods of conducting scientific research is disclosed. It has been established that the methodology of scientific research is a conceptual statement of the content, purpose, and methods of research that allow obtaining the most objective, systematized and accurate information about phenomena and processes. The methodology systematizes the methods, methods and methods of learning objective reality, ensuring the reliability of the obtained knowledge about the object of research, their compliance with the subject of research, and is also a means of substantiating the results and conclusions of the conducted scientific research. The methods of scientific research mean a set of cognitive rules and techniques, implemented in the form of interconnected operations, designed to obtain new knowledge, consisting of three stages: research, proof and explanation. Methods are a set of techniques and methods of activity that allow a person or organization to achieve set goals. The choice of methods depends on the nature and content of the problem, the terms and resources allocated for its study, the amount and quality of available information. The authors characterized the content of empirical, theoretical and special methods of scientific research.</w:t>
      </w:r>
    </w:p>
    <w:p>
      <w:pPr/>
      <w:r>
        <w:rPr>
          <w:b/>
        </w:rPr>
        <w:t>POSSIBLE 2024:</w:t>
      </w:r>
      <w:r>
        <w:t xml:space="preserve"> A Hybrid Methodology for Gamification Element Ranking Based on Big Five Traits Using Neutrosophic MCDM: Personalized Approach for Educational Games — https://doi.org/10.1109/icca62237.2024.10927846</w:t>
      </w:r>
    </w:p>
    <w:p>
      <w:pPr/>
      <w:r>
        <w:rPr>
          <w:b/>
        </w:rPr>
        <w:t>Shared claim-specific concepts:</w:t>
      </w:r>
      <w:r>
        <w:t xml:space="preserve"> five, design, methodology, approach, framework; EU scope not established. This is a provisional connection, not an outcome finding.</w:t>
      </w:r>
    </w:p>
    <w:p>
      <w:pPr>
        <w:pStyle w:val="SourceNote"/>
      </w:pPr>
      <w:r>
        <w:rPr>
          <w:b/>
        </w:rPr>
        <w:t>Available abstract (not full text):</w:t>
      </w:r>
      <w:r>
        <w:t xml:space="preserve"> In the domain of game design, comprehending players' personality traits is pivotal for crafting engaging and immersive gaming experiences. This paper presents a novel hybrid methodology for ranking gamification elements based on the Big Five Personality Traits, employing neutrosophic Multiple Criteria Decision Making (MCDM). The Big Five model encompassing openness, conscientiousness, extraversion, agreeableness, and neuroticism provides a comprehensive framework for analyzing personality variations. By exploring the interplay between these traits and gamification elements, designers can tailor gaming experiences to individual preferences, thereby enhancing player engagement. The methodology systematically ranks gamification elements according to users' scores on each personality trait, facilitating a personalized learning environment. Utilizing neutrosophic MCDM, which adeptly addresses decision-making under uncertainty and indeterminacy, this approach enables the optimization of game element selection. The time complexity of the proposed methodology ensures the methodology is scalable and efficient for large datasets, maintaining performance while delivering personalized experiences. This paper establishes a direct mapping between the Big Five traits and game elements, identifying the most suitable elements for each user. By incorporating neutrosophic decision-making, the pro</w:t>
      </w:r>
    </w:p>
    <w:p>
      <w:pPr/>
      <w:r>
        <w:rPr>
          <w:b/>
        </w:rPr>
        <w:t>POSSIBLE 2023:</w:t>
      </w:r>
      <w:r>
        <w:t xml:space="preserve"> Analyzing YouTube Content: Methodological Considerations for Technical Communication Research — https://doi.org/10.1145/3615335.3623005</w:t>
      </w:r>
    </w:p>
    <w:p>
      <w:pPr/>
      <w:r>
        <w:rPr>
          <w:b/>
        </w:rPr>
        <w:t>Shared claim-specific concepts:</w:t>
      </w:r>
      <w:r>
        <w:t xml:space="preserve"> methodological, content, approach; EU scope not established. This is a provisional connection, not an outcome finding.</w:t>
      </w:r>
    </w:p>
    <w:p>
      <w:pPr>
        <w:pStyle w:val="SourceNote"/>
      </w:pPr>
      <w:r>
        <w:rPr>
          <w:b/>
        </w:rPr>
        <w:t>Available abstract (not full text):</w:t>
      </w:r>
      <w:r>
        <w:t xml:space="preserve"> The YouTube platform plays a vital role in contemporary technical communication as a central warehouse of technical instructions. Though several studies have explored the importance of specific videos, creators, and communities, it is also necessary to study the platform with a wider, data-driven lens in order to consider rhetorical strategies across channels and communities. But while this relationship between close and distant reading has been applied successfully to text-focused platforms, YouTube's multimodality leads to challenges of scale and categorization for researchers taking a data-driven approach. This paper presents methodological insights from a study sampling and analyzing 300 YouTube videos. The authors reflect on the methodological challenges and propose potential solutions.</w:t>
      </w:r>
    </w:p>
    <w:p>
      <w:pPr/>
      <w:r>
        <w:rPr>
          <w:b/>
        </w:rPr>
        <w:t>POSSIBLE 2023:</w:t>
      </w:r>
      <w:r>
        <w:t xml:space="preserve"> Methodology for Analyzing Qualitative Data in Multiple Languages — https://doi.org/10.1097/nnr.0000000000000673</w:t>
      </w:r>
    </w:p>
    <w:p>
      <w:pPr/>
      <w:r>
        <w:rPr>
          <w:b/>
        </w:rPr>
        <w:t>Shared claim-specific concepts:</w:t>
      </w:r>
      <w:r>
        <w:t xml:space="preserve"> content, methodology, developed; EU scope not established. This is a provisional connection, not an outcome finding.</w:t>
      </w:r>
    </w:p>
    <w:p>
      <w:pPr>
        <w:pStyle w:val="SourceNote"/>
      </w:pPr>
      <w:r>
        <w:rPr>
          <w:b/>
        </w:rPr>
        <w:t>Available abstract (not full text):</w:t>
      </w:r>
      <w:r>
        <w:t xml:space="preserve"> BACKGROUND: Translation strategies are commonly used for qualitative interview data to bridge language barriers. Inconsistent translation of interviews can lead to conceptual inequivalence, where meanings of participants' experiences are distorted, threatening scientific rigor. OBJECTIVES: Our objective is to describe a systematic method developed to analyze multilingual, qualitative interview data while maintaining the original language of the transcripts. METHODS: A literature review of translation strategies, cross-language, and multilingual qualitative research was conducted. Combined with criteria for qualitative content analysis and trustworthiness, the methodology was developed and used for a qualitative descriptive study. RESULTS: The study had interview data in both English and Spanish. The research team consisted of both native Spanish and English speakers, who were grouped based on language. Verbatim transcription of data occurred in the original languages. All codes were kept in English, allowing the research team to view the data set as a whole. Two researchers within each group coded each transcript independently before reaching a consensus. The entire research team discussed all transcripts, and finally, major themes were determined. Participants' quotes remained in the original language for publication, with an English translation included when needed. DISCUSSIO</w:t>
      </w:r>
    </w:p>
    <w:p>
      <w:pPr/>
      <w:r>
        <w:rPr>
          <w:b/>
        </w:rPr>
        <w:t>POSSIBLE 2023:</w:t>
      </w:r>
      <w:r>
        <w:t xml:space="preserve"> Analyzing the capacity to initiate transformative change: a methodology for assessing biodiversity strategies — https://doi.org/10.1007/s10531-023-02660-5</w:t>
      </w:r>
    </w:p>
    <w:p>
      <w:pPr/>
      <w:r>
        <w:rPr>
          <w:b/>
        </w:rPr>
        <w:t>Shared claim-specific concepts:</w:t>
      </w:r>
      <w:r>
        <w:t xml:space="preserve"> methodology, first, dimensions, assessment; EU scope visible. This is a provisional connection, not an outcome finding.</w:t>
      </w:r>
    </w:p>
    <w:p>
      <w:pPr>
        <w:pStyle w:val="SourceNote"/>
      </w:pPr>
      <w:r>
        <w:rPr>
          <w:b/>
        </w:rPr>
        <w:t>Available abstract (not full text):</w:t>
      </w:r>
      <w:r>
        <w:t xml:space="preserve"> Abstract The new IPBES work programme “assessment of transformative change” aims to identify factors in human society—behavioural, social, cultural dimensions, among others—that may be leveraged to bring about transformative change. In this context and based on its scientific recommendations, the third French National Strategy for Biodiversity for 2030 (SNB3), published in 2022, aims to contribute to the implementation of France’s international commitments under the Convention on Biological Diversity and the EU’s Biodiversity Strategy for 2030. We carried out a critical assessment of the capacity of the first version of SNB3 to initiate transformative change. Firstly, we describe a two-step assessment methodology for determining the leverage potential of the strategy’s measures, based on a robust and replicable independent scientific audit and a multi-criteria analysis. Secondly, we present the main results of the assessment using the SNB3 as a case example. We confirm the scientific and practical relevance of this type of exercise for policy makers, for establishing strategies that are part of a transition process allowing for real transformative change in society. By analysing the measures and ranking them from most to least efficient, this study reveals the strengths and weaknesses of the strategy by anticipating what should have and may not have an impact, while highlightin</w:t>
      </w:r>
    </w:p>
    <w:p>
      <w:pPr/>
      <w:r>
        <w:rPr>
          <w:b/>
        </w:rPr>
        <w:t>POSSIBLE 2021:</w:t>
      </w:r>
      <w:r>
        <w:t xml:space="preserve"> METHODOLOGY OF ANALYSIS OF THE CONTENT OF ELECTRONIC MEDIA — https://doi.org/10.32782/2224-6282/176-25</w:t>
      </w:r>
    </w:p>
    <w:p>
      <w:pPr/>
      <w:r>
        <w:rPr>
          <w:b/>
        </w:rPr>
        <w:t>Shared claim-specific concepts:</w:t>
      </w:r>
      <w:r>
        <w:t xml:space="preserve"> content, issues, methodology, first, second; EU scope not established. This is a provisional connection, not an outcome finding.</w:t>
      </w:r>
    </w:p>
    <w:p>
      <w:pPr>
        <w:pStyle w:val="SourceNote"/>
      </w:pPr>
      <w:r>
        <w:rPr>
          <w:b/>
        </w:rPr>
        <w:t>Available abstract (not full text):</w:t>
      </w:r>
      <w:r>
        <w:t xml:space="preserve"> In the conditions of modern information society, the analysis of the flow of media information is of particular importance. Therefore, the issues of content analysis, which is based on the conversion of qualitative data into digital format in order to obtain information processing capabilities using technologies of big-data analytics and artificial intelligence approaches, are especially relevant. This study summarized the views on the use of content analysis and proposed a methodology for analyzing the content of electronic media for targeting and determining preferences for the content of publications. For this purpose, were proposed were proposed a conceptual scheme for conducting content analysis, which consists of 5 stages. The first stage consists of creating and updating a full-text database on a daily basis by automated data collection and retrieval of content from media websites (web scraping). The second stage involves using of modules for determining useful content (parsing) and its subsequent storage in the database. The quantitative analysis stage is especially important when generalization, aggregation of results, or to calculate the frequency of words (frequency analysis), categories, tags and expressions, as well as their joint use in the text. The purpose of qualitative analysis is to reduce the material so that the main content remains. Similarly, qualitative </w:t>
      </w:r>
    </w:p>
    <w:p>
      <w:pPr/>
      <w:r>
        <w:rPr>
          <w:b/>
        </w:rPr>
        <w:t>POSSIBLE 2021:</w:t>
      </w:r>
      <w:r>
        <w:t xml:space="preserve"> Abusive supervision: a content analysis of theory and methodology — https://doi.org/10.1108/cms-01-2021-0017</w:t>
      </w:r>
    </w:p>
    <w:p>
      <w:pPr/>
      <w:r>
        <w:rPr>
          <w:b/>
        </w:rPr>
        <w:t>Shared claim-specific concepts:</w:t>
      </w:r>
      <w:r>
        <w:t xml:space="preserve"> methodological, content, issues, design, methodology, approach; EU scope not established. This is a provisional connection, not an outcome finding.</w:t>
      </w:r>
    </w:p>
    <w:p>
      <w:pPr>
        <w:pStyle w:val="SourceNote"/>
      </w:pPr>
      <w:r>
        <w:rPr>
          <w:b/>
        </w:rPr>
        <w:t>Available abstract (not full text):</w:t>
      </w:r>
      <w:r>
        <w:t xml:space="preserve"> Purpose Despite recent organizational behavior studies have witnessed considerable progress in abusive supervision research; some demerits for both theory and methodology still remain in the past years. To clarify the current state of knowledge in the field, this study aims to analyze the current state of theories and methods on abusive supervision and provides a detailed future research agenda. Design/methodology/approach This paper conducted a literature review for both theory and methodology of the abusive supervision research using a content analysis of 134 publications. Findings For the theory part, this paper summarized the theories that had been applied to explain the relationship between abusive supervision and its consequences as well as antecedents. For the methodology part, this paper outlined some critical issues regarding country of origin, research design, measurement, analysis strategy and also summarized with a discussion of the relationship between methodological issues and article impact. Finally, this paper concluded by presenting an agenda for future abusive supervision research regarding both theory and methodology. Originality/value First, this paper summarizes the main theories, antecedents and consequences often used in abusive supervision research to allow scholars to carry out theoretically driven research investigating abusive supervision in the futur</w:t>
      </w:r>
    </w:p>
    <w:p>
      <w:pPr>
        <w:pStyle w:val="Heading2"/>
      </w:pPr>
      <w:r>
        <w:t>826.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2018:</w:t>
      </w:r>
      <w:r>
        <w:t xml:space="preserve"> Seabird sentinels: The barometer for island conservation in a changing world — https://openalex.org/W2810691331</w:t>
      </w:r>
    </w:p>
    <w:p>
      <w:pPr/>
      <w:r>
        <w:rPr>
          <w:b/>
        </w:rPr>
        <w:t>Shared claim-specific concepts:</w:t>
      </w:r>
      <w:r>
        <w:t xml:space="preserve"> barometer, take, consideration, affect; EU scope not established. This is a provisional connection, not an outcome finding.</w:t>
      </w:r>
    </w:p>
    <w:p>
      <w:pPr>
        <w:pStyle w:val="SourceNote"/>
      </w:pPr>
      <w:r>
        <w:rPr>
          <w:b/>
        </w:rPr>
        <w:t>Available abstract (not full text):</w:t>
      </w:r>
      <w:r>
        <w:t xml:space="preserve">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pStyle w:val="Heading2"/>
      </w:pPr>
      <w:r>
        <w:t>827.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2024:</w:t>
      </w:r>
      <w:r>
        <w:t xml:space="preserve"> Evaluation of the European Society of Cardiology Risk Assessment Score in Incident Systemic Sclerosis‐Associated Pulmonary Arterial Hypertension — https://doi.org/10.1002/acr.25328</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OBJECTIVE: Patients with pulmonary arterial hypertension (PAH) may be stratified as low, intermediate, or high risk of 1-year mortality. In 2022, the European Society of Cardiology (ESC) updated and simplified its risk stratification tool, based on three variables: World Health Organization functional class, serum N-terminal pro-brain type natriuretic peptide and six-minute walk distance, applied at follow-up visits, intended to guide therapy over time. METHODS: We applied the 2022 ESC risk assessment tool at baseline and follow-up (within 2 years) to a multinational incident cohort of systemic sclerosis-associated PAH (SSc-PAH). Kaplan-Meier curves, Cox hazards regression, and accelerated failure time models were used to evaluate survival by risk score. RESULTS: At baseline (n = 260), the majority of SSc-PAH (72.2%) were graded as intermediate risk of death according to the 2022 tool. At follow-up, according to 2022 tool, half (55.5%) of the cohort were classified as low or intermediate-low risk. The 2022 risk model at follow-up was able to differentiate survival between risk strata. All three individual parameters (World Health Organization functional class, N-terminal pro-brain type natriuretic peptide, six-minute walk distance) were significantly associated with mortality at baseline and/or follow-up. CONCLUSION: The 2022 ESC risk assessment strategy applied at baseline and</w:t>
      </w:r>
    </w:p>
    <w:p>
      <w:pPr/>
      <w:r>
        <w:rPr>
          <w:b/>
        </w:rPr>
        <w:t>POSSIBLE 2024:</w:t>
      </w:r>
      <w:r>
        <w:t xml:space="preserve"> Multi-level learning for systemic transformation: Experiences from an expedition in North Mid Sweden — https://doi.org/10.1016/j.envsci.2024.103740</w:t>
      </w:r>
    </w:p>
    <w:p>
      <w:pPr/>
      <w:r>
        <w:rPr>
          <w:b/>
        </w:rPr>
        <w:t>Shared claim-specific concepts:</w:t>
      </w:r>
      <w:r>
        <w:t xml:space="preserve"> based, systemic, approach; EU scope visible. This is a provisional connection, not an outcome finding.</w:t>
      </w:r>
    </w:p>
    <w:p>
      <w:pPr>
        <w:pStyle w:val="SourceNote"/>
      </w:pPr>
      <w:r>
        <w:rPr>
          <w:b/>
        </w:rPr>
        <w:t>Available abstract (not full text):</w:t>
      </w:r>
      <w:r>
        <w:t xml:space="preserve"> Learning is often a component, and sometimes an explicit goal, of sustainability transition projects. Despite a growing interest in designing, facilitating, and evaluating such exploratory initiatives with respect to their systemic, less work has focused on how such initiatives support learning and capacity-building among its partaking actors and institutions including building experimental governance capacity. In this paper, we aim to better understand how exploratory and experimental initiatives with transformative sustainability ambitions relate to and influence their partaking actors and institutions. We draw from the North Mid Sweden Challenge Lab, an initiative to adapt, test and learn a governance approach to navigate complex sustainability challenges and transformations. It was part of a high impact action within a pilot for regional industrial transition framed around experiments in governance and policy by the European Commission and Organisation for Economic Co-operation and Development, where peer-learnings by and between regions was stated as an explicit goal. We focus on the kind of learning and knowledge creation processes that occur in these open-ended and multi-levelled social interaction processes. In this paper, we empirically engage with such learning processes with a focus on governance capacity, based on direct experiences from its participating actors and</w:t>
      </w:r>
    </w:p>
    <w:p>
      <w:pPr/>
      <w:r>
        <w:rPr>
          <w:b/>
        </w:rPr>
        <w:t>POSSIBLE 2024:</w:t>
      </w:r>
      <w:r>
        <w:t xml:space="preserve"> Challenges in assessing and managing multi-hazard risks: A European stakeholders perspective — https://doi.org/10.1016/j.envsci.2024.103774</w:t>
      </w:r>
    </w:p>
    <w:p>
      <w:pPr/>
      <w:r>
        <w:rPr>
          <w:b/>
        </w:rPr>
        <w:t>Shared claim-specific concepts:</w:t>
      </w:r>
      <w:r>
        <w:t xml:space="preserve"> based, assessment, guiding, framework; EU scope visible. This is a provisional connection, not an outcome finding.</w:t>
      </w:r>
    </w:p>
    <w:p>
      <w:pPr>
        <w:pStyle w:val="SourceNote"/>
      </w:pPr>
      <w:r>
        <w:rPr>
          <w:b/>
        </w:rPr>
        <w:t>Available abstract (not full text):</w:t>
      </w:r>
      <w:r>
        <w:t xml:space="preserve"> The latest evidence suggests that multi-hazards and their interrelationships (e.g., triggering, compound, and consecutive hazards) are becoming more frequent across Europe, underlying a need for resilience building by moving from single-hazard-focused to multi-hazard risk assessment and management. Although significant advancements were made in our understanding of these events, mainstream practice is still focused on risks due to single hazards (e.g., flooding, earthquakes, droughts), with a limited understanding of the stakeholder needs on the ground. To overcome this limitation, this paper sets out to understand the challenges for moving towards multi-hazard risk management through the perspective of European stakeholders. Based on five workshops across different European pilots (Danube Region, Veneto Region, Scandinavia, North Sea, and Canary Islands) and an expert workshop, we identify five prime challenges: i) governance, ii) knowledge of multi-hazards and multi-risks, iii) existing approaches to disaster risk management, iv) translation of science to policy and practice, and v) lack of data. These challenges are inherently linked and cannot be tackled in isolation with path dependency posing a significant hurdle in transitioning from single- to multi-hazard risk management. Going forward, we identify promising approaches for overcoming some of the challenges, including e</w:t>
      </w:r>
    </w:p>
    <w:p>
      <w:pPr/>
      <w:r>
        <w:rPr>
          <w:b/>
        </w:rPr>
        <w:t>POSSIBLE 2024:</w:t>
      </w:r>
      <w:r>
        <w:t xml:space="preserve"> Identifying entry points for adaptive governance in peri-urban Chennai (India): a multi-dimensional, multi-level, and multi-scalar approach — https://doi.org/10.3389/frsc.2024.1368240</w:t>
      </w:r>
    </w:p>
    <w:p>
      <w:pPr/>
      <w:r>
        <w:rPr>
          <w:b/>
        </w:rPr>
        <w:t>Shared claim-specific concepts:</w:t>
      </w:r>
      <w:r>
        <w:t xml:space="preserve"> based, approach, framework; EU scope not established. This is a provisional connection, not an outcome finding.</w:t>
      </w:r>
    </w:p>
    <w:p>
      <w:pPr>
        <w:pStyle w:val="SourceNote"/>
      </w:pPr>
      <w:r>
        <w:rPr>
          <w:b/>
        </w:rPr>
        <w:t>Available abstract (not full text):</w:t>
      </w:r>
      <w:r>
        <w:t xml:space="preserve"> Governing transitions have assumed increasing significance in managing change with respect to climate change and rapid periurbanization. In this respect, evidence from sustainability transitions research in South Asia stipulates the need for institutional innovations that are suitable to the governance context, which is characterized by a fuzzy field of “speculative frontiers,” and strong hierarchically structured mechanisms. This paper focuses on Chennai, India to ascertain the potentials of “adaptive governance” in this periurban region of the Global South. We approach this by (a) defining the periurban space from a bio-regional, socio-ecological systems perspective, (b) complementing it with a zonal classification considering disaster and climate change risks, and (c) presenting an adaptive governance framework. Based on analyzing existing governance structures, the paper discusses identified syndromes, synergistic potentials and activities for adaptive governance, especially highlighting water and agroecology-related pathways. Our integrated analytical approach is (a) multi-dimensional deploying the adaptive governance framework, (b) multi-level considering local, intermediate and state governance, and (c) multi-scalar applying macro, meso and micro scales. The implications underscore that transformative interventions, sooner or later, will have to challenge the system that</w:t>
      </w:r>
    </w:p>
    <w:p>
      <w:pPr/>
      <w:r>
        <w:rPr>
          <w:b/>
        </w:rPr>
        <w:t>POSSIBLE 2023:</w:t>
      </w:r>
      <w:r>
        <w:t xml:space="preserve"> Conceptual models of drought risks for Europe: a step towards a systemic perspective on drought — https://doi.org/10.5194/egusphere-egu23-7991</w:t>
      </w:r>
    </w:p>
    <w:p>
      <w:pPr/>
      <w:r>
        <w:rPr>
          <w:b/>
        </w:rPr>
        <w:t>Shared claim-specific concepts:</w:t>
      </w:r>
      <w:r>
        <w:t xml:space="preserve"> based, systemic, assessment, factors; EU scope visible. This is a provisional connection, not an outcome finding.</w:t>
      </w:r>
    </w:p>
    <w:p>
      <w:pPr>
        <w:pStyle w:val="SourceNote"/>
      </w:pPr>
      <w:r>
        <w:rPr>
          <w:b/>
        </w:rPr>
        <w:t>Available abstract (not full text):</w:t>
      </w:r>
      <w:r>
        <w:t xml:space="preserve"> In recent years, research on drought risk has expanded to include multiple types of drought hazards, various exposed elements and a multitude of factors that determine the vulnerability of a given system or sector. This has resulted in a call from the scientific community to adopt a systemic risk perspective on drought. However, a thorough understanding of how drought risks manifest, cascade and interact across different systems and sectors is still lacking, and methodological guidance on how to analyse and represent these interdependencies does not yet exist. In order to explore these gaps, we have developed conceptual models of drought risks for key selected systems and sectors in the European Union. For each system and sector considered (rain fed and irrigated agricultural systems, forest ecosystems, freshwater ecosystems, public water supply, inland water transport and the energy sector), a conceptual model was constructed to depict how drivers and root causes interact to create drought risk. The models are based on the impact chains methodology and are informed by literature review and multiple expert consultations (including a series of validation workshops). Subsequently, the system-specific models were used to build an overarching conceptual model of the critical interdependencies that exist between all the systems and sectors considered. The analysis has revealed that,</w:t>
      </w:r>
    </w:p>
    <w:p>
      <w:pPr/>
      <w:r>
        <w:rPr>
          <w:b/>
        </w:rPr>
        <w:t>POSSIBLE 2023:</w:t>
      </w:r>
      <w:r>
        <w:t xml:space="preserve"> Toward a framework for systemic multi-hazard and multi-risk assessment and management — https://doi.org/10.1016/j.isci.2023.106736</w:t>
      </w:r>
    </w:p>
    <w:p>
      <w:pPr/>
      <w:r>
        <w:rPr>
          <w:b/>
        </w:rPr>
        <w:t>Shared claim-specific concepts:</w:t>
      </w:r>
      <w:r>
        <w:t xml:space="preserve"> systemic, assessment, framework; EU scope not established. This is a provisional connection, not an outcome finding.</w:t>
      </w:r>
    </w:p>
    <w:p>
      <w:pPr>
        <w:pStyle w:val="SourceNote"/>
      </w:pPr>
      <w:r>
        <w:rPr>
          <w:b/>
        </w:rPr>
        <w:t>Available abstract (not full text):</w:t>
      </w:r>
      <w:r>
        <w:t xml:space="preserve"> In our increasingly interconnected world, natural hazards and their impacts spread across geographical, administrative, and sectoral boundaries. Owing to the interrelationships between multi-hazards and socio-economic dimensions, the impacts of these types of events can surmount those of multiple single hazards. The complexities involved in tackling multi-hazards and multi-risks hinder a more holistic and integrative perspective and make it difficult to identify overarching dimensions important for assessment and management purposes. We contribute to this discussion by building on systemic risk research, especially the focus on interconnectedness, and suggest ways forward for an integrated multi-hazard and multi-risk framework that should be beneficial in real-world applications. In this article, we propose a six-step framework for analyzing and managing risk across a spectrum ranging from single-to multi- and systemic risk.</w:t>
      </w:r>
    </w:p>
    <w:p>
      <w:pPr/>
      <w:r>
        <w:rPr>
          <w:b/>
        </w:rPr>
        <w:t>POSSIBLE 2021:</w:t>
      </w:r>
      <w:r>
        <w:t xml:space="preserve"> You’ll never work alone: A systemic assessment of the European Arrest Warrant and judicial independence — https://doi.org/10.54648/cola2021047</w:t>
      </w:r>
    </w:p>
    <w:p>
      <w:pPr/>
      <w:r>
        <w:rPr>
          <w:b/>
        </w:rPr>
        <w:t>Shared claim-specific concepts:</w:t>
      </w:r>
      <w:r>
        <w:t xml:space="preserve"> based, systemic, assessment, framework; EU scope visible. This is a provisional connection, not an outcome finding.</w:t>
      </w:r>
    </w:p>
    <w:p>
      <w:pPr>
        <w:pStyle w:val="SourceNote"/>
      </w:pPr>
      <w:r>
        <w:rPr>
          <w:b/>
        </w:rPr>
        <w:t>Available abstract (not full text):</w:t>
      </w:r>
      <w:r>
        <w:t xml:space="preserve"> The adage is that the European Arrest Warrant (EAW) is built on the principle of mutual trust: the presumption that Member States comply with fundamental rights save in exceptional circumstances. However, the very existence of the EAW rests on the proper interpretation and application of fundamental rights standards, and on sincere cooperation between judicial authorities.With that in mind, the present article gives a systemic analysis of the EAW. After outlining the key features of its functioning, the paper discusses the system of exceptions to surrender: mandatory and optional grounds for refusal in the EAW Framework Decision (FD), the fundamental rights exception, and cases of invalidity. As the EAW is based on automaticity, the exceptions define the traits of its identity. The article’s conclusions reveal the importance of sincere cooperation to strengthen mutual trust, with judicial independence as an essential precondition. The article’s comprehensive assessment offers an original contribution to the debate about judicial independence in EU law, the operation of the EAW and its role in the wider context of the Union as a legal order.</w:t>
      </w:r>
    </w:p>
    <w:p>
      <w:pPr/>
      <w:r>
        <w:rPr>
          <w:b/>
        </w:rPr>
        <w:t>POSSIBLE 2021:</w:t>
      </w:r>
      <w:r>
        <w:t xml:space="preserve"> Multi-Actor Governance for a Circular Economy in the Agri-Food Sector: Bio-Districts — https://doi.org/10.3390/su13094718</w:t>
      </w:r>
    </w:p>
    <w:p>
      <w:pPr/>
      <w:r>
        <w:rPr>
          <w:b/>
        </w:rPr>
        <w:t>Shared claim-specific concepts:</w:t>
      </w:r>
      <w:r>
        <w:t xml:space="preserve"> multi-actor, approach, factors, principles; EU scope visible. This is a provisional connection, not an outcome finding.</w:t>
      </w:r>
    </w:p>
    <w:p>
      <w:pPr>
        <w:pStyle w:val="SourceNote"/>
      </w:pPr>
      <w:r>
        <w:rPr>
          <w:b/>
        </w:rPr>
        <w:t>Available abstract (not full text):</w:t>
      </w:r>
      <w:r>
        <w:t xml:space="preserve"> The transition of the European agri-food sector towards a sustainable production and consumption model is a key element of the Green Deal. The new European “Farm to Fork” strategy aims to make the food system fair, healthy, and environmentally friendly. The consolidation and development of the organic model are two of the main objectives. In Italy, this development can be achieved through the Bio-District model. This model, which was born in the last ten years in Italy, is characterized by innovative multi-actor governance. From an explorative perspective, this study analyses the background literature on Bio-Districts and the context of the development of the Etruscan Roman Bio-District to understand the potential and the factors that allow the application of the principles of the Circular Economy. It focuses on multiple comparative analyses by using a qualitative–quantitative approach. The analysis of the context highlights the potential for expansion linked to an integrated short supply chain through three scenarios.</w:t>
      </w:r>
    </w:p>
    <w:p>
      <w:pPr>
        <w:pStyle w:val="Heading2"/>
      </w:pPr>
      <w:r>
        <w:t>828.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2023:</w:t>
      </w:r>
      <w:r>
        <w:t xml:space="preserve"> Predictive factors of long‐term follow‐up attendance in very long‐term childhood cancer survivors — https://doi.org/10.1002/cncr.34944</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Long-term follow-up (LTFU) clinics have been developed but only some childhood cancer survivors (CCS) attend long-term follow-up (LTFU). OBJECTIVE: To identify factors that influence LTFU attendance. METHODS: Five-year CCS treated for a solid tumor or lymphoma in Gustave Roussy before 2000, included in the FCCSS cohort (French Childhood Cancer Survivor Study), aged &gt;18 years and alive at the date of the LTFU Clinic opening (January 2012) were invited to a LTFU visit. Factors associated with attendance at the LTFU clinic between 2012 and 2020 were estimated using logistic regression analyses. Analyses included different types of factors: clinical (tumor characteristics, cancer treatments, late effects), medical (medical expenses were used as a proxy of survivor's health status), social (deprivation index based on census-tract data relating to income, educational level, proportion of blue-collar workers, and unemployed people living in the area of residence), and spatial (distance to the LTFU clinic). RESULTS: Among 2341 CCS contacted (55% males, mean age at study, 45 years; SD ± 10 years; mean age at diagnosis, 6 years; SD ± 5 years), 779 (33%) attended at least one LTFU visit. Initial cancer-related factors associated with LTFU visit attendance were: treatment with both radiotherapy and chemotherapy (odds ratio [OR], 4.02; 95% CI, 2.11-7.70), bone sarcoma (OR, 2.43;</w:t>
      </w:r>
    </w:p>
    <w:p>
      <w:pPr/>
      <w:r>
        <w:rPr>
          <w:b/>
        </w:rPr>
        <w:t>POSSIBLE 2022:</w:t>
      </w:r>
      <w:r>
        <w:t xml:space="preserve"> Long-Term Effects in Structures: background and recent developments — https://doi.org/10.21203/rs.3.rs-2009060/v1</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Abstract The article presents overview of selected long-term effects in civil-engineering structures. Those effects are usually neglected in standard engineering practice, but in some cases can be very important for mechanical resistance and safety of the structures. Main aspects of these phenomena are discussed, with three illustrative examples which accentuated why is important to take them into account.</w:t>
      </w:r>
    </w:p>
    <w:p>
      <w:pPr/>
      <w:r>
        <w:rPr>
          <w:b/>
        </w:rPr>
        <w:t>POSSIBLE 2020:</w:t>
      </w:r>
      <w:r>
        <w:t xml:space="preserve"> Adapting the Multilingual Assessment Instrument for Narratives (MAIN) to Torwali — https://doi.org/10.21248/zaspil.64.2020.583</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Torwali, a Dardic language of the Indo-Aryan family spoken in the District Swat in Pakistan, is an endangered language that lacks a literary tradition. This paper gives a background on the Torwali language and people, and describes the development of an orthography for Torwali and the establishment of Torwali-medium schools by the local organization Idara Baraye Taleem-o-Taraqi ‘institute for education and development’ (IBT). Finally, the process of adapting the Multilingual Assessment Instruments for Narratives (MAIN) to Torwali is outlined.</w:t>
      </w:r>
    </w:p>
    <w:p>
      <w:pPr/>
      <w:r>
        <w:rPr>
          <w:b/>
        </w:rPr>
        <w:t>POSSIBLE 2020:</w:t>
      </w:r>
      <w:r>
        <w:t xml:space="preserve"> Digital transformation: theoretical backgrounds of digital change — https://doi.org/10.15611/ms.2019.4.05</w:t>
      </w:r>
    </w:p>
    <w:p>
      <w:pPr/>
      <w:r>
        <w:rPr>
          <w:b/>
        </w:rPr>
        <w:t>Shared claim-specific concepts:</w:t>
      </w:r>
      <w:r>
        <w:t xml:space="preserve"> gives, background, main, trends, world; EU scope not established. This is a provisional connection, not an outcome finding.</w:t>
      </w:r>
    </w:p>
    <w:p>
      <w:pPr>
        <w:pStyle w:val="SourceNote"/>
      </w:pPr>
      <w:r>
        <w:rPr>
          <w:b/>
        </w:rPr>
        <w:t>Available abstract (not full text):</w:t>
      </w:r>
      <w:r>
        <w:t xml:space="preserve"> The purpose of this paper is a review of the existing deﬁnitions of digital transformation (abbrev. DT) and to structure its implications for new business models and implementation activities. This article was inspired by literature review whose main aim was to provide insight into the understanding of the theoretical background of digital transformation by means of the digitization and current megatrends in the VUCA world. The author gives examples, completes the literature research and shows the theoretical aspects of concepts, as well briefly analyzes the trends concerning DT. The article starts from definitions of DT, through digital readiness, to efficiency in the DT area. The main findings are that the approach for the structured digitization of business models is expanding, several excellence models have been developed over the past few years, and the implementation model for DT becomes a widely known concept. The author offers a clear deﬁnition, which corresponds to phases for DT of business models using a Digital Capability Maturity Models overview. Moreover, this paper is the author’s declaration of further DT’s research in its practical dimension</w:t>
      </w:r>
    </w:p>
    <w:p>
      <w:pPr/>
      <w:r>
        <w:rPr>
          <w:b/>
        </w:rPr>
        <w:t>POSSIBLE 2020:</w:t>
      </w:r>
      <w:r>
        <w:t xml:space="preserve"> Theoretical background — https://doi.org/10.4324/9781003018353-2</w:t>
      </w:r>
    </w:p>
    <w:p>
      <w:pPr/>
      <w:r>
        <w:rPr>
          <w:b/>
        </w:rPr>
        <w:t>Shared claim-specific concepts:</w:t>
      </w:r>
      <w:r>
        <w:t xml:space="preserve"> gives, background, main, factors; EU scope visible. This is a provisional connection, not an outcome finding.</w:t>
      </w:r>
    </w:p>
    <w:p>
      <w:pPr>
        <w:pStyle w:val="SourceNote"/>
      </w:pPr>
      <w:r>
        <w:rPr>
          <w:b/>
        </w:rPr>
        <w:t>Available abstract (not full text):</w:t>
      </w:r>
      <w:r>
        <w:t xml:space="preserve"> This chapter gives an overview of the main literature used to form the theoretical background of this book. Being a small state, Lithuania is guided by a foreign policy that is characteristic to this category of states. The typical security and foreign policy strategies of small states discussed in this chapter will later serve to analyse the extent to which Lithuania’s foreign policy has conformed to the typical role of small states in international politics. Also discussed are the classic and modern dilemmas of structure and agent in international politics. These concepts help us to understand the role of the agent (President Grybauskaitė) and the opportunities to operate in the international system. Finally, this chapter examines the importance of leaders in international politics. The psychological factors and the behaviour of political leaders are embedded in foreign policy analysis, as it can assist in clarifying why certain agents make particular decisions, and how that may change a state’s foreign policy course and even international structures.</w:t>
      </w:r>
    </w:p>
    <w:p>
      <w:pPr/>
      <w:r>
        <w:rPr>
          <w:b/>
        </w:rPr>
        <w:t>POSSIBLE 2020:</w:t>
      </w:r>
      <w:r>
        <w:t xml:space="preserve"> Long-Term Characterization of Submicron Atmospheric Particles in an Urban Background Site in Southern Italy — https://doi.org/10.3390/atmos11040334</w:t>
      </w:r>
    </w:p>
    <w:p>
      <w:pPr/>
      <w:r>
        <w:rPr>
          <w:b/>
        </w:rPr>
        <w:t>Shared claim-specific concepts:</w:t>
      </w:r>
      <w:r>
        <w:t xml:space="preserve"> background, main, trends, long-term; EU scope visible. This is a provisional connection, not an outcome finding.</w:t>
      </w:r>
    </w:p>
    <w:p>
      <w:pPr>
        <w:pStyle w:val="SourceNote"/>
      </w:pPr>
      <w:r>
        <w:rPr>
          <w:b/>
        </w:rPr>
        <w:t>Available abstract (not full text):</w:t>
      </w:r>
      <w:r>
        <w:t xml:space="preserve"> Continuous measurements of particle number size distributions in the size range from 10 nm to 800 nm were performed from 2015 to 2019 at the ECO Environmental-Climate Observatory of Lecce (Global Atmosphere Watch Programme/Aerosol, Clouds and Trace Gases Research Infrastructure (GAW/ACTRIS) regional station). The main objectives of this work were to investigate the daily, weekly and seasonal trends of particle number concentrations and their dependence on meteorological parameters gathering information on potential sources. The highest total number concentrations were observed during autumn-winter with average values nearly twice as high as in summer. More than 52% of total particle number concentration consisted of Aitken mode (20 nm &lt; particle diameter (Dp) &lt; 100 nm) particles followed by accumulation (100 nm &lt; Dp &lt; 800 nm) and nucleation (10 nm &lt; Dp &lt; 20 nm) modes representing, respectively, 27% and 21% of particles. The total number concentration was usually significantly higher during workdays than during weekends/holidays in all years, showing a trend likely correlated with local traffic activities. The number concentration of each particle mode showed a characteristic daily variation that was different in cold and warm seasons. The highest concentrations of the Aitken and accumulation particle mode were observed in the morning and the late evening, during typical rush ho</w:t>
      </w:r>
    </w:p>
    <w:p>
      <w:pPr/>
      <w:r>
        <w:rPr>
          <w:b/>
        </w:rPr>
        <w:t>POSSIBLE 2020:</w:t>
      </w:r>
      <w:r>
        <w:t xml:space="preserve"> Downscaling of Long-Term Global Scenarios to Regions with a Forest Sector Model — https://doi.org/10.3390/f11050500</w:t>
      </w:r>
    </w:p>
    <w:p>
      <w:pPr/>
      <w:r>
        <w:rPr>
          <w:b/>
        </w:rPr>
        <w:t>Shared claim-specific concepts:</w:t>
      </w:r>
      <w:r>
        <w:t xml:space="preserve"> background, factors, long-term, national; EU scope not established. This is a provisional connection, not an outcome finding.</w:t>
      </w:r>
    </w:p>
    <w:p>
      <w:pPr>
        <w:pStyle w:val="SourceNote"/>
      </w:pPr>
      <w:r>
        <w:rPr>
          <w:b/>
        </w:rPr>
        <w:t>Available abstract (not full text):</w:t>
      </w:r>
      <w:r>
        <w:t xml:space="preserve"> Research Highlights: Long-term global scenarios give insights on how social and economic developments and international agreements may impact land use, trade, product markets, and carbon balances. They form a valuable basis for forming national forest policies. Many aspects related to long-term management of forests and consequences for biodiversity and ecosystem services can only be addressed at regional and landscape levels. In order to be attended to in the policy process, there is a need for a method that downscales national scenarios to these finer levels. Background and Objectives: Regional framework conditions depend on management activities in the country as a whole. The aim of this study is to evaluate the use of a forest sector model (FSM) as a method for downscaling national scenarios results to regional level. The national FSM takes the global scenario data (e.g., harvest level and market prices over time) and solves the national problem. The result for the region of interest is taken as framework conditions for the regional study. Materials and Methods: Two different specifications are tested. One lets product volumes and prices represent endogenous variables in the FSM model. The other takes volumes and prices from the global scenario as exogenous parameters. The first specification attains a maximum net social payoff whereas the second specification means that ne</w:t>
      </w:r>
    </w:p>
    <w:p>
      <w:pPr/>
      <w:r>
        <w:rPr>
          <w:b/>
        </w:rPr>
        <w:t>POSSIBLE 2019:</w:t>
      </w:r>
      <w:r>
        <w:t xml:space="preserve"> Macroeconomic background — https://doi.org/10.1787/b7d2e31f-en</w:t>
      </w:r>
    </w:p>
    <w:p>
      <w:pPr/>
      <w:r>
        <w:rPr>
          <w:b/>
        </w:rPr>
        <w:t>Shared claim-specific concepts:</w:t>
      </w:r>
      <w:r>
        <w:t xml:space="preserve"> gives, background, main, trends; EU scope not established. This is a provisional connection, not an outcome finding.</w:t>
      </w:r>
    </w:p>
    <w:p>
      <w:pPr>
        <w:pStyle w:val="SourceNote"/>
      </w:pPr>
      <w:r>
        <w:rPr>
          <w:b/>
        </w:rPr>
        <w:t>Available abstract (not full text):</w:t>
      </w:r>
      <w:r>
        <w:t xml:space="preserve"> This chapter gives an overview of the main macroeconomic trends up until 2018.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pPr/>
      <w:r>
        <w:rPr>
          <w:b/>
        </w:rPr>
        <w:t>POSSIBLE 2019:</w:t>
      </w:r>
      <w:r>
        <w:t xml:space="preserve"> Long-term medical cannabis use and risk factors for diversion: Report on physician's guidance and patients’ behaviour — https://doi.org/10.1017/s1478951519000348</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OBJECTIVES: Various jurisdictions have legalized cannabis for medical purposes. As with all psychoactive medications, medical cannabis carries a risk of diversion and accidental ingestion. These risks may be particularly high among long-term medical cannabis patients as safety practices may become less salient to patients once the treatment becomes part of everyday life. The current study examines whether patients who have used medical cannabis for longer periods differ from those who have used for shorter periods in terms of sociodemographic background and other key aspects of medical cannabis use. Furthermore, the study examines the relationship between length of medical cannabis treatment and risk factors related to storage and diversion. Finally, the study examines the extent to which oncologists provide information to their patients about safe storage and disposal. METHODS: One hundred twenty-one medical cannabis oncology patients were interviewed face-to-face and 55 oncologists participated in a survey about safe storage and disposal practices related to medical cannabis. RESULTS: Length of medical cannabis treatment was related to administration by smoking and using higher monthly dosages. In terms of risk for unsafe storage and diversion, length of medical cannabis was positively associated with using cannabis outside the home and having been asked to give away medical </w:t>
      </w:r>
    </w:p>
    <w:p>
      <w:pPr/>
      <w:r>
        <w:rPr>
          <w:b/>
        </w:rPr>
        <w:t>POSSIBLE 2018:</w:t>
      </w:r>
      <w:r>
        <w:t xml:space="preserve"> Macroeconomic background — https://doi.org/10.1787/tax_pol-2018-4-en</w:t>
      </w:r>
    </w:p>
    <w:p>
      <w:pPr/>
      <w:r>
        <w:rPr>
          <w:b/>
        </w:rPr>
        <w:t>Shared claim-specific concepts:</w:t>
      </w:r>
      <w:r>
        <w:t xml:space="preserve"> gives, background, main, trends; EU scope not established. This is a provisional connection, not an outcome finding.</w:t>
      </w:r>
    </w:p>
    <w:p>
      <w:pPr>
        <w:pStyle w:val="SourceNote"/>
      </w:pPr>
      <w:r>
        <w:rPr>
          <w:b/>
        </w:rPr>
        <w:t>Available abstract (not full text):</w:t>
      </w:r>
      <w:r>
        <w:t xml:space="preserve"> This chapter gives an overview of the main macroeconomic trends up until 2017.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pPr>
        <w:pStyle w:val="Heading2"/>
      </w:pPr>
      <w:r>
        <w:t>829.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crucial, current;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2022:</w:t>
      </w:r>
      <w:r>
        <w:t xml:space="preserve"> Unsettling the Coloniality of Foresight — https://doi.org/10.4324/9781003199816-10</w:t>
      </w:r>
    </w:p>
    <w:p>
      <w:pPr/>
      <w:r>
        <w:rPr>
          <w:b/>
        </w:rPr>
        <w:t>Shared claim-specific concepts:</w:t>
      </w:r>
      <w:r>
        <w:t xml:space="preserve"> foresight, designed, systems; EU scope not established. This is a provisional connection, not an outcome finding.</w:t>
      </w:r>
    </w:p>
    <w:p>
      <w:pPr>
        <w:pStyle w:val="SourceNote"/>
      </w:pPr>
      <w:r>
        <w:rPr>
          <w:b/>
        </w:rPr>
        <w:t>Available abstract (not full text):</w:t>
      </w:r>
      <w:r>
        <w:t xml:space="preserve"> The practice of foresight is not neutral. It is conditioned by society’s cultural values, its economic systems, and its capacity for collective imagination. Pursuing rigid frames of progress forces people to bend their choices, their perspectives, and their sense of selves to fit those rigid frames, and therefore reduce the breadth of their collective humanity to templates that are designed and understood by a privileged few. This chapter discusses the practice of decoloniality in foresight that interrogates and repairs the deep systemic levels of oppressions that have marginalised and minoritised so many. It requires a consideration of justice in the governance of futures so that we are not locking those that are excluded from these conversations into future indebtedness or inequity. It ensures the responsibilities of intended and unintended consequences of actions in the short and long term are embedded in design, decision-making and governance processes.</w:t>
      </w:r>
    </w:p>
    <w:p>
      <w:pPr/>
      <w:r>
        <w:rPr>
          <w:b/>
        </w:rPr>
        <w:t>POSSIBLE 2022:</w:t>
      </w:r>
      <w:r>
        <w:t xml:space="preserve"> Analysis and foresight of the European Union - Mercosur Association Agreement — https://doi.org/10.33960/issn-e.1885-9119.dtff04en</w:t>
      </w:r>
    </w:p>
    <w:p>
      <w:pPr/>
      <w:r>
        <w:rPr>
          <w:b/>
        </w:rPr>
        <w:t>Shared claim-specific concepts:</w:t>
      </w:r>
      <w:r>
        <w:t xml:space="preserve"> foresight, following, current; EU scope visible. This is a provisional connection, not an outcome finding.</w:t>
      </w:r>
    </w:p>
    <w:p>
      <w:pPr>
        <w:pStyle w:val="SourceNote"/>
      </w:pPr>
      <w:r>
        <w:rPr>
          <w:b/>
        </w:rPr>
        <w:t>Available abstract (not full text):</w:t>
      </w:r>
      <w:r>
        <w:t xml:space="preserve"> After a negotiation that has been ongoing for more than two decades, the “agreement in principle” between the European Union and Mercosur regarding the trade pillar, announced in June 2019, has not been confirmed. Moreover, in the current context, the perspectives that are outlined in both blocks are not auspicious, for various reasons that are analyzed. In this context, the text will analyzes the following points: i) in the absence of a specific Treaty in progress of application, it informs about the negotiations of the trade pillar, its current status, the contents of the principle of agreement signed in 2019, the possibilities of closure and ratification by the two parties and the main expected impacts; ii) the potential implications of this agreement for both the European Union and Mercosur, in particular with regard to its foreseeable consequences for the strategic autonomy of both regions and for the strengthening of multilateralism at present; and iii) the expected impacts of the COVID-19 pandemic and the eventual contribution of this Association Agreement in the new scenarios. The text closes with a brief overview.</w:t>
      </w:r>
    </w:p>
    <w:p>
      <w:pPr/>
      <w:r>
        <w:rPr>
          <w:b/>
        </w:rPr>
        <w:t>POSSIBLE 2022:</w:t>
      </w:r>
      <w:r>
        <w:t xml:space="preserve"> Emerging smart city, transport and energy trends in urban settings: Results of a pan-European foresight exercise with 120 experts — https://doi.org/10.1016/j.techfore.2022.121915</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Forecasting future trends constitutes a key process for supporting urban and territorial policy making in general. In this work, we explore how the domains of smart cities, smart transport, and smart energy will evolve until 2030 from a scientific and technological perspective, as a means to inform future policies for urban development in Europe. We started our work with an extensive review of recent and relevant research, covering policy and market reports, scientific journal articles, and other scientific publications. Then, a two-round Delphi survey with 120 field experts was conducted to assess the plausibility of the literature review findings to materialize until 2030.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 This work provides significant added value in supporting territorial policymakers' and stakeholders' decision making under uncertainty, as well as in designing highly relevant research agendas, attuned to contemporary and emerging trends.</w:t>
      </w:r>
    </w:p>
    <w:p>
      <w:pPr/>
      <w:r>
        <w:rPr>
          <w:b/>
        </w:rPr>
        <w:t>POSSIBLE 2021:</w:t>
      </w:r>
      <w:r>
        <w:t xml:space="preserve"> Networked foresight — https://doi.org/10.25932/publishup-50385</w:t>
      </w:r>
    </w:p>
    <w:p>
      <w:pPr/>
      <w:r>
        <w:rPr>
          <w:b/>
        </w:rPr>
        <w:t>Shared claim-specific concepts:</w:t>
      </w:r>
      <w:r>
        <w:t xml:space="preserve"> foresight, designed, based, systems; EU scope visible. This is a provisional connection, not an outcome finding.</w:t>
      </w:r>
    </w:p>
    <w:p>
      <w:pPr>
        <w:pStyle w:val="SourceNote"/>
      </w:pPr>
      <w:r>
        <w:rPr>
          <w:b/>
        </w:rPr>
        <w:t>Available abstract (not full text):</w:t>
      </w:r>
      <w:r>
        <w:t xml:space="preserve"> The goal of this dissertation is to contribute to the corporate foresight research field by investigating capabilities, practices, and challenges particularly in the context of interorganizational settings and networked organizations informed by the theoretical perspectives of the relational view and dynamic capabilities. Firms are facing an increasingly complex environment and highly complex product and service landscapes that often require multiple organizations to collaborate for innovation and offerings. Public-private partnerships that are targeted at supporting this have been introduced by policy-makers in the recent past. One example for such a partnership is the European Institute of Innovation and Technology (EIT) with multiple Knowledge and Innovation Communities (KICs). The EIT has been initiated by the European Commission in 2008 with the ambition of addressing grand societal challenges, driving innovativeness of European companies, and supporting systemic change. The resulting network organizations are managed similarly to corporations with managers, boards, and firm-like governance structures. EIT Digital as one of the EIT KICs are a central case of this work. Research in this dissertation was based on the expectation that corporate foresight activities will increasingly be embedded in such interorganizational settings and a) can draw on such settings for the bene</w:t>
      </w:r>
    </w:p>
    <w:p>
      <w:pPr/>
      <w:r>
        <w:rPr>
          <w:b/>
        </w:rPr>
        <w:t>POSSIBLE 2021:</w:t>
      </w:r>
      <w:r>
        <w:t xml:space="preserve"> Collective foresight and intelligence for sustainability — https://doi.org/10.1017/sus.2021.3</w:t>
      </w:r>
    </w:p>
    <w:p>
      <w:pPr/>
      <w:r>
        <w:rPr>
          <w:b/>
        </w:rPr>
        <w:t>Shared claim-specific concepts:</w:t>
      </w:r>
      <w:r>
        <w:t xml:space="preserve"> foresight, following, five, drivers; EU scope not established. This is a provisional connection, not an outcome finding.</w:t>
      </w:r>
    </w:p>
    <w:p>
      <w:pPr>
        <w:pStyle w:val="SourceNote"/>
      </w:pPr>
      <w:r>
        <w:rPr>
          <w:b/>
        </w:rPr>
        <w:t>Available abstract (not full text):</w:t>
      </w:r>
      <w:r>
        <w:t xml:space="preserve"> Non-technical summary Charting robust pathways towards more sustainable futures that ‘leave no one behind’ requires that diverse communities engage in collective foresight and intelligence exercises to better understand global systemic challenges, anticipate the emerging risks and opportunities that disruptions present, and share perspectives on how to respond and inform decision-making. We report on the recent use of an international rapid foresight survey to assess expected societal trends over the next 3 years following the COVID-19 crisis. The results illustrate the power of collective foresight approaches to provide timely, nuanced insights for decision-making across sectors and scales, particularly in times of uncertainty. Technical summary We present the findings of a rapid foresight survey launched in spring 2020 to draw on the collective intelligence of the global community on where the world is headed post-COVID-19. Respondents were asked to (i) assess five key societal trends in the coming 3 years, (ii) provide news headlines they both expect and hope to see, and (iii) assess the role of digital technologies during crises. Analysis of over 2000 responses from more than 90 countries revealed important regional differences in expected societal trends related to sustainability. More respondents in the Global South expected shifts towards less inequality while more respo</w:t>
      </w:r>
    </w:p>
    <w:p>
      <w:pPr/>
      <w:r>
        <w:rPr>
          <w:b/>
        </w:rPr>
        <w:t>POSSIBLE 2020:</w:t>
      </w:r>
      <w:r>
        <w:t xml:space="preserve"> Foresight for Career Development — https://doi.org/10.17323/2500-2597.2020.2.88.104</w:t>
      </w:r>
    </w:p>
    <w:p>
      <w:pPr/>
      <w:r>
        <w:rPr>
          <w:b/>
        </w:rPr>
        <w:t>Shared claim-specific concepts:</w:t>
      </w:r>
      <w:r>
        <w:t xml:space="preserve"> foresight, current; EU scope visible. This is a provisional connection, not an outcome finding.</w:t>
      </w:r>
    </w:p>
    <w:p>
      <w:pPr>
        <w:pStyle w:val="SourceNote"/>
      </w:pPr>
      <w:r>
        <w:rPr>
          <w:b/>
        </w:rPr>
        <w:t>Available abstract (not full text):</w:t>
      </w:r>
      <w:r>
        <w:t xml:space="preserve"> Career planning and development becomes a process of managing learning, experience and change in order to achieve a personally determined, preferred professional future. In the context of dynamic social, economic and technological changes, the role of career counselling services increases, although their character also evolves. New competences and abilities to use innovative tools that enable effective processes of creating career visions in a systemic manner are expected. In this context the adaptation of Futures Studies to both practice and education of career counselling seems to be an interesting prospect. Exploring the future not only develops individual planning and adaptation skills, but also allows detecting and identifying upcoming trends. It means the ability to adapt to new conditions, or proactive creation of the future, in a way that is favourable. The aim of the article is to present comprehensive methodology and the results of a nationwide survey conducted in Poland among practitioners in the field of career counselling. The scope of the study included exploring the potential of foresight methodology and future studies application for education and practice in the field of career counselling. The main focus of the research to examine the current quality and scope of education offer for career counsellors by the disconfirmation between the ideal features of the co</w:t>
      </w:r>
    </w:p>
    <w:p>
      <w:pPr/>
      <w:r>
        <w:rPr>
          <w:b/>
        </w:rPr>
        <w:t>POSSIBLE 2020:</w:t>
      </w:r>
      <w:r>
        <w:t xml:space="preserve"> Decolonial AI: Decolonial Theory as Sociotechnical Foresight in Artificial Intelligence — https://doi.org/10.1007/s13347-020-00405-8</w:t>
      </w:r>
    </w:p>
    <w:p>
      <w:pPr/>
      <w:r>
        <w:rPr>
          <w:b/>
        </w:rPr>
        <w:t>Shared claim-specific concepts:</w:t>
      </w:r>
      <w:r>
        <w:t xml:space="preserve"> foresight, systems; EU scope not established. This is a provisional connection, not an outcome finding.</w:t>
      </w:r>
    </w:p>
    <w:p>
      <w:pPr>
        <w:pStyle w:val="SourceNote"/>
      </w:pPr>
      <w:r>
        <w:rPr>
          <w:b/>
        </w:rPr>
        <w:t>Available abstract (not full text):</w:t>
      </w:r>
      <w:r>
        <w:t xml:space="preserve"> Abstract This paper explores the important role of critical science, and in particular of post-colonial and decolonial theories, in understanding and shaping the ongoing advances in artificial intelligence. Artificial intelligence (AI) is viewed as amongst the technological advances that will reshape modern societies and their relations. While the design and deployment of systems that continually adapt holds the promise of far-reaching positive change, they simultaneously pose significant risks, especially to already vulnerable peoples. Values and power are central to this discussion. Decolonial theories use historical hindsight to explain patterns of power that shape our intellectual, political, economic, and social world. By embedding a decolonial critical approach within its technical practice, AI communities can develop foresight and tactics that can better align research and technology development with established ethical principles, centring vulnerable peoples who continue to bear the brunt of negative impacts of innovation and scientific progress. We highlight problematic applications that are instances of coloniality, and using a decolonial lens, submit three tactics that can form a decolonial field of artificial intelligence: creating a critical technical practice of AI, seeking reverse tutelage and reverse pedagogies, and the renewal of affective and political communi</w:t>
      </w:r>
    </w:p>
    <w:p>
      <w:pPr>
        <w:pStyle w:val="Heading2"/>
      </w:pPr>
      <w:r>
        <w:t>830.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2024:</w:t>
      </w:r>
      <w:r>
        <w:t xml:space="preserve"> Navigating the transition: Unraveling the EU's different imaginaries for a just future — https://doi.org/10.1016/j.futures.2024.103483</w:t>
      </w:r>
    </w:p>
    <w:p>
      <w:pPr/>
      <w:r>
        <w:rPr>
          <w:b/>
        </w:rPr>
        <w:t>Shared claim-specific concepts:</w:t>
      </w:r>
      <w:r>
        <w:t xml:space="preserve"> concept, imaginary; EU scope visible. This is a provisional connection, not an outcome finding.</w:t>
      </w:r>
    </w:p>
    <w:p>
      <w:pPr>
        <w:pStyle w:val="SourceNote"/>
      </w:pPr>
      <w:r>
        <w:rPr>
          <w:b/>
        </w:rPr>
        <w:t>Available abstract (not full text):</w:t>
      </w:r>
      <w:r>
        <w:t xml:space="preserve">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pPr/>
      <w:r>
        <w:rPr>
          <w:b/>
        </w:rPr>
        <w:t>POSSIBLE 2023:</w:t>
      </w:r>
      <w:r>
        <w:t xml:space="preserve"> European Constitutional Imaginaries — https://doi.org/10.1093/oso/9780192855480.003.0001</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This chapter acts as an introduction to the whole volume. It first defines the concept of constitutional imaginary and sets it in the wider context of political theory and philosophy. Next, it explains what is missing from a number of recent publications that deal with European constitutionalism at a more reflexive and theoretical level and how the approach taken in this volume can enrich our understanding of the EU’s present predicament. Two perspectives are particularly important: that of history and that of political economy. The conclusion presents the broader project of which this volume is part and gives a brief overview of each chapter’s contents.</w:t>
      </w:r>
    </w:p>
    <w:p>
      <w:pPr/>
      <w:r>
        <w:rPr>
          <w:b/>
        </w:rPr>
        <w:t>POSSIBLE 2022:</w:t>
      </w:r>
      <w:r>
        <w:t xml:space="preserve"> (Re)making hydrosocial territories: Materializing and contesting imaginaries and subjectivities through hydraulic infrastructure — https://doi.org/10.1016/j.polgeo.2022.102698</w:t>
      </w:r>
    </w:p>
    <w:p>
      <w:pPr/>
      <w:r>
        <w:rPr>
          <w:b/>
        </w:rPr>
        <w:t>Shared claim-specific concepts:</w:t>
      </w:r>
      <w:r>
        <w:t xml:space="preserve"> political, ideas, build, around; EU scope not established. This is a provisional connection, not an outcome finding.</w:t>
      </w:r>
    </w:p>
    <w:p>
      <w:pPr>
        <w:pStyle w:val="SourceNote"/>
      </w:pPr>
      <w:r>
        <w:rPr>
          <w:b/>
        </w:rPr>
        <w:t>Available abstract (not full text):</w:t>
      </w:r>
      <w:r>
        <w:t xml:space="preserve"> Infrastructures and their roles and connections to and in territories and territorialization processes have increasingly become objects of study in political geography scholarship. In this contribution, we build on these emerging insights and advance them by further conceptually disentangling the agential role of infrastructure. We bring together the notions of territory, governmentality, imaginaries and subjectivities, to clarify how exactly hydraulic infrastructure acts to transform relations between space, people and materiality. We start by introducing territorialization as a process of ‘ordering things’ in a certain space and time through different techniques of government. We then show how, at the base of such territorialization processes, are imaginaries that contain normative ideas about how space and socio-territorial relations should be ordered. Imaginaries are consequently materialized through hydraulic infrastructure through the inscription of morals, values and norms in infrastructure design, construction and operation. This set of materialities and relations embedded in infrastructure brings changes to the existing relations between space, water and people. In particular, we highlight the repercussions of infrastructure for how people understand and relate to each other, the environment, water, technology and space: in other words, how subjectivities change as an </w:t>
      </w:r>
    </w:p>
    <w:p>
      <w:pPr/>
      <w:r>
        <w:rPr>
          <w:b/>
        </w:rPr>
        <w:t>POSSIBLE 2021:</w:t>
      </w:r>
      <w:r>
        <w:t xml:space="preserve"> Popular imaginative geographies and Brexit: Evidence from Mass Observation — https://doi.org/10.1111/tran.12444</w:t>
      </w:r>
    </w:p>
    <w:p>
      <w:pPr/>
      <w:r>
        <w:rPr>
          <w:b/>
        </w:rPr>
        <w:t>Shared claim-specific concepts:</w:t>
      </w:r>
      <w:r>
        <w:t xml:space="preserve"> imaginative, political, events; EU scope visible. This is a provisional connection, not an outcome finding.</w:t>
      </w:r>
    </w:p>
    <w:p>
      <w:pPr>
        <w:pStyle w:val="SourceNote"/>
      </w:pPr>
      <w:r>
        <w:rPr>
          <w:b/>
        </w:rPr>
        <w:t>Available abstract (not full text):</w:t>
      </w:r>
      <w:r>
        <w:t xml:space="preserve"> The EU Referendum of 2016 was one of the most significant events in recent British political history. It is widely recognised that citizens engaged with the referendum through understandings of Britain, the EU, the world, and their place in it. This study complements existing research where such understandings have been inferred from citizens’ demographic characteristics, the characteristics of their localities/regions, or elite discourses. It builds on existing research where a more direct engagement with citizens’ understandings has been achieved through interviews or focus groups, allowing the content of understandings to be thickly described. To these latter studies, this paper makes three main contributions. First, it focuses on popular imaginative geographies, which are conceptualised drawing on literatures in Geography and Political Science as fast‐thinking heuristics. Second, it brings new evidence to the conversation in the form of volunteer writing for Mass Observation. Third, the focus is on the content of popular imaginative geographies, but also how and why such geographies were used by voters in the referendum. The main findings include that many Leave supporters imagined Britain as an island – either a once great military and imperial power, an island separate from Europe, needing freedom from Europe to engage in the wider world; or a small island, a full contain</w:t>
      </w:r>
    </w:p>
    <w:p>
      <w:pPr/>
      <w:r>
        <w:rPr>
          <w:b/>
        </w:rPr>
        <w:t>POSSIBLE 2020:</w:t>
      </w:r>
      <w:r>
        <w:t xml:space="preserve"> Law, biomedical technoscience, and imaginaries — https://doi.org/10.1093/jlb/lsaa088</w:t>
      </w:r>
    </w:p>
    <w:p>
      <w:pPr/>
      <w:r>
        <w:rPr>
          <w:b/>
        </w:rPr>
        <w:t>Shared claim-specific concepts:</w:t>
      </w:r>
      <w:r>
        <w:t xml:space="preserve"> concept, imaginary, investigate, constructed; EU scope visible. This is a provisional connection, not an outcome finding.</w:t>
      </w:r>
    </w:p>
    <w:p>
      <w:pPr>
        <w:pStyle w:val="SourceNote"/>
      </w:pPr>
      <w:r>
        <w:rPr>
          <w:b/>
        </w:rPr>
        <w:t>Available abstract (not full text):</w:t>
      </w:r>
      <w:r>
        <w:t xml:space="preserve"> This special issue advances understanding of the way in which imaginaries underpin law’s engagement with biomedical technologies and science. It is the first collection of law-led interdisciplinary accounts of imaginaries. The articles draw upon examples from biomedical technoscience to illuminate the hitherto unseen or underappreciated roles of imaginaries in the relationships between law and biomedical technoscience. We have conceptualized ‘law’, ‘biomedical technoscience’, and ‘imaginaries’ in broad, inclusive, and dynamic ways. ‘Law’ and ‘biomedical technoscience’ (biomedical technology and science) require no further clarification. ‘Imaginaries’, though, is a relatively novel concept within legal, socio-legal, and regulatory studies scholarship,1 and as such it requires an introduction. In the following, we introduce imaginaries before explaining how this special issue aims to address the dearth of legal scholarship on them. Subsequently, we note the conceptualizations of imaginaries in the articles, where imaginaries can be found in law and legal discourse, and finally what it is that imaginaries do and why they matter for law. Conceptualizations of imaginaries are found in several disciplines. Beckert, working within economics, formulates imaginaries as ‘imagined futures’.2 Jasanoff and Kim, from science and technology studies (STS), conceive sociotechnical imaginaries a</w:t>
      </w:r>
    </w:p>
    <w:p>
      <w:pPr/>
      <w:r>
        <w:rPr>
          <w:b/>
        </w:rPr>
        <w:t>POSSIBLE 2020:</w:t>
      </w:r>
      <w:r>
        <w:t xml:space="preserve"> Elijah Anderson’s “Iconic Ghetto” as Transatlantic Template? Problematic Traveling Imaginaries, Future Scripts, and Postindustrial Ruhr Cities — https://doi.org/10.5283/copas.335</w:t>
      </w:r>
    </w:p>
    <w:p>
      <w:pPr/>
      <w:r>
        <w:rPr>
          <w:b/>
        </w:rPr>
        <w:t>Shared claim-specific concepts:</w:t>
      </w:r>
      <w:r>
        <w:t xml:space="preserve"> concept, scripts; EU scope visible. This is a provisional connection, not an outcome finding.</w:t>
      </w:r>
    </w:p>
    <w:p>
      <w:pPr>
        <w:pStyle w:val="SourceNote"/>
      </w:pPr>
      <w:r>
        <w:rPr>
          <w:b/>
        </w:rPr>
        <w:t>Available abstract (not full text):</w:t>
      </w:r>
      <w:r>
        <w:t xml:space="preserve"> This article explores the presence and function of American templates of the stereotypical “ghetto” in the transnational urban imagination, taking the cities of the German Ruhr region as an example. I argue that this space is significantly influenced by the model of American postindustrialcities, where many of the traveling imaginaries of urban problems that have taken hold in former industrial cities in Europe seem to originate. In a first step, I inquire into the workings of the problematic template ofthe “iconic ghetto,” a concept I borrow from Elijah Anderson and extend transnationally, tracing its influence on urban development narratives in the Ruhr. In a second step, I discuss how social-educational reform initiatives respond to and intervene in such problematic imaginaries in their work. I assert that their activities aim to rewrite or “re-script” the prevalent narratives of this European postindustrial region, which are all too often negative. The alternative development narratives, or “scripts,”these reformers construct and propagate instead imagine cities of the future in a positive light, envisioning how inequality and segregation can be replaced by equality and social inclusion.</w:t>
      </w:r>
    </w:p>
    <w:p>
      <w:pPr/>
      <w:r>
        <w:rPr>
          <w:b/>
        </w:rPr>
        <w:t>POSSIBLE 2019:</w:t>
      </w:r>
      <w:r>
        <w:t xml:space="preserve"> The Circular Economy in Europe: Critical Perspectives on Policies and Imaginaries — https://doi.org/10.4324/9780429061028</w:t>
      </w:r>
    </w:p>
    <w:p>
      <w:pPr/>
      <w:r>
        <w:rPr>
          <w:b/>
        </w:rPr>
        <w:t>Shared claim-specific concepts:</w:t>
      </w:r>
      <w:r>
        <w:t xml:space="preserve"> authors, ideas; EU scope visible. This is a provisional connection, not an outcome finding.</w:t>
      </w:r>
    </w:p>
    <w:p>
      <w:pPr>
        <w:pStyle w:val="SourceNote"/>
      </w:pPr>
      <w:r>
        <w:rPr>
          <w:b/>
        </w:rPr>
        <w:t>Available abstract (not full text):</w:t>
      </w:r>
      <w:r>
        <w:t xml:space="preserve"> The Circular Economy in Europe presents an overview and a critical discussion on how circularity is conceived, imagined, and enacted in current EU policy-making. In 2013, the idea of a circular economy entered the stage of European policy-making in the efforts to reconcile environmental and economic policy objectives. In 2019 the European Commission declared in a press release that the Circular Economy Action Plan has been delivered. The level of circularity in the European economy, however, has remained the same. Bringing together perspectives from social sciences, environmental economics and policy analysis, The Circular Economy in Europe provides a critical analysis of policies and promises of the next panacea for growth and sustainability. The authors provide a theoretical and empirical basis to discuss how contemporary societies conceive their need to re-organise production and consumption and explores the messy assemblage of institutions, actors, waste streams, biophysical flows, policy objectives, scientific disciplines, values, expectations, promises and aspirations involved. This book is essential reading for all those interested in understanding how ideas about the circular economy emerged historically, how they gained traction and are used in policy processes, and what the practical challenges in implementing this policy are.</w:t>
      </w:r>
    </w:p>
    <w:p>
      <w:pPr/>
      <w:r>
        <w:rPr>
          <w:b/>
        </w:rPr>
        <w:t>POSSIBLE 2019:</w:t>
      </w:r>
      <w:r>
        <w:t xml:space="preserve"> The social imaginaries of data activism — https://doi.org/10.1177/2053951718821146</w:t>
      </w:r>
    </w:p>
    <w:p>
      <w:pPr/>
      <w:r>
        <w:rPr>
          <w:b/>
        </w:rPr>
        <w:t>Shared claim-specific concepts:</w:t>
      </w:r>
      <w:r>
        <w:t xml:space="preserve"> imaginary, structures, political; EU scope visible. This is a provisional connection, not an outcome finding.</w:t>
      </w:r>
    </w:p>
    <w:p>
      <w:pPr>
        <w:pStyle w:val="SourceNote"/>
      </w:pPr>
      <w:r>
        <w:rPr>
          <w:b/>
        </w:rPr>
        <w:t>Available abstract (not full text):</w:t>
      </w:r>
      <w:r>
        <w:t xml:space="preserve"> Data activism, promoting new forms of civic and political engagement, has emerged as a response to problematic aspects of datafication that include tensions between data openness and data ownership, and asymmetries in terms of data usage and distribution. In this article, we discuss MyData, a data activism initiative originating in Finland, which aims to shape a more sustainable citizen-centric data economy by means of increasing individuals' control of their personal data. Using data gathered during long-term participant-observation in collaborative projects with data activists, we explore the internal tensions of data activism by first outlining two different social imaginaries – technological and socio-critical – within MyData, and then merging them to open practical and analytical space for engaging with the socio-technical futures currently in the making. While the technological imaginary favours data infrastructures as corrective measures, the socio-critical imaginary questions the effectiveness of technological correction. Unpacking them clarifies the kinds of political and social alternatives that different social imaginaries ascribe to the notions underlying data activism, and highlights the need to consider the social structures in play. The more far-reaching goal of our exercise is to provide practical and analytical resources for critical engagement in the context o</w:t>
      </w:r>
    </w:p>
    <w:p>
      <w:pPr/>
      <w:r>
        <w:rPr>
          <w:b/>
        </w:rPr>
        <w:t>POSSIBLE 2019:</w:t>
      </w:r>
      <w:r>
        <w:t xml:space="preserve"> Imaginative Agency: New Possibilities — https://doi.org/10.21827/ejlw.8.35554</w:t>
      </w:r>
    </w:p>
    <w:p>
      <w:pPr/>
      <w:r>
        <w:rPr>
          <w:b/>
        </w:rPr>
        <w:t>Shared claim-specific concepts:</w:t>
      </w:r>
      <w:r>
        <w:t xml:space="preserve"> concept, imaginative, political; EU scope not established. This is a provisional connection, not an outcome finding.</w:t>
      </w:r>
    </w:p>
    <w:p>
      <w:pPr>
        <w:pStyle w:val="SourceNote"/>
      </w:pPr>
      <w:r>
        <w:rPr>
          <w:b/>
        </w:rPr>
        <w:t>Available abstract (not full text):</w:t>
      </w:r>
      <w:r>
        <w:t xml:space="preserve"> This article presents imaginative agency as a new theoretical concept with great potential for life writing studies, especially digital life writing. It draws on a wide range of concepts and contexts to discuss selective histories and workings, proposing ways in which imaginative agency can fit into philosophical and aesthetic debates about capability, performativity, ethics and artificial intelligence. I argue for making a distinction between imaginative agency and creativity, owing to the monetizing of much creative activity. I explore agency in relation to aesthetic human capability, through comparison to the non-human, particularly whether bots can demonstrate imaginative agency in art and literature, and through questions of ethical agency in online practices like trolling and malware. Contexts relevant to imaginative agency in digital and social media practices, such as algorithms, crowdsourcing and augmented reality, are explored in terms of political considerations which tie cultural creation to wealth creation— a shackling from which imaginative agency can provide some liberation.</w:t>
      </w:r>
    </w:p>
    <w:p>
      <w:pPr/>
      <w:r>
        <w:rPr>
          <w:b/>
        </w:rPr>
        <w:t>POSSIBLE 2019:</w:t>
      </w:r>
      <w:r>
        <w:t xml:space="preserve"> The anthropocenic imaginary: political ecologies of tourism in a geological epoch — https://doi.org/10.1080/09669582.2018.1544252</w:t>
      </w:r>
    </w:p>
    <w:p>
      <w:pPr/>
      <w:r>
        <w:rPr>
          <w:b/>
        </w:rPr>
        <w:t>Shared claim-specific concepts:</w:t>
      </w:r>
      <w:r>
        <w:t xml:space="preserve"> concept, imaginary, political, age; EU scope not established. This is a provisional connection, not an outcome finding.</w:t>
      </w:r>
    </w:p>
    <w:p>
      <w:pPr>
        <w:pStyle w:val="SourceNote"/>
      </w:pPr>
      <w:r>
        <w:rPr>
          <w:b/>
        </w:rPr>
        <w:t>Available abstract (not full text):</w:t>
      </w:r>
      <w:r>
        <w:t xml:space="preserve"> The Anthropocene is fundamentally a social imaginary that is both shaped by and is reshaping tourism practice. In this article, we enroll the concept of the anthropocenic imaginary to describe how the Anthropocene is symbolically and materially produced as well as the ways in which it draws on the historical separation of Humanity and Nature. As the structural roots from which the anthropocenic imaginary has grown, this binary co-produces new and old forms of political and ecological inclusion and exclusion. We demonstrate how core themes in tourism studies have fertilized the seeds from which the theoretical branches of post-humanist, capitalist and ecological imaginaries in tourism have taken shape. These anthropocenic imaginaries, we argue, are appropriated in market-based solutions to environmental degradation that emanate from neoliberal contexts internal to the problem. Thus, we question the reconciliation of capitalist accumulation and environmental limits in sustainable tourism. This article and the papers in this issue push forward emerging approaches in the political ecology of tourism that recognize the Anthropocene as both a geological epoch and conceptual regime. In doing so, the issue contributes to emerging conversations on the relationship between politics, ecology and tourism in the so-called recent age of man.</w:t>
      </w:r>
    </w:p>
    <w:p>
      <w:pPr>
        <w:pStyle w:val="Heading2"/>
      </w:pPr>
      <w:r>
        <w:t>831.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Towards a better uptake of home dialysis in Europe: understanding the present and looking to the future — https://doi.org/10.1093/ckj/sfae082</w:t>
      </w:r>
    </w:p>
    <w:p>
      <w:pPr/>
      <w:r>
        <w:rPr>
          <w:b/>
        </w:rPr>
        <w:t>Shared claim-specific concepts:</w:t>
      </w:r>
      <w:r>
        <w:t xml:space="preserve"> aims, better, understanding; EU scope visible. This is a provisional connection, not an outcome finding.</w:t>
      </w:r>
    </w:p>
    <w:p>
      <w:pPr>
        <w:pStyle w:val="SourceNote"/>
      </w:pPr>
      <w:r>
        <w:rPr>
          <w:b/>
        </w:rPr>
        <w:t>Available abstract (not full text):</w:t>
      </w:r>
      <w:r>
        <w:t xml:space="preserve"> Use of peritoneal dialysis and home haemodialysis remains low in Europe, with the highest use in Scandinavian countries and the lowest in Eastern and Central Europe despite the advantages for people on dialysis and economic advantages for healthcare systems. This is partly due to the impact of the haemodialysis industry resulting in proliferation of haemodialysis units and nephrologist reimbursement related to use of haemodialysis. Equally important is the bias against home dialysis at both clinician and healthcare system levels. The underlying causes of this bias are discussed in relation to a mechanistic view of the human body, lack of compassion, failure to adjust dialysis provision for older age and frailty, proliferation of small dialysis centres, and complexity of decision-making and clinical care. For home dialysis to flourish, we need to foster a change in attitude to and vision of the aims of healthcare so that enabling meaningful activities of people requiring dialysis, as explored in the Standardized Outcomes in Nephrology initiative, rather than achieving biological numbers become the focus of care delivery.</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article, information, better, understanding, high;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EUROPEAN SECURITY AND DEFENCE – KEY ELEMENTS OF DEEP INTEGRATION AT THE LEVEL OF THE EUROPEAN UNION — https://doi.org/10.53477/2784-2487-24-01</w:t>
      </w:r>
    </w:p>
    <w:p>
      <w:pPr/>
      <w:r>
        <w:rPr>
          <w:b/>
        </w:rPr>
        <w:t>Shared claim-specific concepts:</w:t>
      </w:r>
      <w:r>
        <w:t xml:space="preserve"> article, aims, provide, better, understanding; EU scope visible. This is a provisional connection, not an outcome finding.</w:t>
      </w:r>
    </w:p>
    <w:p>
      <w:pPr>
        <w:pStyle w:val="SourceNote"/>
      </w:pPr>
      <w:r>
        <w:rPr>
          <w:b/>
        </w:rPr>
        <w:t>Available abstract (not full text):</w:t>
      </w:r>
      <w:r>
        <w:t xml:space="preserve"> The purpose of this article is to highlight the key elements in European security and defence that enables a deeper integration within the European Union. The security and defence represent a fundamental domain in the European architecture, a benchmark, and a challenge regarding the loyal cooperation between Member States.The methodology used is represented by a synthetic qualitative documentary analysis with an additional quantitative support.The research hypothesis is related to the correlation of key elements in the field of security and defence with the development of a deeper integration of Member States into the European project. As their own defence and security policies belong to the Member States, the research question will provide the answer to whether key elements in European security and defence generate better cooperation between Member States and deeper integration.This article aims to provide a profound understanding of the obligations, challenges, and the impact on the Member States policy on common defence. Following the latest developments in implementing the Strategic Compass for Security and Defence, new steps should be taken to achieve the common defence goal.The presentation will also seek to highlight whether the coherence of Member States policies on achieving the common goal is linked to their deeper integration into the European project.</w:t>
      </w:r>
    </w:p>
    <w:p>
      <w:pPr/>
      <w:r>
        <w:rPr>
          <w:b/>
        </w:rPr>
        <w:t>POSSIBLE 2023:</w:t>
      </w:r>
      <w:r>
        <w:t xml:space="preserve"> The European Universities Initiative and European spatial imaginaries — https://doi.org/10.1080/14767724.2023.2210515</w:t>
      </w:r>
    </w:p>
    <w:p>
      <w:pPr/>
      <w:r>
        <w:rPr>
          <w:b/>
        </w:rPr>
        <w:t>Shared claim-specific concepts:</w:t>
      </w:r>
      <w:r>
        <w:t xml:space="preserve"> article, role, range; EU scope visible. This is a provisional connection, not an outcome finding.</w:t>
      </w:r>
    </w:p>
    <w:p>
      <w:pPr>
        <w:pStyle w:val="SourceNote"/>
      </w:pPr>
      <w:r>
        <w:rPr>
          <w:b/>
        </w:rPr>
        <w:t>Available abstract (not full text):</w:t>
      </w:r>
      <w:r>
        <w:t xml:space="preserve"> The European Universities Initiative (EUI), launched in 2019, fosters the development of networks of universities across Europe with the aim of enabling students to obtain a degree by combining studies in several countries and strengthening collaboration in both teaching and research, and by extension, the international competitiveness of European universities. As well as constituting one of the European Commission’s most significant policies with respect to higher education, over recent years, the initiative also provides a useful lens to explore how European higher education is understood by a range of social actors. Indeed, drawing on relevant policy documents and interviews with key policy actors, this article examines what broader messages about the European higher education space (actual and ideal) are conveyed by public discussions about EUI networks. The analysis reveals significantly different perspectives about: the geographical boundaries of the European higher education space; the extent to which European higher education should be inclusive and/or aim to promote excellence; whether higher education constitutes a vehicle for further Europeanisation; and the role of nation-states in a changing Europe.</w:t>
      </w:r>
    </w:p>
    <w:p>
      <w:pPr/>
      <w:r>
        <w:rPr>
          <w:b/>
        </w:rPr>
        <w:t>POSSIBLE 2023:</w:t>
      </w:r>
      <w:r>
        <w:t xml:space="preserve"> The Impact of COVID-19 in Europe: A Comprehensive Analysis — https://doi.org/10.54783/ijsoc.v5i4.787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The COVID-19 pandemic, caused by the novel coronavirus SARS-CoV-2, has had a profound impact on the European continent. This scientific journal article aims to provide a comprehensive analysis of the spread, healthcare response, socio-economic consequences, and lessons learned from the COVID-19 pandemic in Europe. It combines data-driven insights with a review of relevant scientific literature to present a holistic view of the situation in Europe</w:t>
      </w:r>
    </w:p>
    <w:p>
      <w:pPr/>
      <w:r>
        <w:rPr>
          <w:b/>
        </w:rPr>
        <w:t>POSSIBLE 2023:</w:t>
      </w:r>
      <w:r>
        <w:t xml:space="preserve"> A Study on the Interpretation and Application of Article 2 of the European Convention on Human Rights: Focusing on the Case Law of the European Court of Human Rights — https://doi.org/10.21592/eucj.2023.42.99</w:t>
      </w:r>
    </w:p>
    <w:p>
      <w:pPr/>
      <w:r>
        <w:rPr>
          <w:b/>
        </w:rPr>
        <w:t>Shared claim-specific concepts:</w:t>
      </w:r>
      <w:r>
        <w:t xml:space="preserve"> article, aims, provide, understanding, role; EU scope visible. This is a provisional connection, not an outcome finding.</w:t>
      </w:r>
    </w:p>
    <w:p>
      <w:pPr>
        <w:pStyle w:val="SourceNote"/>
      </w:pPr>
      <w:r>
        <w:rPr>
          <w:b/>
        </w:rPr>
        <w:t>Available abstract (not full text):</w:t>
      </w:r>
      <w:r>
        <w:t xml:space="preserve"> This study examines the interpretation and application of Article 2, the right to life, which is one of the most central rights guaranteed by the European Convention on Human Rights. It is universally recognized that the right to life represents a fundamental right of all human beings and that its proper understanding and protection is a fundamental basis for individual freedom and respect for human rights. The European Convention on Human Rights is an important document that ensures that individuals in Europe are guaranteed their fundamental rights and freedoms as human beings. Article 2, the right to life, is at the heart of the Convention and guarantees one of the most fundamental rights that every human being has. However, the understanding and application of this right to life can raise complex issues in different social and political contexts. For this reason, this study aims to provide an in-depth examination of the complexities of the right to life. The aim is to examine the role of the right to life in ensuring human dignity and promoting social justice through the case law of the European Court of Human Rights. Based on this, the general concept of the right to life and the interpretation of the right to life by the European Court of Human Rights will be introduced in the next chapter, followed by an analysis of the Court's main decisions, with the aim of bridging the</w:t>
      </w:r>
    </w:p>
    <w:p>
      <w:pPr/>
      <w:r>
        <w:rPr>
          <w:b/>
        </w:rPr>
        <w:t>POSSIBLE 2023:</w:t>
      </w:r>
      <w:r>
        <w:t xml:space="preserve"> The Impact of COVID-19 in Europe: An Overview of the Pandemic's Challenges and Responses — https://openalex.org/W7217768397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The COVID-19 pandemic has emerged as one of the most significant global health crises in recent history, affecting nearly every corner of the world, including Europe. This article aims to provide a comprehensive overview of the impact of COVID-19 in Europe, focusing on the challenges faced by the region and the responses adopted by various countries to combat the spread of the virus. By examining the epidemiological trends, healthcare infrastructure, socio-economic implications, and public health strategies, this study aims to shed light on the lessons learned from the pandemic and the way forward for Europe's health systems.</w:t>
      </w:r>
    </w:p>
    <w:p>
      <w:pPr/>
      <w:r>
        <w:rPr>
          <w:b/>
        </w:rPr>
        <w:t>POSSIBLE 2023:</w:t>
      </w:r>
      <w:r>
        <w:t xml:space="preserve"> Current Understanding of Polyphenols to Enhance Bioavailability for Better Therapies — https://doi.org/10.3390/biomedicines11072078</w:t>
      </w:r>
    </w:p>
    <w:p>
      <w:pPr/>
      <w:r>
        <w:rPr>
          <w:b/>
        </w:rPr>
        <w:t>Shared claim-specific concepts:</w:t>
      </w:r>
      <w:r>
        <w:t xml:space="preserve"> better, understanding; EU scope not established. This is a provisional connection, not an outcome finding.</w:t>
      </w:r>
    </w:p>
    <w:p>
      <w:pPr>
        <w:pStyle w:val="SourceNote"/>
      </w:pPr>
      <w:r>
        <w:rPr>
          <w:b/>
        </w:rPr>
        <w:t>Available abstract (not full text):</w:t>
      </w:r>
      <w:r>
        <w:t xml:space="preserve"> In recent years, plant polyphenols have become a popular focus for the development of novel functional foods. Polyphenols, a class of bioactive compounds, including flavonoids, phenolic acids, and lignans, are commonly found in plant-based diets with a variety of biological actions, including antioxidant, anti-inflammatory, and anticancer effects. Unfortunately, polyphenols are not widely used in nutraceuticals since many of the chemicals in polyphenols possess poor oral bioavailability. Thankfully, polyphenols can be encapsulated and transported using bio-based nanocarriers, thereby increasing their bioavailability. Polyphenols' limited water solubility and low bioavailability are limiting factors for their practical usage, but this issue can be resolved if suitable delivery vehicles are developed for encapsulating and delivering polyphenolic compounds. This paper provides an overview of the study of nanocarriers for the enhancement of polyphenol oral bioavailability, as well as a summary of the health advantages of polyphenols in the prevention and treatment of several diseases.</w:t>
      </w:r>
    </w:p>
    <w:p>
      <w:pPr/>
      <w:r>
        <w:rPr>
          <w:b/>
        </w:rPr>
        <w:t>POSSIBLE 2023:</w:t>
      </w:r>
      <w:r>
        <w:t xml:space="preserve"> Mandate to overblock? Understanding the impact of the European Union's Article 17 on copyright content moderation on YouTube — https://doi.org/10.1002/poi3.379</w:t>
      </w:r>
    </w:p>
    <w:p>
      <w:pPr/>
      <w:r>
        <w:rPr>
          <w:b/>
        </w:rPr>
        <w:t>Shared claim-specific concepts:</w:t>
      </w:r>
      <w:r>
        <w:t xml:space="preserve"> article, understanding, show, potential, germany; EU scope visible. This is a provisional connection, not an outcome finding.</w:t>
      </w:r>
    </w:p>
    <w:p>
      <w:pPr>
        <w:pStyle w:val="SourceNote"/>
      </w:pPr>
      <w:r>
        <w:rPr>
          <w:b/>
        </w:rPr>
        <w:t>Available abstract (not full text):</w:t>
      </w:r>
      <w:r>
        <w:t xml:space="preserve"> Abstract This article presents the results of a study measuring possible overblocking due to copyright moderation and changes in the diversity of cultural products supply on YouTube in two European Union (EU) member states comparable in size and population, Germany and France. Both have adopted Article 17 of the EU Copyright in the Digital Single Market (CDSM) Directive (CDSMD) but Germany was 5 months ahead of France in changing its legislative regime for large social media platforms and copyright content moderation. The article assesses how content takedowns that were likely connected to copyright differed in these two countries and how this might have been influenced by the greater copyright moderation linked to the implementation of Article 17 of the CDSMD. Furthermore, the cultural supply diversity according to genre on YouTube was examined by applying Stirling's model of diversity and using a dual‐concept diversity index. To the best of the authors' knowledge, this is the first attempt to measure predicted changes to overblocking and possible changes in cultural diversity on YouTube's infrastructure since the new copyright rules came into force in the EU. The findings show that during the period examined, 2019–2022, significant differences were identified between Germany and France in terms of the takedowns of videos from categories prone to copyright moderation. In addit</w:t>
      </w:r>
    </w:p>
    <w:p>
      <w:pPr/>
      <w:r>
        <w:rPr>
          <w:b/>
        </w:rPr>
        <w:t>POSSIBLE 2022:</w:t>
      </w:r>
      <w:r>
        <w:t xml:space="preserve"> The Regional Development Trap in Europe — https://doi.org/10.1080/00130095.2022.2080655</w:t>
      </w:r>
    </w:p>
    <w:p>
      <w:pPr/>
      <w:r>
        <w:rPr>
          <w:b/>
        </w:rPr>
        <w:t>Shared claim-specific concepts:</w:t>
      </w:r>
      <w:r>
        <w:t xml:space="preserve"> article, indicators;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pStyle w:val="Heading2"/>
      </w:pPr>
      <w:r>
        <w:t>832.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2024:</w:t>
      </w:r>
      <w:r>
        <w:t xml:space="preserve"> Community Mental Health in Türkiye and Europe: Data and Influencing Factors — https://doi.org/10.18863/pgy.1392348</w:t>
      </w:r>
    </w:p>
    <w:p>
      <w:pPr/>
      <w:r>
        <w:rPr>
          <w:b/>
        </w:rPr>
        <w:t>Shared claim-specific concepts:</w:t>
      </w:r>
      <w:r>
        <w:t xml:space="preserve"> aim, examine, factors, affecting, three; EU scope visible. This is a provisional connection, not an outcome finding.</w:t>
      </w:r>
    </w:p>
    <w:p>
      <w:pPr>
        <w:pStyle w:val="SourceNote"/>
      </w:pPr>
      <w:r>
        <w:rPr>
          <w:b/>
        </w:rPr>
        <w:t>Available abstract (not full text):</w:t>
      </w:r>
      <w:r>
        <w:t xml:space="preserve"> Human is an entity that can be completed with the combination of biological, psychological and social factors. The concept of health is defined as being in a state of complete mental, social and physical well-being. The term "community mental health" defines mental health care in relation to the individual and the environment in which the individual interacts. If the factors affecting mental health are known and intervened, it is predicted that community mental health will make positive progress. The aim of this study is to examine and compare the factors affecting community mental health by analysing community mental health data in Türkiye and Europe. The World Health Organisation (WHO) examines these factors in three groups as individual, family and community and structural factors. In order to analyse the degree to which these factors affect mental health, data from Türkiye and Europe were analysed by examining the reports of the World Health Organization, European Commission, European Parliament, OECD, Institute for Health Metrics and Evaluation and Turkish Statistical Institute. It is seen that community mental health is affected by the community's understanding of health and illness, access to mental health services, gender, age, education, the concept of loneliness, unemployment, diseases affecting the world such as pandemics and the economy. As a result of mental health</w:t>
      </w:r>
    </w:p>
    <w:p>
      <w:pPr/>
      <w:r>
        <w:rPr>
          <w:b/>
        </w:rPr>
        <w:t>POSSIBLE 2024:</w:t>
      </w:r>
      <w:r>
        <w:t xml:space="preserve"> Examining the Market Potential for Smart Intelligent Packaging: A Focus on Italian Consumers — https://doi.org/10.34021/ve.2024.07.02(5)</w:t>
      </w:r>
    </w:p>
    <w:p>
      <w:pPr/>
      <w:r>
        <w:rPr>
          <w:b/>
        </w:rPr>
        <w:t>Shared claim-specific concepts:</w:t>
      </w:r>
      <w:r>
        <w:t xml:space="preserve"> factors, potential, meet; EU scope not established. This is a provisional connection, not an outcome finding.</w:t>
      </w:r>
    </w:p>
    <w:p>
      <w:pPr>
        <w:pStyle w:val="SourceNote"/>
      </w:pPr>
      <w:r>
        <w:rPr>
          <w:b/>
        </w:rPr>
        <w:t>Available abstract (not full text):</w:t>
      </w:r>
      <w:r>
        <w:t xml:space="preserve"> This study addresses the effect of smart intelligent packaging on consumers’ perceptions and aims to explore new market opportunities for smart intelligent packaging. Based on a quantitative research methodology, this study is exploratory in nature and aims to determine consumer attitudes toward smart, intelligent food packaging. The research findings show that smart packaging offers new technologies that better satisfy consumers’ needs. Italian respondents appreciate the monitoring and tracking functions of food packaging. In addition, different factors of food packaging that lead consumers to purchase are emphasized in our findings. This study confirms that packaging affects consumer purchase decisions. According to the results, although consumers’ knowledge of smart packaging technologies was low, their interest in obtaining more information related to smart intelligent packaging was high. Findings indicate that integrating smart packaging with advanced storage systems and technologies designed to prolong product shelf life is a sought-after technological approach for reducing food wastage. However, the research highlights a lack of consumer awareness and understanding concerning intelligent active packaging, hindering its widespread adoption. Therefore, it is recommended to ascertain consumer preferences regarding packaging characteristics to uncover effective marketing str</w:t>
      </w:r>
    </w:p>
    <w:p>
      <w:pPr/>
      <w:r>
        <w:rPr>
          <w:b/>
        </w:rPr>
        <w:t>POSSIBLE 2023:</w:t>
      </w:r>
      <w:r>
        <w:t xml:space="preserve"> Market and Market Potential: A Conceptual Paper — https://doi.org/10.61739/tbf.2023.12.2.341</w:t>
      </w:r>
    </w:p>
    <w:p>
      <w:pPr/>
      <w:r>
        <w:rPr>
          <w:b/>
        </w:rPr>
        <w:t>Shared claim-specific concepts:</w:t>
      </w:r>
      <w:r>
        <w:t xml:space="preserve"> factors, potential, trends, industries, framework; EU scope not established. This is a provisional connection, not an outcome finding.</w:t>
      </w:r>
    </w:p>
    <w:p>
      <w:pPr>
        <w:pStyle w:val="SourceNote"/>
      </w:pPr>
      <w:r>
        <w:rPr>
          <w:b/>
        </w:rPr>
        <w:t>Available abstract (not full text):</w:t>
      </w:r>
      <w:r>
        <w:t xml:space="preserve"> This paper focuses on an important aspect of marketing upon which all the concepts of marketing depend like segmentation, targeting, positioning, distribution, pricing, etc.This conceptual research paper delves into the fundamental concepts of markets and market potential.As essential drivers of economic activity, markets serve as pivotal arenas where buyers and sellers interact to exchange goods, services, and information.The paper explores the multifaceted dimensions of markets, and types of demand, elucidating their characteristics, classi ications, and functions in diverse industries and sectors.The market plays an important role in all the sectors like primary (Agriculture), secondary, and tertiary sector.Central to this study is the exploration of market potential, a crucial aspect that determines the growth prospects and pro itability of businesses and the agricultural sector.By delving into market potential analysis, this paper examines the underlying factors that in luence market attractiveness, including consumer demographics, purchasing power, demand trends, and competitive landscapes.Through a comprehensive review of existing literature, this research seeks to provide a conceptual framework that deepens the understanding of markets, types of demand, and market potential.</w:t>
      </w:r>
    </w:p>
    <w:p>
      <w:pPr/>
      <w:r>
        <w:rPr>
          <w:b/>
        </w:rPr>
        <w:t>POSSIBLE 2022:</w:t>
      </w:r>
      <w:r>
        <w:t xml:space="preserve"> Hydrogen in Grid Balancing: The European Market Potential for Pressurized Alkaline Electrolyzers — https://doi.org/10.3390/en15020637</w:t>
      </w:r>
    </w:p>
    <w:p>
      <w:pPr/>
      <w:r>
        <w:rPr>
          <w:b/>
        </w:rPr>
        <w:t>Shared claim-specific concepts:</w:t>
      </w:r>
      <w:r>
        <w:t xml:space="preserve"> aim, potential; EU scope visible. This is a provisional connection, not an outcome finding.</w:t>
      </w:r>
    </w:p>
    <w:p>
      <w:pPr>
        <w:pStyle w:val="SourceNote"/>
      </w:pPr>
      <w:r>
        <w:rPr>
          <w:b/>
        </w:rPr>
        <w:t>Available abstract (not full text):</w:t>
      </w:r>
      <w:r>
        <w:t xml:space="preserve"> To limit the global temperature change to no more than 2 °C by reducing global emissions, the European Union (EU) set up a goal of a 20% improvement on energy efficiency, a 20% cut of greenhouse gas emissions, and a 20% share of energy from renewable sources by 2020 (10% share of renewable energy (RE), specifically in the transport sector). By 2030, the goal is a 27% improvement in energy efficiency, a 40% cut of greenhouse gas emissions, and a 27% share of RE. However, the integration of RE in energy system faces multiple challenges. The geographical distribution of energy supply changes significantly the availability of the primary energy source (wind, solar, water) and is the determining factor, rather than where the consumers are. This leads to an increasing demand to match supply and demand for power. Especially intermittent RE like wind and solar power face the issue of energy production unrelated to demand (issue of excess energy production beyond demand and/or grid capacity) and forecast errors leading to an increasing demand for grid services like balancing power. Megawatt electrolyzer units (beyond 3 MW) can provide a technical solution to convert large amounts of excess electricity into hydrogen for industrial applications, substitute for natural gas, or the decarbonization of the mobility sector. The demonstration of successful MW electrolyzer operation providing gr</w:t>
      </w:r>
    </w:p>
    <w:p>
      <w:pPr/>
      <w:r>
        <w:rPr>
          <w:b/>
        </w:rPr>
        <w:t>POSSIBLE 2022:</w:t>
      </w:r>
      <w:r>
        <w:t xml:space="preserve"> Russia–Ukraine crisis: The effects on the European stock market — https://doi.org/10.1111/eufm.12386</w:t>
      </w:r>
    </w:p>
    <w:p>
      <w:pPr/>
      <w:r>
        <w:rPr>
          <w:b/>
        </w:rPr>
        <w:t>Shared claim-specific concepts:</w:t>
      </w:r>
      <w:r>
        <w:t xml:space="preserve"> examine, industries; EU scope visible. This is a provisional connection, not an outcome finding.</w:t>
      </w:r>
    </w:p>
    <w:p>
      <w:pPr>
        <w:pStyle w:val="SourceNote"/>
      </w:pPr>
      <w:r>
        <w:rPr>
          <w:b/>
        </w:rPr>
        <w:t>Available abstract (not full text):</w:t>
      </w:r>
      <w:r>
        <w:t xml:space="preserve"> Abstract We examine the effect of the Russia–Ukraine crisis on the European stock markets. Because of increased political uncertainty, geographic proximity and the ramifications of the fresh sanctions imposed on Russia, the European stock markets tended to react negatively to this crisis. We find that on 21 February 2022, when Russia recognized two Ukrainian states as autonomous regions, European stocks incurred a significant negative abnormal return. Moreover, the negative stock price reactions continued in the post‐event period. The magnitude of the stock price reactions to this crisis exhibits considerable variation across industries, countries and size of the company.</w:t>
      </w:r>
    </w:p>
    <w:p>
      <w:pPr/>
      <w:r>
        <w:rPr>
          <w:b/>
        </w:rPr>
        <w:t>POSSIBLE 2021:</w:t>
      </w:r>
      <w:r>
        <w:t xml:space="preserve"> Escalating incidence of infective endocarditis in Europe in the 21st century — https://doi.org/10.1136/openhrt-2021-001846</w:t>
      </w:r>
    </w:p>
    <w:p>
      <w:pPr/>
      <w:r>
        <w:rPr>
          <w:b/>
        </w:rPr>
        <w:t>Shared claim-specific concepts:</w:t>
      </w:r>
      <w:r>
        <w:t xml:space="preserve"> aim, factors, past, trends; EU scope visible. This is a provisional connection, not an outcome finding.</w:t>
      </w:r>
    </w:p>
    <w:p>
      <w:pPr>
        <w:pStyle w:val="SourceNote"/>
      </w:pPr>
      <w:r>
        <w:rPr>
          <w:b/>
        </w:rPr>
        <w:t>Available abstract (not full text):</w:t>
      </w:r>
      <w:r>
        <w:t xml:space="preserve"> AIM: To provide a contemporary analysis of incidence trends of infective endocarditis (IE) with its changing epidemiology over the past two decades in Europe. METHODS: A systematic review was conducted at the Mayo Clinic, Rochester. Ovid EBM Reviews, Ovid Embase, Ovid Medline, Scopus and Web of Science were searched for studies published between 1 January 2000 and 30 November 2020. All studies were independently reviewed by four referees and those that included a population-based incidence of IE in patients, irrespective of age, in Europe were included. Least squares regression was used to estimate pooled temporal trends in IE incidence. RESULTS: Of 9138 articles screened, 18 studies were included in the review. Elderly men predominated in all studies. IE incidence increased 4.1% per year (95% CI 1.8% to 6.4%) in the pooled regression analysis of eight studies that included comprehensive and consistent trends data. When trends data were weighted according to population size of individual countries, an increase in yearly incidence of 0.27 cases per 100 000 people was observed. Staphylococci and streptococci were the most common pathogens identified. The rate of surgical intervention ranged from 10.2% to 60.0%, and the rate of inpatient mortality ranged from 14.3% to 17.5%. In six studies that examined the rate of injection drug use, five of them reported a rate of less than 10%.</w:t>
      </w:r>
    </w:p>
    <w:p>
      <w:pPr/>
      <w:r>
        <w:rPr>
          <w:b/>
        </w:rPr>
        <w:t>POSSIBLE 2021:</w:t>
      </w:r>
      <w:r>
        <w:t xml:space="preserve"> An estimation of the European industrial heat pump market potential — https://doi.org/10.1016/j.rser.2020.110545</w:t>
      </w:r>
    </w:p>
    <w:p>
      <w:pPr/>
      <w:r>
        <w:rPr>
          <w:b/>
        </w:rPr>
        <w:t>Shared claim-specific concepts:</w:t>
      </w:r>
      <w:r>
        <w:t xml:space="preserve"> potential, perspectives; EU scope visible. This is a provisional connection, not an outcome finding.</w:t>
      </w:r>
    </w:p>
    <w:p>
      <w:pPr>
        <w:pStyle w:val="SourceNote"/>
      </w:pPr>
      <w:r>
        <w:rPr>
          <w:b/>
        </w:rPr>
        <w:t>Available abstract (not full text):</w:t>
      </w:r>
      <w:r>
        <w:t xml:space="preserve"> This paper presents an estimation of the European (EU28) industrial heat pump market potential in terms of magnitude, sizing and number of units. This study is carried out in order to provide technology suppliers and manufacturers of industrial heat pumps perspectives for the technology. Potential heat pump applications in the food, paper, chemical and refining sectors are identified considering a maximum sink temperature of 200°C. This is achieved utilising a bottom-up methodology that uses detailed information from individual processes in the aforementioned sectors. Combining individual process data with typical plant capacities provides information on the heating capacities of heat pumps. The data is upscaled to European level, using production statistics relevant to the individual processes analysed. Since the database of processes is generic in nature and not fully covering the whole industrial sector, the results of this analysis provide a conservative estimate of the heat pump market potential. The results show a potential cumulative heating capacity of industrial heat pumps in EU28 of 23.0 GW, consisting of 4174 heat pump units which are able to cover 641 PJ/a of process heat demand. The largest number of heat pump units (%) can be found for heating capacities &lt;10 MW, making up about 50% of the total market cumulative heating capacity. Clearly, there is a large market a</w:t>
      </w:r>
    </w:p>
    <w:p>
      <w:pPr/>
      <w:r>
        <w:rPr>
          <w:b/>
        </w:rPr>
        <w:t>POSSIBLE 2020:</w:t>
      </w:r>
      <w:r>
        <w:t xml:space="preserve"> Stressors, coping and symptoms of adjustment disorder in the course of the COVID-19 pandemic – study protocol of the European Society for Traumatic Stress Studies (ESTSS) pan-European study — https://doi.org/10.1080/20008198.2020.1780832</w:t>
      </w:r>
    </w:p>
    <w:p>
      <w:pPr/>
      <w:r>
        <w:rPr>
          <w:b/>
        </w:rPr>
        <w:t>Shared claim-specific concepts:</w:t>
      </w:r>
      <w:r>
        <w:t xml:space="preserve"> examine, factors, current, framework; EU scope visible. This is a provisional connection, not an outcome finding.</w:t>
      </w:r>
    </w:p>
    <w:p>
      <w:pPr>
        <w:pStyle w:val="SourceNote"/>
      </w:pPr>
      <w:r>
        <w:rPr>
          <w:b/>
        </w:rPr>
        <w:t>Available abstract (not full text):</w:t>
      </w:r>
      <w:r>
        <w:t xml:space="preserve"> BACKGROUND: During the current COVID-19 pandemic, the people in Europe are exposed to self-isolation, quarantine, job loss, risk of contracting COVID-19, or grief of loved ones. Such a complex array of stressors may lead to symptoms of adjustment disorder or posttraumatic stress disorder. This research protocol describes a study launched by the European Society of Traumatic Stress Studies (ESTSS) to investigate the impact of the COVID-19 pandemic on symptoms of adjustment disorder across European countries. OBJECTIVE: The longitudinal online cohort study aims (1) to explore psychosocial reactions to the COVID-19 pandemic across ten European countries; (2) to examine the relationships between risk and resilience factors, stressors and symptoms of adjustment disorder during the pandemic; and (3) to investigate whether these relationships are moderated by coping behaviours. METHOD: In ten countries (Austria, Croatia, Georgia, Germany, Italy, Lithuania, Netherlands, Poland, Portugal, and Sweden), between 1,000 and 2,000 participants will be recruited, depending on the size of the country. Participants will be assessed at two timepoints with a six-month interval. Following a conceptual framework based on the WHO's social framework of health, an assessment of risk and resilience factors, COVID-19 related stressors and pandemic-specific coping behaviours will be measured to estimate t</w:t>
      </w:r>
    </w:p>
    <w:p>
      <w:pPr>
        <w:pStyle w:val="Heading2"/>
      </w:pPr>
      <w:r>
        <w:t>833.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2023:</w:t>
      </w:r>
      <w:r>
        <w:t xml:space="preserve"> Genomic epidemiology of West Nile virus in Europe — https://doi.org/10.1016/j.onehlt.2023.100664</w:t>
      </w:r>
    </w:p>
    <w:p>
      <w:pPr/>
      <w:r>
        <w:rPr>
          <w:b/>
        </w:rPr>
        <w:t>Shared claim-specific concepts:</w:t>
      </w:r>
      <w:r>
        <w:t xml:space="preserve"> since, one, main, occurred; EU scope visible. This is a provisional connection, not an outcome finding.</w:t>
      </w:r>
    </w:p>
    <w:p>
      <w:pPr>
        <w:pStyle w:val="SourceNote"/>
      </w:pPr>
      <w:r>
        <w:rPr>
          <w:b/>
        </w:rPr>
        <w:t>Available abstract (not full text):</w:t>
      </w:r>
      <w:r>
        <w:t xml:space="preserve"> West Nile virus is one of the most widespread mosquito-borne zoonotic viruses, with unique transmission dynamics in various parts of the world. Genomic surveillance has provided important insights in the global patterns of West Nile virus emergence and spread. In Europe, multiple West Nile virus lineages have been isolated, with lineage 1a and 2 being the main lineages responsible for human infections. In contrast to North America, where a single introduction of lineage 1a resulted in the virus establishing itself in a new continent, at least 13 introductions of lineages 1a and 2 have occurred into Europe, which is likely a vast underestimation of the true number of introductions. Historically, lineage 1a was the main lineage circulating in Europe, but since the emergence of lineage 2 in the early 2000s, the latter has become the predominant lineage. This shift in West Nile virus lineage prevalence has been broadly linked to the expansion of the virus into northerly temperate regions, where autochthonous cases in animals and humans have been reported in Germany and The Netherlands. Here, we discuss how genomic analysis has increased our understanding of the epidemiology of West Nile virus in Europe, and we present a global Nextstrain build consisting of publicly available West Nile virus genomes (https://nextstrain.org/community/grubaughlab/WNV-Global). Our results elucidate re</w:t>
      </w:r>
    </w:p>
    <w:p>
      <w:pPr/>
      <w:r>
        <w:rPr>
          <w:b/>
        </w:rPr>
        <w:t>POSSIBLE 2023:</w:t>
      </w:r>
      <w:r>
        <w:t xml:space="preserve"> The World Order Challenges and the Main Risks of European Integration — https://openalex.org/W4414693906</w:t>
      </w:r>
    </w:p>
    <w:p>
      <w:pPr/>
      <w:r>
        <w:rPr>
          <w:b/>
        </w:rPr>
        <w:t>Shared claim-specific concepts:</w:t>
      </w:r>
      <w:r>
        <w:t xml:space="preserve"> since, one, main, after, influence; EU scope visible. This is a provisional connection, not an outcome finding.</w:t>
      </w:r>
    </w:p>
    <w:p>
      <w:pPr>
        <w:pStyle w:val="SourceNote"/>
      </w:pPr>
      <w:r>
        <w:rPr>
          <w:b/>
        </w:rPr>
        <w:t>Available abstract (not full text):</w:t>
      </w:r>
      <w:r>
        <w:t xml:space="preserve"> This paper is dedicated to the World Economic Order and to its evolution since the end of the Second World War, while showing its influence on the European Union's position as one of the key global actors. The author highlights also the new phase of the Global Order and the main forces that drive a new system of international relations under the strength of regionalization. At the same time, the position of the EU under the pressure of the main challenging forces has been analysed by the author, after more than 15 years since the eruption and spreading of the deepest financial international crises of the last century. The 2008 international financial crash and the post-crisis period embodied a seismic shock to the world economy in the form of a deep economic recession. It is important in the rapidly changing world that the EU Member States take the necessary measures to increase their competitiveness position in the world.</w:t>
      </w:r>
    </w:p>
    <w:p>
      <w:pPr/>
      <w:r>
        <w:rPr>
          <w:b/>
        </w:rPr>
        <w:t>POSSIBLE 2023:</w:t>
      </w:r>
      <w:r>
        <w:t xml:space="preserve"> TRENDS AND MAIN WAYS OF UPGRADING EUROPEAN EDUCATION — https://doi.org/10.32342/2522-4115-2023-1-25-13</w:t>
      </w:r>
    </w:p>
    <w:p>
      <w:pPr/>
      <w:r>
        <w:rPr>
          <w:b/>
        </w:rPr>
        <w:t>Shared claim-specific concepts:</w:t>
      </w:r>
      <w:r>
        <w:t xml:space="preserve"> since, one, main, goals, identify, trends; EU scope visible. This is a provisional connection, not an outcome finding.</w:t>
      </w:r>
    </w:p>
    <w:p>
      <w:pPr>
        <w:pStyle w:val="SourceNote"/>
      </w:pPr>
      <w:r>
        <w:rPr>
          <w:b/>
        </w:rPr>
        <w:t>Available abstract (not full text):</w:t>
      </w:r>
      <w:r>
        <w:t xml:space="preserve"> In the modern socio-economic context of the development of educational systems, the processes of globalization and internationalization play an important role, which determine the reformation of higher education. Competition and cooperation between educational and scientific organizations are intensifying all over the world, the exchange of students, teachers, graduate students and researchers is intensifying, distance education is becoming widespread, and the role of continuing education is growing. The purpose of the research is to identify and justify system-wide trends in the renewal of European education. The main task of this research is to determine the mechanisms and characterize the orientation of the renewal of the European education system under the conditions of internationalization and globalization. The methodological basis of the research consists of: the general scientific principle of objectivity; the principle of historical and logical unity; systemic and contextual approach, principle of interconnection; sociological, cultural and pedagogical concepts. It is determined that today the European Union is one of the world leaders in research and innovation. It is scientific knowledge, experience, high standards of the research, developed research infrastructure that guarantee many years of successful cooperation between the EU and other countries. At the present </w:t>
      </w:r>
    </w:p>
    <w:p>
      <w:pPr/>
      <w:r>
        <w:rPr>
          <w:b/>
        </w:rPr>
        <w:t>POSSIBLE 2022:</w:t>
      </w:r>
      <w:r>
        <w:t xml:space="preserve"> Seropositivity of main vector-borne pathogens in dogs across Europe — https://doi.org/10.1186/s13071-022-05316-5</w:t>
      </w:r>
    </w:p>
    <w:p>
      <w:pPr/>
      <w:r>
        <w:rPr>
          <w:b/>
        </w:rPr>
        <w:t>Shared claim-specific concepts:</w:t>
      </w:r>
      <w:r>
        <w:t xml:space="preserve"> main, identify; EU scope visible. This is a provisional connection, not an outcome finding.</w:t>
      </w:r>
    </w:p>
    <w:p>
      <w:pPr>
        <w:pStyle w:val="SourceNote"/>
      </w:pPr>
      <w:r>
        <w:rPr>
          <w:b/>
        </w:rPr>
        <w:t>Available abstract (not full text):</w:t>
      </w:r>
      <w:r>
        <w:t xml:space="preserve"> BACKGROUND: Canine vector-borne disease (CVBD) has been an area of increasing interest in Europe over the last few decades, and there have been changes in the prevalence and distribution of many of these diseases. Monitoring CVBD infections in Europe is often done by individual countries, but aggregated data for the European countries are helpful to understand the distribution of CVBDs. METHODS: We used an extensive retrospective database of results from point-of-care rapid enzyme-linked immunosorbent assay (ELISA) tests on dogs across Europe to identify distribution and seropositivity in animals tested for selected CVBDs (Anaplasma spp., Ehrlichia spp., Borrelia burgdorferi, Leishmania spp., and Dirofilaria immitis) from 2016 through 2020. Geographic distribution of positive tests and relative percent positive values were mapped by the Nomenclature of Territorial Units for Statistics classification for regions with sufficient test results for reporting. RESULTS: A total of 404,617 samples corresponding to 1,134,648 canine results were available from dogs tested in 35 countries over the 5-year study period. Over this period the number of test results per year increased whereas test positivity decreased. Leishmania spp. had the largest increase in total test results from 25,000 results in 2016 to over 60,000 results in 2020. Test positivity for Leishmania spp. fell from 13.9% in</w:t>
      </w:r>
    </w:p>
    <w:p>
      <w:pPr/>
      <w:r>
        <w:rPr>
          <w:b/>
        </w:rPr>
        <w:t>POSSIBLE 2021:</w:t>
      </w:r>
      <w:r>
        <w:t xml:space="preserve"> The European Union's fishing activity outside of European waters and the Sustainable Development Goals — https://doi.org/10.1111/faf.12533</w:t>
      </w:r>
    </w:p>
    <w:p>
      <w:pPr/>
      <w:r>
        <w:rPr>
          <w:b/>
        </w:rPr>
        <w:t>Shared claim-specific concepts:</w:t>
      </w:r>
      <w:r>
        <w:t xml:space="preserve"> goals, identify; EU scope visible. This is a provisional connection, not an outcome finding.</w:t>
      </w:r>
    </w:p>
    <w:p>
      <w:pPr>
        <w:pStyle w:val="SourceNote"/>
      </w:pPr>
      <w:r>
        <w:rPr>
          <w:b/>
        </w:rPr>
        <w:t>Available abstract (not full text):</w:t>
      </w:r>
      <w:r>
        <w:t xml:space="preserve"> Abstract The EU's fishing fleet engages in extensive fishing activities in the Exclusive Economic Zones of non‐EU countries as well as in areas beyond national jurisdiction. These activities are regulated by an external dimension in the EU's Common Fisheries Policy (CFP). We review the relationship between the CFP, including regulations for the Sustainable Management of External Fishing Fleets (SMEFF) and the role of Sustainable Fisheries Partnership Agreements (SFPAs) and Regional Fisheries Management Organisations (RFMOs), and the internationally agreed aims and definitions of sustainability provided by the United Nations Sustainable Development Goals (SDGs). The SDG that most directly relates to fish and fisheries is goal 14, to "conserve and sustainably use the oceans." This paper, however, focuses on relationships between the CFP and SDGs that target social and economic dimensions, including those aiming to eliminate poverty (1) and hunger (2), improve health (3), provide decent work and economic growth (8), and achieve gender equality (5) and peaceful institutions (16). We identify several areas where the EU's external fishing fleet interacts with different facets of those goals, and suggest some important improvements that can be made to support the development of the EU’s external fleet into a contributor, rather than counterforce, to sustainable development in line wit</w:t>
      </w:r>
    </w:p>
    <w:p>
      <w:pPr/>
      <w:r>
        <w:rPr>
          <w:b/>
        </w:rPr>
        <w:t>POSSIBLE 2021:</w:t>
      </w:r>
      <w:r>
        <w:t xml:space="preserve"> Alignment of the European Green Deal, the Sustainable Development Goals and the European Semester Process: Method and Application — https://doi.org/10.4236/tel.2021.114049</w:t>
      </w:r>
    </w:p>
    <w:p>
      <w:pPr/>
      <w:r>
        <w:rPr>
          <w:b/>
        </w:rPr>
        <w:t>Shared claim-specific concepts:</w:t>
      </w:r>
      <w:r>
        <w:t xml:space="preserve"> main, goals, after, taken; EU scope visible. This is a provisional connection, not an outcome finding.</w:t>
      </w:r>
    </w:p>
    <w:p>
      <w:pPr>
        <w:pStyle w:val="SourceNote"/>
      </w:pPr>
      <w:r>
        <w:rPr>
          <w:b/>
        </w:rPr>
        <w:t>Available abstract (not full text):</w:t>
      </w:r>
      <w:r>
        <w:t xml:space="preserve"> The Agenda 2030 with its 17 Sustainable Development Goals (SDGs) along with the European Green Deal and its 9 Policy Areas, are the key strategic frameworks for the transformation of Europe into a climate-neutral continent in the future decades. Thus, the mandates derived from these contexts must be taken into consideration by the European countries. This report aims to suggest a methodology for the co-integration of the Sustainable Development Goals (SDGs) and the European Green Deal (EGD), with the Country-specific recommendations (CSRs) made by the European Commission as part of the Semester process. At the same time, all these should be aligned with the EU Recovery Plan, to supply applicable strategies to the European policymakers and strengthen the national recovery Plans of the Member States, which are driven by the above-mentioned EU-driven packs, in line with the superior UN Agenda for the Sustainable Development. For the alignment of CSRs, the SDGs, and the EGD a 3D-mapping approach is proposed. After the Introduction in Section 1, the framework of the applicable Policies is presented in Section 2 and our Methodology is described in Section 3. In Section 4 our results are demonstrated for the EU and in Section 5 the main conclusions are listed along with a discussion for future directions. Our analysis shows that overall, the EU has sufficiently incorporated the SDGs i</w:t>
      </w:r>
    </w:p>
    <w:p>
      <w:pPr/>
      <w:r>
        <w:rPr>
          <w:b/>
        </w:rPr>
        <w:t>POSSIBLE 2020:</w:t>
      </w:r>
      <w:r>
        <w:t xml:space="preserve"> Identity Politics and Populism in Europe — https://doi.org/10.1146/annurev-polisci-050718-033542</w:t>
      </w:r>
    </w:p>
    <w:p>
      <w:pPr/>
      <w:r>
        <w:rPr>
          <w:b/>
        </w:rPr>
        <w:t>Shared claim-specific concepts:</w:t>
      </w:r>
      <w:r>
        <w:t xml:space="preserve"> since, main, political; EU scope visible. This is a provisional connection, not an outcome finding.</w:t>
      </w:r>
    </w:p>
    <w:p>
      <w:pPr>
        <w:pStyle w:val="SourceNote"/>
      </w:pPr>
      <w:r>
        <w:rPr>
          <w:b/>
        </w:rPr>
        <w:t>Available abstract (not full text):</w:t>
      </w:r>
      <w:r>
        <w:t xml:space="preserve"> We review the literature on the rise of identity politics and populism in Europe. Populist parties have gained large vote shares since the Great Recession of 2008. We observe in many countries, and even in the European Parliament, a transformation of the main dimension of politics from the left–right cleavage to a new cleavage opposing the mainstream parties to populist parties. We examine how this transformation relates to changes in voter attitudes and the adjustment of political parties to these changes. Two main types of causes for the rise of populism have emerged: economic and cultural. In reviewing the evidence, we find a complex interaction between economic and cultural factors. Economic anxiety among large groups of voters related to the Great Recession and austerity policies triggers a heightened receptivity to the messages of cultural backlash from populist parties.</w:t>
      </w:r>
    </w:p>
    <w:p>
      <w:pPr>
        <w:pStyle w:val="Heading2"/>
      </w:pPr>
      <w:r>
        <w:t>834.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2023:</w:t>
      </w:r>
      <w:r>
        <w:t xml:space="preserve"> Cross-cultural Communication of Traditional Chinese Medicine under the Background of the Belt and Road Initiative —A Case Study of Central and Eastern European countries — https://doi.org/10.22158/jecs.v7n4p25</w:t>
      </w:r>
    </w:p>
    <w:p>
      <w:pPr/>
      <w:r>
        <w:rPr>
          <w:b/>
        </w:rPr>
        <w:t>Shared claim-specific concepts:</w:t>
      </w:r>
      <w:r>
        <w:t xml:space="preserve"> countries, australia, canada, france, japan, united; EU scope visible. This is a provisional connection, not an outcome finding.</w:t>
      </w:r>
    </w:p>
    <w:p>
      <w:pPr>
        <w:pStyle w:val="SourceNote"/>
      </w:pPr>
      <w:r>
        <w:rPr>
          <w:b/>
        </w:rPr>
        <w:t>Available abstract (not full text):</w:t>
      </w:r>
      <w:r>
        <w:t xml:space="preserve"> With the effective implementation of the Belt and Road Initiative, Chinese culture has been accepted by more and more Central and Eastern European countries, and has further promoted political, economic and cultural exchanges and cooperation among these countries. As an important part of Chinese culture, traditional Chinese medicine (TCM) has become a channel of cultural exchange, and has been paid more and more attention. However, in general, the development and scale of traditional Chinese medicine in central and Eastern Europe are far smaller than that of the United States, Canada and Japan, and Australia as well as Western European countries, such as the United Kingdom, France and the Netherlands. Therefore, it is necessary to promote traditional Chinese medicine to CEE in order to further spread traditional Chinese medicine culture and open up more opportunities for cooperation.</w:t>
      </w:r>
    </w:p>
    <w:p>
      <w:pPr/>
      <w:r>
        <w:rPr>
          <w:b/>
        </w:rPr>
        <w:t>POSSIBLE 2023:</w:t>
      </w:r>
      <w:r>
        <w:t xml:space="preserve"> Engagement of European Countries in the Implementation of the US Indo-Pacific Strategy (Part 1) — https://doi.org/10.22394/1726-1139-2023-11-25-45</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2022:</w:t>
      </w:r>
      <w:r>
        <w:t xml:space="preserve"> Systematic literature review and meta-analysis of the prevalence of secondary progressive multiple sclerosis in the USA, Europe, Canada, Australia, and Brazil — https://doi.org/10.1186/s12883-022-02820-0</w:t>
      </w:r>
    </w:p>
    <w:p>
      <w:pPr/>
      <w:r>
        <w:rPr>
          <w:b/>
        </w:rPr>
        <w:t>Shared claim-specific concepts:</w:t>
      </w:r>
      <w:r>
        <w:t xml:space="preserve"> countries, australia, brazil, canada, united, states; EU scope visible. This is a provisional connection, not an outcome finding.</w:t>
      </w:r>
    </w:p>
    <w:p>
      <w:pPr>
        <w:pStyle w:val="SourceNote"/>
      </w:pPr>
      <w:r>
        <w:rPr>
          <w:b/>
        </w:rPr>
        <w:t>Available abstract (not full text):</w:t>
      </w:r>
      <w:r>
        <w:t xml:space="preserve"> BACKGROUND: Secondary progressive multiple sclerosis (SPMS) is a subtype of multiple sclerosis (MS), which is a chronic neurological disease, characterised by inflammation of the central nervous system. Most of MS patients eventually progress to SPMS. This study estimates the prevalence of SPMS in the United States of America, Europe, Canada, Australia, and Brazil. METHODS: A systematic literature search of the Medline and Embase databases was performed using the OVID™ SP platform to identify MS epidemiological studies published in English from database inception to September 22, 2020. Studies reporting the prevalence of MS and proportion of SPMS patients in the included population were selected. The pooled prevalence of SPMS was calculated based on the proportion of SPMS patients. The Loney quality assessment checklist was used for quality grading. A meta-analysis of the proportions was conducted in RStudio. RESULTS: A total of 4754 articles were retrieved, and prevalence was calculated from 97 relevant studies. Overall, 86 medium- and high-quality studies were included in the meta-analysis. Most studies were conducted in European countries (84 studies). The estimated pooled prevalence of SPMS was 22.42 (99% confidence interval: 18.30, 26.95)/100,000. The prevalence of SPMS was more in the North European countries, highest in Sweden and lowest in Brazil. A decline in SPMS prev</w:t>
      </w:r>
    </w:p>
    <w:p>
      <w:pPr/>
      <w:r>
        <w:rPr>
          <w:b/>
        </w:rPr>
        <w:t>POSSIBLE 2021:</w:t>
      </w:r>
      <w:r>
        <w:t xml:space="preserve"> Relevant aspects of carbon storage activities’ liability in paradigmatic countries: Australia, Brazil, Canada, European Union, Japan, Norway, United Kingdom, and United States — https://doi.org/10.1016/b978-0-323-85250-0.00013-x</w:t>
      </w:r>
    </w:p>
    <w:p>
      <w:pPr/>
      <w:r>
        <w:rPr>
          <w:b/>
        </w:rPr>
        <w:t>Shared claim-specific concepts:</w:t>
      </w:r>
      <w:r>
        <w:t xml:space="preserve"> countries, australia, brazil, canada, japan, united;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Comparison of Prices and Affordability of Cancer Medicines in 16 Countries in Europe and Latin America — https://doi.org/10.1007/s40258-021-00670-4</w:t>
      </w:r>
    </w:p>
    <w:p>
      <w:pPr/>
      <w:r>
        <w:rPr>
          <w:b/>
        </w:rPr>
        <w:t>Shared claim-specific concepts:</w:t>
      </w:r>
      <w:r>
        <w:t xml:space="preserve"> countries, brazil, france, germany, mexico, national; EU scope visible. This is a provisional connection, not an outcome finding.</w:t>
      </w:r>
    </w:p>
    <w:p>
      <w:pPr>
        <w:pStyle w:val="SourceNote"/>
      </w:pPr>
      <w:r>
        <w:rPr>
          <w:b/>
        </w:rPr>
        <w:t>Available abstract (not full text):</w:t>
      </w:r>
      <w:r>
        <w:t xml:space="preserve"> BACKGROUND: There are concerns that high prices of cancer medicines may limit patient access. Since information on prices for cancer medicines and their impact on affordability is lacking for several countries, particularly for lower income countries, this study surveys prices of originator cancer medicines in Europe and Latin America and assesses their affordability. METHODS: For 19 cancer medicines, public procurement and ex-factory prices, as of 2017, were surveyed in five Latin American (LATAM) countries (Brazil, Chile, Colombia, Mexico, and Peru) and 11 European countries (Austria, France, Germany, Greece, Hungary, the Netherlands, Poland, Romania, Spain, Sweden, and the UK). Price data (public procurement prices in LATAM and ex-factory prices in Europe) in US dollar purchasing power parities (PPP) were analyzed per defined daily dose. Affordability was measured by setting medicines prices in relation to national minimum wages. RESULTS: The prices of cancer medicines varied considerably between countries. In European countries with higher levels of income, PPP-adjusted prices tended to be lower than in European countries of lower income and LATAM countries. Except for one medicine, all surveyed medicines were considered unaffordable in most countries. In European countries of lower income and LATAM countries, more than 15 days' worth of minimum wages would be required by a</w:t>
      </w:r>
    </w:p>
    <w:p>
      <w:pPr/>
      <w:r>
        <w:rPr>
          <w:b/>
        </w:rPr>
        <w:t>POSSIBLE 2021:</w:t>
      </w:r>
      <w:r>
        <w:t xml:space="preserve"> Clinical practices related to high-flow nasal cannulas in pediatric critical care in Brazil compared to other countries: a Brazilian survey — https://doi.org/10.5935/0103-507x.20210055</w:t>
      </w:r>
    </w:p>
    <w:p>
      <w:pPr/>
      <w:r>
        <w:rPr>
          <w:b/>
        </w:rPr>
        <w:t>Shared claim-specific concepts:</w:t>
      </w:r>
      <w:r>
        <w:t xml:space="preserve"> countries, australia, brazil, canada, india, south; EU scope visible. This is a provisional connection, not an outcome finding.</w:t>
      </w:r>
    </w:p>
    <w:p>
      <w:pPr>
        <w:pStyle w:val="SourceNote"/>
      </w:pPr>
      <w:r>
        <w:rPr>
          <w:b/>
        </w:rPr>
        <w:t>Available abstract (not full text):</w:t>
      </w:r>
      <w:r>
        <w:t xml:space="preserve"> OBJECTIVE: To describe current clinical practices related to the use of high-flow nasal cannula therapy by Brazilian pediatric intensivists and compare them with those in other countries. METHODS: A questionnaire was administered to pediatric intensivists in North and South America, Asia, Europe, and Australia/New Zealand for the main study. We compared the Brazilian cohort with cohorts in the United States of America, Canada, the United Kingdom, and India. RESULTS: Overall, 501 physicians responded, 127 of which were in Brazil. Only 63.8% of respondents in Brazil had a high-flow nasal cannula available, in contrast to 100% of respondents in the United Kingdom, Canada, and the United States. The attending physician was responsible for the decision to start a high-flow nasal cannula according to 61.2% respondents in Brazil, 95.5% in the United Kingdom, 96.6% in the United States, 96.8% in Canada, and 84.7% in India. A total of 62% of respondents in Brazil, 96.3% in the United Kingdom, 96.6% in the United States, 96.8% in Canada, and 84.7% in India reported that the attending physician was responsible for the decision to wean or modify the high-flow nasal cannula settings. When high-flow nasal cannula therapy failed due to respiratory distress/failure, 82% of respondents in Brazil would consider a trial of noninvasive ventilation before endotracheal intubation, compared to 93% in</w:t>
      </w:r>
    </w:p>
    <w:p>
      <w:pPr/>
      <w:r>
        <w:rPr>
          <w:b/>
        </w:rPr>
        <w:t>POSSIBLE 2021:</w:t>
      </w:r>
      <w:r>
        <w:t xml:space="preserve"> Evolution of Medical Device Sector in India and Comparison of Registration Processes of Medical Devices in India with Countries like China, Australia, U.S. and Europe — https://doi.org/10.23880/pdraj-16000127</w:t>
      </w:r>
    </w:p>
    <w:p>
      <w:pPr/>
      <w:r>
        <w:rPr>
          <w:b/>
        </w:rPr>
        <w:t>Shared claim-specific concepts:</w:t>
      </w:r>
      <w:r>
        <w:t xml:space="preserve"> countries, australia, china, india, national; EU scope visible. This is a provisional connection, not an outcome finding.</w:t>
      </w:r>
    </w:p>
    <w:p>
      <w:pPr>
        <w:pStyle w:val="SourceNote"/>
      </w:pPr>
      <w:r>
        <w:rPr>
          <w:b/>
        </w:rPr>
        <w:t>Available abstract (not full text):</w:t>
      </w:r>
      <w:r>
        <w:t xml:space="preserve"> The medical device market in India is a sunrise sector in the pharmaceutical industry and has achieved a milestone in the last few years securing 4th position in the medical device market in Asia with increasing foreign direct investments through governments Make in India Campaign 2017, and PLI (Product linked incentive) schemes. To enter the medical device market in any country, one has to go through different procedures and regulatory requirements of that country. Medical devices are regulated in India by the DCGI (Drug Controller General of India) under the CDSCO (Central Drug Standard Control Organization). In China, the registration approval process is under NMPA (National Medical Product Administration) and requires complying with Chinese regulatory standard notice No. 218. Europe and Australian regulations are bit same and require a CE (Conformité Européenne) mark for manufacturing and marketing. U.S. regulations for approving medical devices are stringent and 510 (k) and PMA (pre-market authorization) is compulsory. In this review, the reader would get an idea about the evolution of medical devices and legislative changes in India and also about international standards and auditing programs. There is a comparison of Indian, Chinese, Australian, U.S., and European medical device registration processes for understanding the similarities and differences.</w:t>
      </w:r>
    </w:p>
    <w:p>
      <w:pPr/>
      <w:r>
        <w:rPr>
          <w:b/>
        </w:rPr>
        <w:t>POSSIBLE 2021:</w:t>
      </w:r>
      <w:r>
        <w:t xml:space="preserve"> AUSTRALIA AND BRAZIL: A DIALOGUE ON CITIZENSHIP EDUCATIONAL IN THE SCHOOL CURRICULA — https://doi.org/10.18224/educ.v24i1.8259</w:t>
      </w:r>
    </w:p>
    <w:p>
      <w:pPr/>
      <w:r>
        <w:rPr>
          <w:b/>
        </w:rPr>
        <w:t>Shared claim-specific concepts:</w:t>
      </w:r>
      <w:r>
        <w:t xml:space="preserve"> countries, australia, brazil, debate; EU scope not established. This is a provisional connection, not an outcome finding.</w:t>
      </w:r>
    </w:p>
    <w:p>
      <w:pPr>
        <w:pStyle w:val="SourceNote"/>
      </w:pPr>
      <w:r>
        <w:rPr>
          <w:b/>
        </w:rPr>
        <w:t>Available abstract (not full text):</w:t>
      </w:r>
      <w:r>
        <w:t xml:space="preserve"> The debate on citizenship education has impacted the area of education in several aspects, mainly in the introduction of changes in school curricula. Therefore, it is timely to identify, analyse and discuss the implications that such changes have had on curricula. The present study was carried out to understand the contents, skills, attitudes and values the Australian Curriculum and the Brazilian Curriculum have incorporated to develop citizenship education. This qualitative research highlights the relevance attributed to citizenship in the curriculum of several countries and in the proposals of international organizations. Therefore, it explains the main features of the curricula in focus. Finally, the results are discussed.</w:t>
      </w:r>
    </w:p>
    <w:p>
      <w:pPr/>
      <w:r>
        <w:rPr>
          <w:b/>
        </w:rPr>
        <w:t>POSSIBLE 2021:</w:t>
      </w:r>
      <w:r>
        <w:t xml:space="preserve"> Study On The Situation Between France And The South China Sea From The Perspective Of Balance Of Power Theory — https://doi.org/10.52987/pcrc.2021.011</w:t>
      </w:r>
    </w:p>
    <w:p>
      <w:pPr/>
      <w:r>
        <w:rPr>
          <w:b/>
        </w:rPr>
        <w:t>Shared claim-specific concepts:</w:t>
      </w:r>
      <w:r>
        <w:t xml:space="preserve"> countries, australia, china, france, germany, india; EU scope visible. This is a provisional connection, not an outcome finding.</w:t>
      </w:r>
    </w:p>
    <w:p>
      <w:pPr>
        <w:pStyle w:val="SourceNote"/>
      </w:pPr>
      <w:r>
        <w:rPr>
          <w:b/>
        </w:rPr>
        <w:t>Available abstract (not full text):</w:t>
      </w:r>
      <w:r>
        <w:t xml:space="preserve"> ABSTRACT With the rise of China and the escalation of tension between China and the United States, European countries led by Britain, France and Germany pay increasing attention to the regional situation in the Asia-Pacific (now known as "Indo-Pacific"). Among them, the South China Sea (SCS) is one of the main areas disputed by China, the United States, Southeast Asian countries and some European countries. Western countries are worried that the rise of China's military power will break the stability of the situation in SCS and alter the balance of power among major powers. Therefore, they tried to balance China's rise through alliance. In France's Indo-Pacific strategy, France aims to build a regional order with the alliance of France, India and Australia as the core, and regularly carry out military exercises targeting SCS with the United States, Japan and Southeast Asian countries. This paper aims to study the activities and motivation of France in the South China Sea, and put the situation in SCS under the perspective of Balance of Power Theory, focusing on China, America and France. It will be argued that great powers are carefully maintaining the balance of military power in SCS, and it is highly possible that this trend would still last in the middle and long term, particularly via military deployment and strategic alliances. KEYWORDS: South China Sea, France, China, Bal</w:t>
      </w:r>
    </w:p>
    <w:p>
      <w:pPr>
        <w:pStyle w:val="Heading2"/>
      </w:pPr>
      <w:r>
        <w:t>835.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driven, need, industrial, potential;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2023:</w:t>
      </w:r>
      <w:r>
        <w:t xml:space="preserve"> Bedrock geological map predictions for Phanerozoic fossil occurrences — https://doi.org/10.1017/pab.2022.46</w:t>
      </w:r>
    </w:p>
    <w:p>
      <w:pPr/>
      <w:r>
        <w:rPr>
          <w:b/>
        </w:rPr>
        <w:t>Shared claim-specific concepts:</w:t>
      </w:r>
      <w:r>
        <w:t xml:space="preserve"> fossil, need, expected; EU scope visible. This is a provisional connection, not an outcome finding.</w:t>
      </w:r>
    </w:p>
    <w:p>
      <w:pPr>
        <w:pStyle w:val="SourceNote"/>
      </w:pPr>
      <w:r>
        <w:rPr>
          <w:b/>
        </w:rPr>
        <w:t>Available abstract (not full text):</w:t>
      </w:r>
      <w:r>
        <w:t xml:space="preserve"> Abstract Geographically explicit, taxonomically resolved fossil occurrences are necessary for reconstructing macroevolutionary patterns and for testing a wide range of hypotheses in the Earth and life sciences. Heterogeneity in the spatial and temporal distribution of fossil occurrences in the Paleobiology Database (PBDB) is attributable to several different factors, including turnover among biological communities, socioeconomic disparities in the intensity of paleontological research, and geological controls on the distribution and fossil yield of sedimentary deposits. Here we use the intersection of global geological map data from Macrostrat and fossil collections in the PBDB to assess the extent to which the potentially fossil-bearing, surface-expressed sedimentary record has yielded fossil occurrences. We find a significant and moderately strong positive correlation between geological map area and the number of fossil occurrences. This correlation is consistent regardless of map unit age and binning protocol, except at period level; the Neogene and Quaternary have non-marine map units covering large areas and yielding fewer occurrences than expected. The sedimentary record of North America and Europe yields significantly more fossil occurrences per sedimentary area than similarly aged deposits in most of the rest of the world. However, geographic differences in area and age</w:t>
      </w:r>
    </w:p>
    <w:p>
      <w:pPr/>
      <w:r>
        <w:rPr>
          <w:b/>
        </w:rPr>
        <w:t>POSSIBLE 2023:</w:t>
      </w:r>
      <w:r>
        <w:t xml:space="preserve"> Assessing the energy trap of industrial agriculture in North America and Europe: 82 balances from 1830 to 2012 — https://doi.org/10.1007/s13593-023-00925-5</w:t>
      </w:r>
    </w:p>
    <w:p>
      <w:pPr/>
      <w:r>
        <w:rPr>
          <w:b/>
        </w:rPr>
        <w:t>Shared claim-specific concepts:</w:t>
      </w:r>
      <w:r>
        <w:t xml:space="preserve"> driven, growing, industrial, production, conclude; EU scope visible. This is a provisional connection, not an outcome finding.</w:t>
      </w:r>
    </w:p>
    <w:p>
      <w:pPr>
        <w:pStyle w:val="SourceNote"/>
      </w:pPr>
      <w:r>
        <w:rPr>
          <w:b/>
        </w:rPr>
        <w:t>Available abstract (not full text):</w:t>
      </w:r>
      <w:r>
        <w:t xml:space="preserve"> Early energy analyses of agriculture revealed that behind higher labor and land productivity of industrial farming, there was a decrease in energy returns on energy (EROI) invested, in comparison to more traditional organic agricultural systems. Studies on recent trends show that efficiency gains in production and use of inputs have again somewhat improved energy returns. However, most of these agricultural energy studies have focused only on external inputs at the crop level, concealing the important role of internal biomass flows that livestock and forestry recirculate within agroecosystems. Here, we synthesize the results of 82 farm systems in North America and Europe from 1830 to 2012 that for the first time show the changing energy profiles of agroecosystems, including livestock and forestry, with a multi-EROI approach that accounts for the energy returns on external inputs, on internal biomass reuses, and on all inputs invested. With this historical circular bioeconomic approach, we found a general trend towards much lower external returns, little or no increases in internal returns, and almost no improvement in total returns. This "energy trap" was driven by shifts towards a growing dependence of crop production on fossil-fueled external inputs, much more intensive livestock production based on feed grains, less forestry, and a structural disintegration of agroecosystem </w:t>
      </w:r>
    </w:p>
    <w:p>
      <w:pPr/>
      <w:r>
        <w:rPr>
          <w:b/>
        </w:rPr>
        <w:t>POSSIBLE 2023:</w:t>
      </w:r>
      <w:r>
        <w:t xml:space="preserve"> Potential impacts of rapidly changing european use of fossil fuels on global warming — https://doi.org/10.1088/2515-7620/acf3d7</w:t>
      </w:r>
    </w:p>
    <w:p>
      <w:pPr/>
      <w:r>
        <w:rPr>
          <w:b/>
        </w:rPr>
        <w:t>Shared claim-specific concepts:</w:t>
      </w:r>
      <w:r>
        <w:t xml:space="preserve"> fossil, pathways, potential; EU scope visible. This is a provisional connection, not an outcome finding.</w:t>
      </w:r>
    </w:p>
    <w:p>
      <w:pPr>
        <w:pStyle w:val="SourceNote"/>
      </w:pPr>
      <w:r>
        <w:rPr>
          <w:b/>
        </w:rPr>
        <w:t>Available abstract (not full text):</w:t>
      </w:r>
      <w:r>
        <w:t xml:space="preserve"> Abstract The balance of primary energy sources for Europe has been changing rapidly over recent decades, shifting towards more renewables and using fossil fuels with lower carbon emissions. However, the latter is being impacted by the Russia-Ukraine conflict. Here, we determine the potential bounds of how this may affect global warming, based on whether the European use of Russian gas and oil is replaced with either less efficient burning of coal (with and without the gas and oil then used in new markets elsewhere) or with renewables. We perform calculations as perturbations from a baseline carbon dioxide (CO2) trajectory associated with ‘middle range’ and ‘low’ Shared Socioeconomic Pathways (SSP), SSP2-45 and SSP1-26. We calculate the CO2 perturbations as a simulated step change in emissions for the year 2023, which then decays linearly to zero by 2043. The emission profiles drive the FaIR simple climate model. FaIR links greenhouse gas emissions to global warming levels and includes a representation of warming uncertainty based on projections made using more complex Earth system models. We find that the direct impact of the conflict on the global mean temperature is likely to be relatively small, amounting to the worst case of nearly one-hundredth of a degree. This warming is equivalent to approximately an extra half year of current global CO2 emissions. However, we suggest t</w:t>
      </w:r>
    </w:p>
    <w:p>
      <w:pPr/>
      <w:r>
        <w:rPr>
          <w:b/>
        </w:rPr>
        <w:t>POSSIBLE 2021:</w:t>
      </w:r>
      <w:r>
        <w:t xml:space="preserve"> Growing environmental footprint of plastics driven by coal combustion — https://doi.org/10.1038/s41893-021-00807-2</w:t>
      </w:r>
    </w:p>
    <w:p>
      <w:pPr/>
      <w:r>
        <w:rPr>
          <w:b/>
        </w:rPr>
        <w:t>Shared claim-specific concepts:</w:t>
      </w:r>
      <w:r>
        <w:t xml:space="preserve"> driven, growing, sustainable, production; EU scope visible. This is a provisional connection, not an outcome finding.</w:t>
      </w:r>
    </w:p>
    <w:p>
      <w:pPr>
        <w:pStyle w:val="SourceNote"/>
      </w:pPr>
      <w:r>
        <w:rPr>
          <w:b/>
        </w:rPr>
        <w:t>Available abstract (not full text):</w:t>
      </w:r>
      <w:r>
        <w:t xml:space="preserve"> Abstract Research on the environmental impacts from the global value chain of plastics has typically focused on the disposal phase, considered most harmful to the environment and human health. However, the production of plastics is also responsible for substantial environmental, health and socioeconomic impacts. We show that the carbon and particulate-matter-related health footprint of plastics has doubled since 1995, due mainly to growth in plastics production in coal-based economies. Coal-based emissions have quadrupled since 1995, causing almost half of the plastics-related carbon and particulate-matter-related health footprint in 2015. Plastics-related carbon footprints of China’s transportation, Indonesia’s electronics industry and India’s construction sector have increased more than 50-fold since 1995. In 2015, plastics caused 4.5% of global greenhouse gas emissions. Moreover, 6% of global coal electricity is used for plastics production. The European Union and the United States have increasingly consumed plastics produced in coal-based economies. In 2015, 85% of the workforce required for plastics consumed by the European Union and the United States was employed abroad, but 80% of the related value added was generated domestically. As high-income regions have outsourced the energy-intensive steps of plastics production to coal-based economies, renewable energy investment</w:t>
      </w:r>
    </w:p>
    <w:p>
      <w:pPr/>
      <w:r>
        <w:rPr>
          <w:b/>
        </w:rPr>
        <w:t>POSSIBLE 2021:</w:t>
      </w:r>
      <w:r>
        <w:t xml:space="preserve"> Fossil Natural Gas Exit – A New Narrative for the European Energy Transformation Towards Decarbonization — https://doi.org/10.5547/2160-5890.10.2.chir</w:t>
      </w:r>
    </w:p>
    <w:p>
      <w:pPr/>
      <w:r>
        <w:rPr>
          <w:b/>
        </w:rPr>
        <w:t>Shared claim-specific concepts:</w:t>
      </w:r>
      <w:r>
        <w:t xml:space="preserve"> growing, fossil, need, potential; EU scope visible. This is a provisional connection, not an outcome finding.</w:t>
      </w:r>
    </w:p>
    <w:p>
      <w:pPr>
        <w:pStyle w:val="SourceNote"/>
      </w:pPr>
      <w:r>
        <w:rPr>
          <w:b/>
        </w:rPr>
        <w:t>Available abstract (not full text):</w:t>
      </w:r>
      <w:r>
        <w:t xml:space="preserve"> This paper discusses the potential role of fossil natural gas (and other gases) in the process of the energy transformation in Europe on its way to complete decarbonization. Mainstream conventional wisdom has it that natural gas, perhaps in combination with other gases, should maintain an important role in the energy mix, first, as a “bridge fuel”, and then through a gradual transition toward decarbonized gases. This is most comprehensively rolled out in three consecutive discussion papers by Jonathan Stern from the Oxford Institute for Energy Studies (2017b, 2017a, 2019). Based on an in- depth assessment of the ambitious climate targets of the EU and the subsequent need for far-reaching decarbonization, as well as on results from energy system modeling, a contrasting result emerges, where the disappearance of fossil natural gas and its corresponding infrastructure is the next logical step of the transformation process in Europe. The lack of an economic perspective for nuclear power and the absence of a plausible deployment of large-scale carbon-dioxide removal technologies (CDR) imply that natural gas has no “sweet spot” any longer in the decarbonization process. In other words: Fossil natural gas is no longer part of the solution to the challenge of climate change, but has become part of the problem. Over the last years, the phasing out of natural gas in Europe has already st</w:t>
      </w:r>
    </w:p>
    <w:p>
      <w:pPr/>
      <w:r>
        <w:rPr>
          <w:b/>
        </w:rPr>
        <w:t>POSSIBLE 2020:</w:t>
      </w:r>
      <w:r>
        <w:t xml:space="preserve"> European heart health survey 2019 — https://doi.org/10.1002/clc.23478</w:t>
      </w:r>
    </w:p>
    <w:p>
      <w:pPr/>
      <w:r>
        <w:rPr>
          <w:b/>
        </w:rPr>
        <w:t>Shared claim-specific concepts:</w:t>
      </w:r>
      <w:r>
        <w:t xml:space="preserve"> driven, awareness, potential; EU scope visible. This is a provisional connection, not an outcome finding.</w:t>
      </w:r>
    </w:p>
    <w:p>
      <w:pPr>
        <w:pStyle w:val="SourceNote"/>
      </w:pPr>
      <w:r>
        <w:rPr>
          <w:b/>
        </w:rPr>
        <w:t>Available abstract (not full text):</w:t>
      </w:r>
      <w:r>
        <w:t xml:space="preserve"> BACKGROUND: Rising life expectancy in the western population is increasing the prevalence of heart valve diseases (HVD). HYPOTHESIS: The level of awareness and initial screening for HVD should be sufficient. The potential impact of HVD on the daily activities of the elderly population in Europe might affect our society. METHODS AND RESULTS: A survey was conducted, including a total of 12 832 people aged ≥ 60 years in 11 European countries. Of all the people surveyed, 5.6% could correctly describe aortic valve stenosis. Most participants (75.0%) claimed they regularly do activities like sports or social activities, 29.2% provide care for a family member, friend or acquaintance. The majority (69.2%) would be prevented from doing these activities by symptoms such as chest pain, fatigue or shortness of breath. Having chest pain (76.5%) and shortness of breath (57.8%) were reasons for most people to arrange an appointment with their GP, whereas only 26.2% would visit a GP for fatigue. 67.6% of respondents claimed to be checked with a stethoscope by their GP occasionally, never, or only when they ask. The preferred treatment option for HVD is a keyhole procedure (45.8%), whereas open heart surgery would only be preferred by 7.0%. CONCLUSION: Knowledge about HVD is still low. Neither appointments with a GP driven by symptoms nor regular use of a stethoscope are a reliable guarantee fo</w:t>
      </w:r>
    </w:p>
    <w:p>
      <w:pPr>
        <w:pStyle w:val="Heading2"/>
      </w:pPr>
      <w:r>
        <w:t>836.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r>
        <w:rPr>
          <w:b/>
        </w:rPr>
        <w:t>POSSIBLE 2023:</w:t>
      </w:r>
      <w:r>
        <w:t xml:space="preserve"> Zero population growth rate and eldercare hours: Are both optimal for some European Union countries?# — https://doi.org/10.1111/1468-0106.12418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As zero population growth rates have existed for approximately 30 years in many European Union countries, one wonders whether this is optimal in these countries, considering differences in consumer preferences and wages. In this paper, we construct a framework to examine this issue, in particular incorporating both eldercare and immigration. Our theoretical and empirical analyses show that zero population growth rates are optimal, population growth rates and eldercare hours are determined separately, and eldercare hours may be optimal because of added support with public long‐term care spending of each country.</w:t>
      </w:r>
    </w:p>
    <w:p>
      <w:pPr/>
      <w:r>
        <w:rPr>
          <w:b/>
        </w:rPr>
        <w:t>POSSIBLE 2023:</w:t>
      </w:r>
      <w:r>
        <w:t xml:space="preserve"> Solving the stochastic dynamics of population growth — https://doi.org/10.1002/ece3.10295</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Population growth is a fundamental process in ecology and evolution. The population size dynamics during growth are often described by deterministic equations derived from kinetic models. Here, we simulate several population growth models and compare the size averaged over many stochastic realizations with the deterministic predictions. We show that these deterministic equations are generically bad predictors of the average stochastic population dynamics. Specifically, deterministic predictions overestimate the simulated population sizes, especially those of populations starting with a small number of individuals. Describing population growth as a stochastic birth process, we prove that the discrepancy between deterministic predictions and simulated data is due to unclosed-moment dynamics. In other words, the deterministic approach does not consider the variability of birth times, which is particularly important with small population sizes. We show that some moment-closure approximations describe the growth dynamics better than the deterministic prediction. However, they do not reduce the error satisfactorily and only apply to some population growth models. We explicitly solve the stochastic growth dynamics, and our solution applies to any population growth model. We show that our solution exactly quantifies the dynamics of a community composed of different strains and correctl</w:t>
      </w:r>
    </w:p>
    <w:p>
      <w:pPr/>
      <w:r>
        <w:rPr>
          <w:b/>
        </w:rPr>
        <w:t>POSSIBLE 2022:</w:t>
      </w:r>
      <w:r>
        <w:t xml:space="preserve"> Effects of Immigrants, Health, and Ageing on Economic Growth in the European Union — https://doi.org/10.3390/ijerph20010224</w:t>
      </w:r>
    </w:p>
    <w:p>
      <w:pPr/>
      <w:r>
        <w:rPr>
          <w:b/>
        </w:rPr>
        <w:t>Shared claim-specific concepts:</w:t>
      </w:r>
      <w:r>
        <w:t xml:space="preserve"> population, union, number, modeled; EU scope visible. This is a provisional connection, not an outcome finding.</w:t>
      </w:r>
    </w:p>
    <w:p>
      <w:pPr>
        <w:pStyle w:val="SourceNote"/>
      </w:pPr>
      <w:r>
        <w:rPr>
          <w:b/>
        </w:rPr>
        <w:t>Available abstract (not full text):</w:t>
      </w:r>
      <w:r>
        <w:t xml:space="preserve"> Population ageing and low birth rates are two problems of the EU that have an impact on employment, production, and economic growth. Against this background, immigration, health expenditure, and the health of migrants must become a key element of European policy. For this reason, this paper focused on identifying the effect of immigration, health, and ageing on economic growth in order to highlight their importance from an economic perspective. We constructed different econometric models with Eurostat data for 27 countries and 13 years (2008-2020), whose dependent variable was gross domestic product. Independent variables were the number of immigrants by gender and age, health expenditure per capita (total and by function), immigrants' perception of their health as very good, and the proportion of the population aged 65 years and over. The model selected to analyze the results was Prais-Winsten regression heteroskedastic panels corrected standard errors modeled by applying the option (ar1) to correct for autocorrelation, using Stata software (version 16). The results show that health expenditure has a significant positive effect on economic growth, higher in hospital services, followed by medical products; immigrants' perception as very good is only significant in some models. The number of immigrants has a (positive) effect, although less significant than public expenditure on</w:t>
      </w:r>
    </w:p>
    <w:p>
      <w:pPr/>
      <w:r>
        <w:rPr>
          <w:b/>
        </w:rPr>
        <w:t>POSSIBLE 2022:</w:t>
      </w:r>
      <w:r>
        <w:t xml:space="preserve"> Projected number of osteoarthritis patients in Austria for the next decades – quantifying the necessity of treatment and prevention strategies in Europe — https://doi.org/10.1186/s12891-022-05091-5</w:t>
      </w:r>
    </w:p>
    <w:p>
      <w:pPr/>
      <w:r>
        <w:rPr>
          <w:b/>
        </w:rPr>
        <w:t>Shared claim-specific concepts:</w:t>
      </w:r>
      <w:r>
        <w:t xml:space="preserve"> population, number, patients; EU scope visible. This is a provisional connection, not an outcome finding.</w:t>
      </w:r>
    </w:p>
    <w:p>
      <w:pPr>
        <w:pStyle w:val="SourceNote"/>
      </w:pPr>
      <w:r>
        <w:rPr>
          <w:b/>
        </w:rPr>
        <w:t>Available abstract (not full text):</w:t>
      </w:r>
      <w:r>
        <w:t xml:space="preserve"> BACKGROUND: The present study aimed to predict the expected number of patients with osteoarthritis (OA) in Austria up to the year 2080. METHODS: Demographic data and population projections between 2019 and 2080 were obtained from European authorities. Information about recent age- and sex-stratified prevalence of patients with self-reported physician-diagnosed OA was obtained from the Austrian Health Interview Survey (n = 15,771). Projections were stratified by age and sex; sensitivity analyses were performed based on aging, main (most likely), and growth scenarios of the population. RESULTS: Based on the projection, the overall increase in the total number of patients with OA from 2019 to 2080 will be 38% for men and women. In 2019, the highest number of OA-patients nested in the groups of persons aged 70-79 (n = 238,749) and 60-69 (n = 237,729) years. In 2080, the 80+ age group is predicted to have the highest number of OA with 421,548 individuals (i.e. factor 3.45 and factor 2.48 increase in the male and female group, respectively, compared to 2019), followed by the group aged 70-79 with 314,617 individuals (factor 1.45 and factor 1.28 increase in the male and female group, respectively, compared to 2019). Similar trends were found in the ageing and growing scenarios. CONCLUSIONS: The projected increase in the occurrence of OA will likely lead to a substantial socioeconomic </w:t>
      </w:r>
    </w:p>
    <w:p>
      <w:pPr/>
      <w:r>
        <w:rPr>
          <w:b/>
        </w:rPr>
        <w:t>POSSIBLE 2021:</w:t>
      </w:r>
      <w:r>
        <w:t xml:space="preserve"> Unveiling the local determinants of population growth in the European Union — https://doi.org/10.1111/grow.12469</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paper studies the population growth dynamics in European NUTS3 regions over the period of 2000–2015 and offers generalizable evidence on the main drivers of population change at this sub‐level of analysis, which is so far rather unexplored. Results obtained by means of a spatial Durbin model highlight the roles of economic and demographic regional conditions in shaping population dynamics and the minor role of geography and environmental conditions. The fact that geographical polarization of population is occurring, which might result in an increase in regional imbalances, calls for policy actions in mitigating this phenomenon.</w:t>
      </w:r>
    </w:p>
    <w:p>
      <w:pPr/>
      <w:r>
        <w:rPr>
          <w:b/>
        </w:rPr>
        <w:t>POSSIBLE 2021:</w:t>
      </w:r>
      <w:r>
        <w:t xml:space="preserve"> Determinants of economic growth in the European Union. An empirical analysis of conditional convergence — https://doi.org/10.21272/sec.5(2).26-34.2021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Being established from the initiative of six visionary countries in the second half of the 20th century, the European Economic Community has shifted the history of the European continent by promoting economic collaboration and political stability. Given its initial success, the regional group has quickly evolved from customs union to Economic and Monetary Union, comprising nowadays twenty-seven European countries. Although the European Union has successfully managed political, economic, social and even sanitary turmoil, the stability of the European architecture continues to be threatened by the heterogeneity of its members. In this respect, one of the main challenges for the European Union in its current composition aims the convergence of the economic performance between countries and regions. The purpose of this paper is to study the economic growth patterns in the European Union during 2000 and 2019, also conducting a comparative analysis between New and Old Member States. In order to capture the European economic landscape, the methodology was based on conditional β-convergence and the estimates were conducted by using ordinary least squares and generalized least squares with fixed effects. We have tried to find the relationship between the lagged value of GDP per capita and the subsequent growth rates, but also to study the influence of macroeconomic and social-related va</w:t>
      </w:r>
    </w:p>
    <w:p>
      <w:pPr>
        <w:pStyle w:val="Heading2"/>
      </w:pPr>
      <w:r>
        <w:t>837.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2019:</w:t>
      </w:r>
      <w:r>
        <w:t xml:space="preserve"> Conan Fischer. A Vision of Europe: Franco-German Relations during the Great Depression, 1929–1932. — https://doi.org/10.1093/ahr/rhz1012</w:t>
      </w:r>
    </w:p>
    <w:p>
      <w:pPr/>
      <w:r>
        <w:rPr>
          <w:b/>
        </w:rPr>
        <w:t>Shared claim-specific concepts:</w:t>
      </w:r>
      <w:r>
        <w:t xml:space="preserve"> popular, vision, world; EU scope visible. This is a provisional connection, not an outcome finding.</w:t>
      </w:r>
    </w:p>
    <w:p>
      <w:pPr>
        <w:pStyle w:val="SourceNote"/>
      </w:pPr>
      <w:r>
        <w:rPr>
          <w:b/>
        </w:rPr>
        <w:t>Available abstract (not full text):</w:t>
      </w:r>
      <w:r>
        <w:t xml:space="preserve"> With the one hundredth anniversary of the signing of the Treaty of Versailles (June 28, 1919), historians have lined up to have their say on what went wrong in post–World War I Europe. Two rather entrenched narratives usually parse the Paris Peace Conference of 1919. On the one hand, the conference is lauded for creating a world system in the League of Nations, which was ultimately betrayed and hobbled by the depredations of the dictators in the 1930s. The second interpretation is more specifically related to the Treaty of Versailles, which brought a formal end to World War I between Germany and the Entente Powers. In A Vision of Europe: Franco-German Relations during the Great Depression, 1929–1932, Conan Fischer calls it “a treaty too benign to guarantee French security and too severe to secure German goodwill” (14); Versailles is linked in the popular and scholarly minds with the advent...</w:t>
      </w:r>
    </w:p>
    <w:p>
      <w:pPr/>
      <w:r>
        <w:rPr>
          <w:b/>
        </w:rPr>
        <w:t>POSSIBLE 2019:</w:t>
      </w:r>
      <w:r>
        <w:t xml:space="preserve"> The Church in a Pluralistic World: The Public Vision of Ressourcement — https://doi.org/10.3390/rel10110594</w:t>
      </w:r>
    </w:p>
    <w:p>
      <w:pPr/>
      <w:r>
        <w:rPr>
          <w:b/>
        </w:rPr>
        <w:t>Shared claim-specific concepts:</w:t>
      </w:r>
      <w:r>
        <w:t xml:space="preserve"> vision, world, based; EU scope visible. This is a provisional connection, not an outcome finding.</w:t>
      </w:r>
    </w:p>
    <w:p>
      <w:pPr>
        <w:pStyle w:val="SourceNote"/>
      </w:pPr>
      <w:r>
        <w:rPr>
          <w:b/>
        </w:rPr>
        <w:t>Available abstract (not full text):</w:t>
      </w:r>
      <w:r>
        <w:t xml:space="preserve"> The dual concern of this article is to present the vision of the church articulated by the renowned generation of Catholic ressourcement thinkers in the mid-twentieth century, and to demonstrate its continued fecundity in the pluralist, multi-cultural context of contemporary western society. It seeks to contribute primarily to ecclesiology, while also providing historical and social commentary with respectful suggestions for its relevance to present-day ecclesiology. The article provides an interpretative framework for understanding ressourcement with reference to its philosophical foundations and the vision of its founders. Its aims are, first, to articulate the role of ressourcement in the modern context and, secondly, to document the genesis and emergence of that movement’s perception of the church’s mandate in the world, based on an essential return to the sources of Christianity. The paper presents the public vision of ressourcement ecclesiology in two parts, drawing principally, though not exclusively, on the work of the two leading intellectual orders of the Catholic Church at the time of its formulation, namely, the Dominicans and the Jesuits of France. In this paper, I limit myself to the French-speaking Jesuits and Dominicans and do not refer to Rahner, Semmelroth, Schillebeeckx or Schoonenberg.</w:t>
      </w:r>
    </w:p>
    <w:p>
      <w:pPr/>
      <w:r>
        <w:rPr>
          <w:b/>
        </w:rPr>
        <w:t>POSSIBLE 2019:</w:t>
      </w:r>
      <w:r>
        <w:t xml:space="preserve"> H.C. ANDERSEN’S TRAVEL BOOKS – A FAIRY-TALE VISION OF EUROPE — https://doi.org/10.2307/j.ctvggx29s.22</w:t>
      </w:r>
    </w:p>
    <w:p>
      <w:pPr/>
      <w:r>
        <w:rPr>
          <w:b/>
        </w:rPr>
        <w:t>Shared claim-specific concepts:</w:t>
      </w:r>
      <w:r>
        <w:t xml:space="preserve"> vision, world, based; EU scope visible. This is a provisional connection, not an outcome finding.</w:t>
      </w:r>
    </w:p>
    <w:p>
      <w:pPr>
        <w:pStyle w:val="SourceNote"/>
      </w:pPr>
      <w:r>
        <w:rPr>
          <w:b/>
        </w:rPr>
        <w:t>Available abstract (not full text):</w:t>
      </w:r>
      <w:r>
        <w:t xml:space="preserve"> Hans Christian Andersen is well known as a writer of fairy tales, but a corpus of travel books also constitutes a large part of his literary heritage. Influenced by the poetics of the novel, the focus of travel books shifted from images of foreign countries, landscapes and descriptions of unusual situations, to the inner world of the traveller, which might be more interesting for a reader than the external world. The narrator thus becomes the protagonist of the tale, bringing such travel books closer to fiction. It is argued that Andersen's fairy tale poetics has its roots in his travel books. These books include many stories, each of which could be considered a separate text. The first book, Skyggebillede (1831), was based on his trip to Germany and contains a number of small narratives similar to fairy tales published after 1835. Here, Andersen transformed the traditional form of travel book, with his poetic vision of Germany more important than reality, which was only the background for the author's fantasy. His later travel books, En digters bazar (1842) and I Sverige (1849), contain texts which were included in Andersen's collections of fairy tales and stories. Here, his images of European cities, nature and other famous sites are not mere descriptions but also romantic pictures where fairy tale fantasy plays a very important role.</w:t>
      </w:r>
    </w:p>
    <w:p>
      <w:pPr/>
      <w:r>
        <w:rPr>
          <w:b/>
        </w:rPr>
        <w:t>POSSIBLE 2017:</w:t>
      </w:r>
      <w:r>
        <w:t xml:space="preserve"> MobileNets: Efficient Convolutional Neural Networks for Mobile Vision Applications — https://doi.org/10.48550/arxiv.1704.04861</w:t>
      </w:r>
    </w:p>
    <w:p>
      <w:pPr/>
      <w:r>
        <w:rPr>
          <w:b/>
        </w:rPr>
        <w:t>Shared claim-specific concepts:</w:t>
      </w:r>
      <w:r>
        <w:t xml:space="preserve"> popular, vision, called, simple, based; EU scope not established. This is a provisional connection, not an outcome finding.</w:t>
      </w:r>
    </w:p>
    <w:p>
      <w:pPr>
        <w:pStyle w:val="SourceNote"/>
      </w:pPr>
      <w:r>
        <w:rPr>
          <w:b/>
        </w:rPr>
        <w:t>Available abstract (not full text):</w:t>
      </w:r>
      <w:r>
        <w:t xml:space="preserve"> We present a class of efficient models called MobileNets for mobile and embedded vision applications. MobileNets are based on a streamlined architecture that uses depth-wise separable convolutions to build light weight deep neural networks. We introduce two simple global hyper-parameters that efficiently trade off between latency and accuracy. These hyper-parameters allow the model builder to choose the right sized model for their application based on the constraints of the problem. We present extensive experiments on resource and accuracy tradeoffs and show strong performance compared to other popular models on ImageNet classification. We then demonstrate the effectiveness of MobileNets across a wide range of applications and use cases including object detection, finegrain classification, face attributes and large scale geo-localization.</w:t>
      </w:r>
    </w:p>
    <w:p>
      <w:pPr>
        <w:pStyle w:val="Heading2"/>
      </w:pPr>
      <w:r>
        <w:t>838.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2025:</w:t>
      </w:r>
      <w:r>
        <w:t xml:space="preserve"> Exploring AI-Driven Event-based Storylines — https://doi.org/10.5194/egusphere-egu25-8169</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Artificial Intelligence-based Numerical Weather Prediction (AI-NWP) models have recently emerged as powerful tools for weather forecasting, offering computational efficiency and high accuracy. This study explores the extreme weather events simulated by the Artificial Intelligence Forecasting System (AIFS), initialised with conditions derived from kilometer-scale storyline experiments using the IFS-FESOM model ─ where the atmospheric circulation is constrained to observations. We present two case studies: the 2023 South Asian humid heatwave and the 2024 Storm Boris. These two events are reproduced in the present climate, but also simulated if they were to unfold in pre-industrial and +2K future climates, effectively creating AI-driven storylines. The methodology we employ offers a complementary framework, where the use of AI-driven ensembles provides a scalable and rapid way to assess the potential uncertainty and variability associated with such events, by enabling us to explore a broader range of plausible outcomes at very low computational costs. By combining the strengths of physics-based modelling with the efficiency and flexibility of AI-driven simulations, this dual approach offers a pathway to operationalise ensemble-based extreme weather storylines.</w:t>
      </w:r>
    </w:p>
    <w:p>
      <w:pPr/>
      <w:r>
        <w:rPr>
          <w:b/>
        </w:rPr>
        <w:t>POSSIBLE 2022:</w:t>
      </w:r>
      <w:r>
        <w:t xml:space="preserve"> Geo-Storylines: Integrating Maps Into Storyline Visualizations — https://doi.org/10.1109/tvcg.2022.3209480</w:t>
      </w:r>
    </w:p>
    <w:p>
      <w:pPr/>
      <w:r>
        <w:rPr>
          <w:b/>
        </w:rPr>
        <w:t>Shared claim-specific concepts:</w:t>
      </w:r>
      <w:r>
        <w:t xml:space="preserve"> used, storylines, three, different; EU scope not established. This is a provisional connection, not an outcome finding.</w:t>
      </w:r>
    </w:p>
    <w:p>
      <w:pPr>
        <w:pStyle w:val="SourceNote"/>
      </w:pPr>
      <w:r>
        <w:rPr>
          <w:b/>
        </w:rPr>
        <w:t>Available abstract (not full text):</w:t>
      </w:r>
      <w:r>
        <w:t xml:space="preserve"> Storyline visualizations are a powerful way to compactly visualize how the relationships between people evolve over time. Real-world relationships often also involve space, for example the cities that two political rivals visited together or alone over the years. By default, Storyline visualizations only show implicitly geospatial co-occurrence between people (drawn as lines), by bringing their lines together. Even the few designs that do explicitly show geographic locations only do so in abstract ways (e.g., annotations) and do not communicate geospatial information, such as the direction or extent of their political campains. We introduce Geo-Storylines, a collection of visualisation designs that integrate geospatial context into Storyline visualizations, using different strategies for compositing time and space. Our contribution is twofold. First, we present the results of a sketching workshop with 11 participants, that we used to derive a design space for integrating maps into Storylines. Second, by analyzing the strengths and weaknesses of the potential designs of the design space in terms of legibility and ability to scale to multiple relationships, we extract the three most promising: Time Glyphs, Coordinated Views, and Map Glyphs. We compare these three techniques first in a controlled study with 18 participants, under five different geospatial tasks and two maps of dif</w:t>
      </w:r>
    </w:p>
    <w:p>
      <w:pPr/>
      <w:r>
        <w:rPr>
          <w:b/>
        </w:rPr>
        <w:t>POSSIBLE 2021:</w:t>
      </w:r>
      <w:r>
        <w:t xml:space="preserve"> Large ensemble climate modelling time series for the Rhine catchment, including drought2018 storylines — https://doi.org/10.5281/zenodo.5083159</w:t>
      </w:r>
    </w:p>
    <w:p>
      <w:pPr/>
      <w:r>
        <w:rPr>
          <w:b/>
        </w:rPr>
        <w:t>Shared claim-specific concepts:</w:t>
      </w:r>
      <w:r>
        <w:t xml:space="preserve"> storylines, three; EU scope visible. This is a provisional connection, not an outcome finding.</w:t>
      </w:r>
    </w:p>
    <w:p>
      <w:pPr>
        <w:pStyle w:val="SourceNote"/>
      </w:pPr>
      <w:r>
        <w:rPr>
          <w:b/>
        </w:rPr>
        <w:t>Available abstract (not full text):</w:t>
      </w:r>
      <w:r>
        <w:t xml:space="preserve"> Dataset associated with Van der Wiel, Lenderink, De Vries (2021): Physical storylines of future European drought events like 2018 based on ensemble climate modelling, Weather and Climate Extremes, DOI 10.1016/j.wace.2021.100350. Large ensemble climate modelling time series for the Rhine catchment. The dataset contains three ensembles (present-day, pre-industrial + 2C-warming, pre-industrial + 3C-warming) of 2000 years each, various variables related to drought are included. All data is derived from the EC-Earth global climate model (v2, Hazeleger et al. 2012, DOI 10.1007/s00382-011-1228-5). Descriptions of large ensemble experimental setup can be found in Van der Wiel et al. (2019, DOI 10.1029/2019GL081967). Files: *_d_ECEarth_??_Rhine.tar.gz Additionally, three sets of storylines of droughts similar to the western European drought of 2018 are included. These are the simulated events selected from the large ensembles, using metrics 1, 2 and 3 of Van der Wiel et al. (2021, DOI 10.1016/j.wace.2021.100350). Files: drought18_m[123]_Rhine.tar.gz</w:t>
      </w:r>
    </w:p>
    <w:p>
      <w:pPr/>
      <w:r>
        <w:rPr>
          <w:b/>
        </w:rPr>
        <w:t>POSSIBLE 2020:</w:t>
      </w:r>
      <w:r>
        <w:t xml:space="preserve"> A primer on model selection using the Akaike Information Criterion — https://doi.org/10.1016/j.idm.2019.12.010</w:t>
      </w:r>
    </w:p>
    <w:p>
      <w:pPr/>
      <w:r>
        <w:rPr>
          <w:b/>
        </w:rPr>
        <w:t>Shared claim-specific concepts:</w:t>
      </w:r>
      <w:r>
        <w:t xml:space="preserve"> then, different; EU scope not established. This is a provisional connection, not an outcome finding.</w:t>
      </w:r>
    </w:p>
    <w:p>
      <w:pPr>
        <w:pStyle w:val="SourceNote"/>
      </w:pPr>
      <w:r>
        <w:rPr>
          <w:b/>
        </w:rPr>
        <w:t>Available abstract (not full text):</w:t>
      </w:r>
      <w:r>
        <w:t xml:space="preserve"> A powerful investigative tool in biology is to consider not a single mathematical model but a collection of models designed to explore different working hypotheses and select the best model in that collection. In these lecture notes, the usual workflow of the use of mathematical models to investigate a biological problem is described and the use of a collection of model is motivated. Models depend on parameters that must be estimated using observations; and when a collection of models is considered, the best model has then to be identified based on available observations. Hence, model calibration and selection, which are intrinsically linked, are essential steps of the workflow. Here, some procedures for model calibration and a criterion, the Akaike Information Criterion, of model selection based on experimental data are described. Rough derivation, practical technique of computation and use of this criterion are detailed.</w:t>
      </w:r>
    </w:p>
    <w:p>
      <w:pPr/>
      <w:r>
        <w:rPr>
          <w:b/>
        </w:rPr>
        <w:t>POSSIBLE 2020:</w:t>
      </w:r>
      <w:r>
        <w:t xml:space="preserve"> Positioning of systemic intermediaries in sustainability transitions: Between storylines and speech acts — https://doi.org/10.1016/j.eist.2020.02.006</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How do systemic intermediaries obtain legitimate roles for themselves in innovation systems and transition processes? This is still an understudied question in the study of systemic intermediaries. We start from the observation that roles, or positions, are not given, but emerge in interactions as a negotiated set of rights and obligations. Inspired by positioning theory, which has its roots in symbolic interactionism, we analyse how positions are invoked in the actors’ various actions and statements (‘speech acts’) and how they draw from the mutually constructed narratives (‘storylines’) that enable and constrain the range of possible positions. We analyse, over time, the positioning of three Dutch systemic intermediaries in agriculture, energy production, and healthcare. We conclude that systemic intermediaries move together with the promise of the field and, as a consequence, have to reposition themselves. In different phases, they both profit and suffer from the dilemma between initiating and sustaining innovative systemic changes.</w:t>
      </w:r>
    </w:p>
    <w:p>
      <w:pPr/>
      <w:r>
        <w:rPr>
          <w:b/>
        </w:rPr>
        <w:t>POSSIBLE 2020:</w:t>
      </w:r>
      <w:r>
        <w:t xml:space="preserve"> The role of spatial and temporal model resolution in a flood event storyline approach in western Norway — https://doi.org/10.1016/j.wace.2020.100259</w:t>
      </w:r>
    </w:p>
    <w:p>
      <w:pPr/>
      <w:r>
        <w:rPr>
          <w:b/>
        </w:rPr>
        <w:t>Shared claim-specific concepts:</w:t>
      </w:r>
      <w:r>
        <w:t xml:space="preserve"> used, different, leading; EU scope visible. This is a provisional connection, not an outcome finding.</w:t>
      </w:r>
    </w:p>
    <w:p>
      <w:pPr>
        <w:pStyle w:val="SourceNote"/>
      </w:pPr>
      <w:r>
        <w:rPr>
          <w:b/>
        </w:rPr>
        <w:t>Available abstract (not full text):</w:t>
      </w:r>
      <w:r>
        <w:t xml:space="preserve"> We apply a physical climate storyline approach to an autumn flood event in the West Coast of Norway caused by an atmospheric river to demonstrate the value and challenges of higher spatial and temporal resolution in simulating flood impacts. We use a modelling chain whose outputs are familiar and used operationally, for example to issue flood warnings. With two different versions of a hydrological model, we show that (1) the higher spatial resolution between the global and regional climate model is necessary to realistically simulate the high spatial variability of precipitation in this mountainous region and (2) only with hourly data are we able to capture the fast flood-generating processes leading to the peak streamflow. The higher resolution regional atmospheric model captures the fact that with the passage of an atmospheric river, some valleys receive high amounts of precipitation and others not, while the coarser resolution global model shows uniform precipitation in the whole region. Translating the event into the future leads to similar results: while in some catchments, a future flood might be much larger than a present one, in others no event occurs as the atmospheric river simply does not hit that catchment. The use of an operational flood warning system for future events is expected to facilitate stakeholder engagement.</w:t>
      </w:r>
    </w:p>
    <w:p>
      <w:pPr/>
      <w:r>
        <w:rPr>
          <w:b/>
        </w:rPr>
        <w:t>POSSIBLE 2019:</w:t>
      </w:r>
      <w:r>
        <w:t xml:space="preserve"> A note on model selection using information criteria for general linear models estimated using REML — https://doi.org/10.1111/anzs.12254</w:t>
      </w:r>
    </w:p>
    <w:p>
      <w:pPr/>
      <w:r>
        <w:rPr>
          <w:b/>
        </w:rPr>
        <w:t>Shared claim-specific concepts:</w:t>
      </w:r>
      <w:r>
        <w:t xml:space="preserve"> then, used, different, estimates; EU scope not established. This is a provisional connection, not an outcome finding.</w:t>
      </w:r>
    </w:p>
    <w:p>
      <w:pPr>
        <w:pStyle w:val="SourceNote"/>
      </w:pPr>
      <w:r>
        <w:rPr>
          <w:b/>
        </w:rPr>
        <w:t>Available abstract (not full text):</w:t>
      </w:r>
      <w:r>
        <w:t xml:space="preserve"> It is common practice to compare the fit of non‐nested models using the Akaike (AIC) or Bayesian (BIC) information criteria. The basis of these criteria is the log‐likelihood evaluated at the maximum likelihood estimates of the unknown parameters. For the general linear model (and the linear mixed model, which is a special case), estimation is usually carried out using residual or restricted maximum likelihood (REML). However, for models with different fixed effects, the residual likelihoods are not comparable and hence information criteria based on the residual likelihood cannot be used. For model selection, it is often suggested that the models are refitted using maximum likelihood to enable the criteria to be used. The first aim of this paper is to highlight that both the AIC and BIC can be used for the general linear model by using the full log‐likelihood evaluated at the REML estimates. The second aim is to provide a derivation of the criteria under REML estimation. This aim is achieved by noting that the full likelihood can be decomposed into a marginal (residual) and conditional likelihood and this decomposition then incorporates aspects of both the fixed effects and variance parameters. Using this decomposition, the appropriate information criteria for model selection of models which differ in their fixed effects specification can be derived. An example is presented to </w:t>
      </w:r>
    </w:p>
    <w:p>
      <w:pPr/>
      <w:r>
        <w:rPr>
          <w:b/>
        </w:rPr>
        <w:t>POSSIBLE 2019:</w:t>
      </w:r>
      <w:r>
        <w:t xml:space="preserve"> Physical modeling supporting a storyline approach — https://doi.org/10.7892/boris.138767</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The concept of analyzing and communicating high-impact events in the climate change context via storylines has recently gained popularity in the climate modeling community. For instance, the use of case studies or storylines that could illustrate climate risk narratives has been discussed in the recent IPCC expert meeting for regional climate information (IPCC 2018a). This also calls for an expert discussion on challenges and best practices for the creation of credible storylines of high-impact weather or climate features using physical modeling and knowledge creation. In April 2019, climate scientists came together at a workshop discussing physical modeling supporting a storyline approach. The workshop contributed to the implementation of the WCRP Strategic Plan 2019-2028, in support of innovation in the generation of decision-relevant information and knowledge about the evolving Earth system through the framework of the WCRP Grand Challenge on Weather and Climate Extremes. This report provides a summary of the outcomes from the workshop and recommendations for future application of storylines to physical aspects of climate change</w:t>
      </w:r>
    </w:p>
    <w:p>
      <w:pPr/>
      <w:r>
        <w:rPr>
          <w:b/>
        </w:rPr>
        <w:t>POSSIBLE 2018:</w:t>
      </w:r>
      <w:r>
        <w:t xml:space="preserve"> Modeling Storylines in Lyrics — https://doi.org/10.1587/transinf.2017edp7188</w:t>
      </w:r>
    </w:p>
    <w:p>
      <w:pPr/>
      <w:r>
        <w:rPr>
          <w:b/>
        </w:rPr>
        <w:t>Shared claim-specific concepts:</w:t>
      </w:r>
      <w:r>
        <w:t xml:space="preserve"> then, storylines; EU scope not established. This is a provisional connection, not an outcome finding.</w:t>
      </w:r>
    </w:p>
    <w:p>
      <w:pPr>
        <w:pStyle w:val="SourceNote"/>
      </w:pPr>
      <w:r>
        <w:rPr>
          <w:b/>
        </w:rPr>
        <w:t>Available abstract (not full text):</w:t>
      </w:r>
      <w:r>
        <w:t xml:space="preserve"> This paper addresses the issue of modeling the discourse nature of lyrics and presented the first study aiming at capturing the two common discourse-related notions: storylines and themes. We assume that a storyline is a chain of transitions over topics of segments and a song has at least one entire theme. We then hypothesize that transitions over topics of lyric segments can be captured by a probabilistic topic model which incorporates a distribution over transitions of latent topics and that such a distribution of topic transitions is affected by the theme of lyrics. Aiming to test those hypotheses, this study conducts experiments on the word prediction and segment order prediction tasks exploiting a large-scale corpus of popular music lyrics for both English and Japanese (around 100 thousand songs). The findings we gained from these experiments can be summarized into two respects. First, the models with topic transitions significantly outperformed the model without topic transitions in word prediction. This result indicates that typical storylines included in our lyrics datasets were effectively captured as a probabilistic distribution of transitions over latent topics of segments. Second, the model incorporating a latent theme variable on top of topic transitions outperformed the models without such variables in both word prediction and segment order prediction. From this r</w:t>
      </w:r>
    </w:p>
    <w:p>
      <w:pPr>
        <w:pStyle w:val="Heading2"/>
      </w:pPr>
      <w:r>
        <w:t>839.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projections, highly, uncertain;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Changes in universal thermal climate index from regional climate model projections over European beaches — https://doi.org/10.1016/j.cliser.2024.100447</w:t>
      </w:r>
    </w:p>
    <w:p>
      <w:pPr/>
      <w:r>
        <w:rPr>
          <w:b/>
        </w:rPr>
        <w:t>Shared claim-specific concepts:</w:t>
      </w:r>
      <w:r>
        <w:t xml:space="preserve"> climate, projections, end, century; EU scope visible. This is a provisional connection, not an outcome finding.</w:t>
      </w:r>
    </w:p>
    <w:p>
      <w:pPr>
        <w:pStyle w:val="SourceNote"/>
      </w:pPr>
      <w:r>
        <w:rPr>
          <w:b/>
        </w:rPr>
        <w:t>Available abstract (not full text):</w:t>
      </w:r>
      <w:r>
        <w:t xml:space="preserve">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pPr/>
      <w:r>
        <w:rPr>
          <w:b/>
        </w:rPr>
        <w:t>POSSIBLE 2024:</w:t>
      </w:r>
      <w:r>
        <w:t xml:space="preserve"> Shifts in native tree species distributions in Europe under climate change — https://doi.org/10.1016/j.jenvman.2024.123504</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Key European tree species are expected to contract their ranges under changing climate, thus there is a need to assess range shifts for other native tree species that could fill their forest niche. Recent studies have focused on economically important species, revealing a wide range of shifts in their distribution worldwide and highlighting several pathways for potential future changes. We aimed to quantify changes in projected ranges and threat levels by the years 2041-60 and 2061-80, for 20 European temperate forest tree species under four climate change scenarios. We compared ten standard stock tree species with ten alternative stock species, that are less frequent and less preferred by managers. We combined distribution data from several sources for each tree species and developed species distribution models using MaxEnt and seven bioclimatic variables. We applied these models to projections of future climate from four global circulation models, under four Shared Socioeconomic Pathways and for near and middle terms: 2041-60 and 2061-80. We also assessed the relationships between predicted range contraction and their functional traits. Analysis of MaxEnt models divided the studied tree species into three groups: non-threatened (Sorbus torminalis, Ulmus minor, Tilia platyphyllos, Acer pseudoplatanus, Prunus avium, and Carpinus betulus), partially threatened (U. laevis, Betula</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warmer, temperatures, century, droughts;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2024:</w:t>
      </w:r>
      <w:r>
        <w:t xml:space="preserve"> Range and climate niche shifts in European and North American breeding birds — https://doi.org/10.1098/rstb.2023.0013</w:t>
      </w:r>
    </w:p>
    <w:p>
      <w:pPr/>
      <w:r>
        <w:rPr>
          <w:b/>
        </w:rPr>
        <w:t>Shared claim-specific concepts:</w:t>
      </w:r>
      <w:r>
        <w:t xml:space="preserve"> climate, suggest, not, generally;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2023:</w:t>
      </w:r>
      <w:r>
        <w:t xml:space="preserve"> European projections of West Nile virus transmission under climate change scenarios — https://doi.org/10.1016/j.onehlt.2023.100509</w:t>
      </w:r>
    </w:p>
    <w:p>
      <w:pPr/>
      <w:r>
        <w:rPr>
          <w:b/>
        </w:rPr>
        <w:t>Shared claim-specific concepts:</w:t>
      </w:r>
      <w:r>
        <w:t xml:space="preserve"> climate, projections, area, not; EU scope visible. This is a provisional connection, not an outcome finding.</w:t>
      </w:r>
    </w:p>
    <w:p>
      <w:pPr>
        <w:pStyle w:val="SourceNote"/>
      </w:pPr>
      <w:r>
        <w:rPr>
          <w:b/>
        </w:rPr>
        <w:t>Available abstract (not full text):</w:t>
      </w:r>
      <w:r>
        <w:t xml:space="preserve"> West Nile virus (WNV), a mosquito-borne zoonosis, has emerged as a disease of public health concern in Europe. Recent outbreaks have been attributed to suitable climatic conditions for its vectors favoring transmission. However, to date, projections of the risk for WNV expansion under climate change scenarios is lacking. Here, we estimate the WNV-outbreaks risk for a set of climate change and socioeconomic scenarios. We delineate the potential risk-areas and estimate the growth in the population at risk (PAR). We used supervised machine learning classifier, XGBoost, to estimate the WNV-outbreak risk using an ensemble climate model and multi-scenario approach. The model was trained by collating climatic, socioeconomic, and reported WNV-infections data (2010-22) and the out-of-sample results (1950-2009, 2023-99) were validated using a novel Confidence-Based Performance Estimation (CBPE) method. Projections of area specific outbreak risk trends, and corresponding population at risk were estimated and compared across scenarios. Our results show up to 5-fold increase in West Nile virus (WNV) risk for 2040-60 in Europe, depending on geographical region and climate scenario, compared to 2000-20. The proportion of disease-reported European land areas could increase from 15% to 23-30%, putting 161 to 244 million people at risk. Across scenarios, Western Europe appears to be facing the l</w:t>
      </w:r>
    </w:p>
    <w:p>
      <w:pPr/>
      <w:r>
        <w:rPr>
          <w:b/>
        </w:rPr>
        <w:t>POSSIBLE 2023:</w:t>
      </w:r>
      <w:r>
        <w:t xml:space="preserve"> Climate change projections of commercial fish distribution and suitable habitat around north western Europe — https://doi.org/10.1111/faf.12773</w:t>
      </w:r>
    </w:p>
    <w:p>
      <w:pPr/>
      <w:r>
        <w:rPr>
          <w:b/>
        </w:rPr>
        <w:t>Shared claim-specific concepts:</w:t>
      </w:r>
      <w:r>
        <w:t xml:space="preserve"> climate, projections, past; EU scope visible. This is a provisional connection, not an outcome finding.</w:t>
      </w:r>
    </w:p>
    <w:p>
      <w:pPr>
        <w:pStyle w:val="SourceNote"/>
      </w:pPr>
      <w:r>
        <w:rPr>
          <w:b/>
        </w:rPr>
        <w:t>Available abstract (not full text):</w:t>
      </w:r>
      <w:r>
        <w:t xml:space="preserve"> Abstract Under future climate change, modification of temperature and salinity are expected to result in distribution shifts of marine organisms, including commercial fish and shellfish. Changes are anticipated everywhere, including in the seas of many important fishing nations. Species turnover will in turn result in both opportunities and threats to fishing industries. To determine the impacts for northwest European shelf fisheries, we project changes for 49 commercially important fish and shellfish species using an ensemble of five ecological niche models and three different downscaled climate change projections. The habitat suitability and latitudinal shifts projected from the recent past (1997–2016) to two futures (2030–2050; 2050–2070) were calculated for waters around the United Kingdom. Of the species examined, around half were projected to have consistently more suitable habitat in the future, including European seabass ( Dicentrarchus labrax , Moronidae), sardine ( Sardina pilchardus , Alosidae) and anchovy ( Engraulis encrasicolus , Engraulidae). Conversely, it is suggested that UK waters will become less suitable for species including Atlantic cod ( Gadus morhua , Gadidae) and saithe ( Pollachius virens , Gadidae). Our comprehensive approach using a number of models and climate change scenarios shows that while there are differences in the magnitude of change betwee</w:t>
      </w:r>
    </w:p>
    <w:p>
      <w:pPr/>
      <w:r>
        <w:rPr>
          <w:b/>
        </w:rPr>
        <w:t>POSSIBLE 2023:</w:t>
      </w:r>
      <w:r>
        <w:t xml:space="preserve"> Climate Change Projections of Agricultural Droughts in Europe: A Comparison between Standardized Drought Indices — https://doi.org/10.5194/ems2023-289</w:t>
      </w:r>
    </w:p>
    <w:p>
      <w:pPr/>
      <w:r>
        <w:rPr>
          <w:b/>
        </w:rPr>
        <w:t>Shared claim-specific concepts:</w:t>
      </w:r>
      <w:r>
        <w:t xml:space="preserve"> climate, projections, precipitation, uncertain, droughts; EU scope visible. This is a provisional connection, not an outcome finding.</w:t>
      </w:r>
    </w:p>
    <w:p>
      <w:pPr>
        <w:pStyle w:val="SourceNote"/>
      </w:pPr>
      <w:r>
        <w:rPr>
          <w:b/>
        </w:rPr>
        <w:t>Available abstract (not full text):</w:t>
      </w:r>
      <w:r>
        <w:t xml:space="preserve"> Drought is one of the most devastating natural hazards, affecting ecosystems, communities, and their economies worldwide. According to the last IPCC report, is expected, indeed, an increase in severity and frequency of drought under a changing climate, at least over Mediterranean regions. However, is still more uncertain the effect of climate change in other regions in the world. To analyze the effect of this extreme phenomenon, many drought indices have been developed in recent years based on different hydroclimatic variables and depending on the type of drought under study. Among these indices it is worth mentioning, for meteorological droughts, the Standardized Precipitation Index (SPI) or the Standardized Precipitation Evapotranspiration Index (SPEI), agricultural drought indices such as the Standardized Soil moisture Index (SSI), or those that make use of different variables or multivariate indices such as the Multivariate Standardized Drought Index (MSDI) that combines soil moisture and precipitation, and the Standardized Precipitation Evapotranspiration Soil Moisture Index (SPESMI), an adaptation of the MSDI that incorporates the effect of potential evapotranspiration on the water balance. This work aims to analyze from meteorological to agricultural droughts projections over Europe using standardized drought indices. For this, we evaluate drought characteristics (i.e., </w:t>
      </w:r>
    </w:p>
    <w:p>
      <w:pPr>
        <w:pStyle w:val="Heading2"/>
      </w:pPr>
      <w:r>
        <w:t>840.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2024:</w:t>
      </w:r>
      <w:r>
        <w:t xml:space="preserve"> Study of directions of unification of technology transfer in ukraine with the regulation of the European Union — https://doi.org/10.37772/2518-1718-2024-3(47)-2</w:t>
      </w:r>
    </w:p>
    <w:p>
      <w:pPr/>
      <w:r>
        <w:rPr>
          <w:b/>
        </w:rPr>
        <w:t>Shared claim-specific concepts:</w:t>
      </w:r>
      <w:r>
        <w:t xml:space="preserve"> possible, directions, requirements, technology, conditions; EU scope visible. This is a provisional connection, not an outcome finding.</w:t>
      </w:r>
    </w:p>
    <w:p>
      <w:pPr>
        <w:pStyle w:val="SourceNote"/>
      </w:pPr>
      <w:r>
        <w:rPr>
          <w:b/>
        </w:rPr>
        <w:t>Available abstract (not full text):</w:t>
      </w:r>
      <w:r>
        <w:t xml:space="preserve"> Problem setting. In modern economic conditions, the key to effective economic development of any country is the development of the production sphere of the national economy. At the same time, its level depends on the penetration of knowledge-intensive, advanced and breakthrough technologies. Most economically developed countries even implement integrated state policies aimed at stimulating and scaling technology transfer processes. Thanks to this, the number of those technologies that are implemented in the sphere of public production increases, and the share of highly competitive products increases significantly. The economic system of Ukraine is no exception to this rule. Thus, since 2006, Ukraine has had a special official document the Law of Ukraine “On State Regulation of Activities in the Field of Technology Transfer”. Its main task is to determine the requirements of how the state (in the form of authorized bodies) will contribute to the scaling process of technology transfer. The course announced by Ukraine for joining the European Union (hereinafter referred to as “the EU”) imposes on it special obligations regarding the unification of regulatory approaches to the identification of technology transfer with EU requirements. The specified situation determines, on the one hand, the relevance of scientific research on this topic, and places on scientists the task of formin</w:t>
      </w:r>
    </w:p>
    <w:p>
      <w:pPr/>
      <w:r>
        <w:rPr>
          <w:b/>
        </w:rPr>
        <w:t>POSSIBLE 2024:</w:t>
      </w:r>
      <w:r>
        <w:t xml:space="preserve"> THE POLISH ENERGY SECTOR CHARACTERISTICS IN COMPARISON TO EUROPEAN UNION COUNTRIES IN TERMS OF SUSTAINABLE DEVELOPMENT — https://doi.org/10.64758/6drf3g79</w:t>
      </w:r>
    </w:p>
    <w:p>
      <w:pPr/>
      <w:r>
        <w:rPr>
          <w:b/>
        </w:rPr>
        <w:t>Shared claim-specific concepts:</w:t>
      </w:r>
      <w:r>
        <w:t xml:space="preserve"> analyzes, possible, polish, electricity, sector, terms; EU scope visible. This is a provisional connection, not an outcome finding.</w:t>
      </w:r>
    </w:p>
    <w:p>
      <w:pPr>
        <w:pStyle w:val="SourceNote"/>
      </w:pPr>
      <w:r>
        <w:rPr>
          <w:b/>
        </w:rPr>
        <w:t>Available abstract (not full text):</w:t>
      </w:r>
      <w:r>
        <w:t xml:space="preserve"> In every country, the energy sector plays a very important role - from its efficient operation electricity and heat supplies depend on. Moreover, its level of efficiency can measurably affect the condition of the natural and the social environment. Therefore, the purpose of this article was to examine to what extent the Polish energy sector fulfills the framework of sustainable development conception. In order to achieve the adopted objective, comparative analyzes have been carried out among all European Union countries. It allowed to identify areas in which the Polish energy sector fully implements the principles and objectives of this concept, as well as areas where still there is a lot need to be dome. The analyzes concerned several key issues: the level of energy generated from renewable energy sources (RES), the structure of sources of raw materials for energy production, the values of regulatory indicators for sustainable energy, level of greenhouse gas and pollutants emissions by energy sector, environmental taxes paid by energy sector, environmental protection expenditure of energy sector, environmental investments and wastewater management and, last but not least, innovations expenditures of energy sector. Examining these issues makes it possible to determine the so-called “level of sustainability" or the sustainability in energy sector degree’s determination for Polan</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different, technology, energy;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terms, nuclear, energy, fuel;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2023:</w:t>
      </w:r>
      <w:r>
        <w:t xml:space="preserve"> Decoding ChatGPT: A taxonomy of existing research, current challenges, and possible future directions — https://doi.org/10.1016/j.jksuci.2023.101675</w:t>
      </w:r>
    </w:p>
    <w:p>
      <w:pPr/>
      <w:r>
        <w:rPr>
          <w:b/>
        </w:rPr>
        <w:t>Shared claim-specific concepts:</w:t>
      </w:r>
      <w:r>
        <w:t xml:space="preserve"> possible, directions; EU scope not established. This is a provisional connection, not an outcome finding.</w:t>
      </w:r>
    </w:p>
    <w:p>
      <w:pPr>
        <w:pStyle w:val="SourceNote"/>
      </w:pPr>
      <w:r>
        <w:rPr>
          <w:b/>
        </w:rPr>
        <w:t>Available abstract (not full text):</w:t>
      </w:r>
      <w:r>
        <w:t xml:space="preserve"> Chat Generative Pre-trained Transformer (ChatGPT) has gained significant interest and attention since its launch in November 2022. It has shown impressive performance in various domains, including passing exams and creative writing. However, challenges and concerns related to biases and trust persist. In this work, we present a comprehensive review of over 100 Scopus-indexed publications on ChatGPT, aiming to provide a taxonomy of ChatGPT research and explore its applications. We critically analyze the existing literature, identifying common approaches employed in the studies. Additionally, we investigate diverse application areas where ChatGPT has found utility, such as healthcare, marketing and financial services, software engineering, academic and scientific writing, research and education, environmental science, and natural language processing. Through examining these applications, we gain valuable insights into the potential of ChatGPT in addressing real-world challenges. We also discuss crucial issues related to ChatGPT, including biases and trustworthiness, emphasizing the need for further research and development in these areas. Furthermore, we identify potential future directions for ChatGPT research, proposing solutions to current challenges and speculating on expected advancements. By fully leveraging the capabilities of ChatGPT, we can unlock its potential across va</w:t>
      </w:r>
    </w:p>
    <w:p>
      <w:pPr/>
      <w:r>
        <w:rPr>
          <w:b/>
        </w:rPr>
        <w:t>POSSIBLE 2023:</w:t>
      </w:r>
      <w:r>
        <w:t xml:space="preserve"> Directions and risks for the recovery of Ukraine in the context of European integration during the recovery period — https://doi.org/10.24144/2788-6018.2023.03.15</w:t>
      </w:r>
    </w:p>
    <w:p>
      <w:pPr/>
      <w:r>
        <w:rPr>
          <w:b/>
        </w:rPr>
        <w:t>Shared claim-specific concepts:</w:t>
      </w:r>
      <w:r>
        <w:t xml:space="preserve"> analyzes, possible, directions, terms, adaptation, domestic; EU scope visible. This is a provisional connection, not an outcome finding.</w:t>
      </w:r>
    </w:p>
    <w:p>
      <w:pPr>
        <w:pStyle w:val="SourceNote"/>
      </w:pPr>
      <w:r>
        <w:rPr>
          <w:b/>
        </w:rPr>
        <w:t>Available abstract (not full text):</w:t>
      </w:r>
      <w:r>
        <w:t xml:space="preserve"> The work highlights directions for the restoration of Ukraine in the modern and post-war period. The main principles of the country’s recovery plan have been defined and analyzed, including the immediate start and gradual development of building up fair welfare, integration into the EU, restoration and building up of the economy for, the fight against corruption, and the stimulation of private investments. It has been determined that the institutional reforms discussed at the domestic and international level in Ukraine will become prerequisites for economic development, but appropriate measures aimed at the development of international trade and the attraction of direct foreign investment, the creation of a favorable business climate and an inclusive and sustainable financial system will also be required. For example, war risk insurance (similar to what is done by the World Bank-run Multilateral Investment Guarantee Agency (MIGA)) will be necessary to address security concerns that Ukrainian and foreign investors may have. While the process of preparation for the negotiations on Ukraine’s accession to the European Union continues, our country must carry out extensive preparatory work, including in terms of adapting national legislation to the norms of the Union, which, by the way, are also constantly changing, and prevent the occurrence of numerous risks along the way. Of cours</w:t>
      </w:r>
    </w:p>
    <w:p>
      <w:pPr/>
      <w:r>
        <w:rPr>
          <w:b/>
        </w:rPr>
        <w:t>POSSIBLE 2023:</w:t>
      </w:r>
      <w:r>
        <w:t xml:space="preserve"> Legal Regulation of the Status of Ukrainian Refugees in the European Union: Prospective Directions Concerning Reform — https://doi.org/10.52244/c.2023.11.10</w:t>
      </w:r>
    </w:p>
    <w:p>
      <w:pPr/>
      <w:r>
        <w:rPr>
          <w:b/>
        </w:rPr>
        <w:t>Shared claim-specific concepts:</w:t>
      </w:r>
      <w:r>
        <w:t xml:space="preserve"> analyzes, possible, directions, adaptation; EU scope visible. This is a provisional connection, not an outcome finding.</w:t>
      </w:r>
    </w:p>
    <w:p>
      <w:pPr>
        <w:pStyle w:val="SourceNote"/>
      </w:pPr>
      <w:r>
        <w:rPr>
          <w:b/>
        </w:rPr>
        <w:t>Available abstract (not full text):</w:t>
      </w:r>
      <w:r>
        <w:t xml:space="preserve"> The report is devoted to the important topic of modern migration policy and legal regulation of the status of refugees from Ukraine in the context of European integration. In connection with the complex events on the territory of Ukraine and the rapid increase in the number of Ukrainian refugees, new challenges and opportunities are opening up for their legal status and integration into the countries of the European Union. The report analyzes the current state of legal regulation of the status of Ukrainian refugees in the European Union and identifies the problems faced by these refugees. Next, the article highlights promising directions and possible ways of reforming and improving this legal regulation with the aim of ensuring better protection of the rights and interests of Ukrainian refugees, as well as promoting their effective integration into European society. One of the key directions is to improve procedures for assessing refugee status, reduce administrative barriers to obtaining this status, and establish fast and effective appeal mechanisms. It is also important to consider the possibility of expanding the list of bases on the basis of which refugee status can be granted, taking into account the specific situations faced by Ukrainian refugees. The next important aspect is the support and integration of refugees once they have been granted status. This includes provid</w:t>
      </w:r>
    </w:p>
    <w:p>
      <w:pPr/>
      <w:r>
        <w:rPr>
          <w:b/>
        </w:rPr>
        <w:t>POSSIBLE 2023:</w:t>
      </w:r>
      <w:r>
        <w:t xml:space="preserve"> Scenario Analysis of the Development of the Polish Power System towards Achieving Climate Neutrality in 2050 — https://doi.org/10.3390/en16165918</w:t>
      </w:r>
    </w:p>
    <w:p>
      <w:pPr/>
      <w:r>
        <w:rPr>
          <w:b/>
        </w:rPr>
        <w:t>Shared claim-specific concepts:</w:t>
      </w:r>
      <w:r>
        <w:t xml:space="preserve"> possible, polish, electricity, nuclear, energy, climate; EU scope visible. This is a provisional connection, not an outcome finding.</w:t>
      </w:r>
    </w:p>
    <w:p>
      <w:pPr>
        <w:pStyle w:val="SourceNote"/>
      </w:pPr>
      <w:r>
        <w:rPr>
          <w:b/>
        </w:rPr>
        <w:t>Available abstract (not full text):</w:t>
      </w:r>
      <w:r>
        <w:t xml:space="preserve"> The Polish power system has been reducing its impact on the environment for a long time, mainly through modernization and investments in new generation capacities, including renewable energy technologies. However, its starting point is still more difficult compared to other less coal-dependent power systems in the European Union. The study was conducted in the direction of optimizing the Polish energy mix of electricity generation from the perspective of 2050. Two energy scenarios for the possible transformation of the Polish power system towards achieving at least a 95% reduction in CO2 emissions by 2050 with an increasing share of renewables were analyzed. The study was carried out with the use of the TIMES-PL model, which minimizes the total system cost over the analyzed time horizon. The model was calibrated according to data from 2018. The two scenarios show relatively similar pathways for CO2 emission reductions by 2050. In the case of no investment in nuclear power plants, power plants equipped with CO2 capture and storage systems are an alternative solution for achieving climate neutrality and increasing national energy security.</w:t>
      </w:r>
    </w:p>
    <w:p>
      <w:pPr>
        <w:pStyle w:val="Heading2"/>
      </w:pPr>
      <w:r>
        <w:t>841.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2023:</w:t>
      </w:r>
      <w:r>
        <w:t xml:space="preserve"> 7. Using cases — https://doi.org/10.1093/he/9780192873088.003.0007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pPr/>
      <w:r>
        <w:rPr>
          <w:b/>
        </w:rPr>
        <w:t>POSSIBLE 2023:</w:t>
      </w:r>
      <w:r>
        <w:t xml:space="preserve"> Climate change and ideal thermal transmittance of residential buildings in Iran — https://doi.org/10.1016/j.jobe.2023.106919</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Climate change will make the Iranian climate hotter and drier. This increase in the harshness of the boundary conditions poses a new question of whether today's high-performance buildings, whose envelope thermophysical properties are optimized for the current climate, will underperform. Therefore, it is important to (i) identify the regions in Iran that will lead to such underperformance and (ii) determine to what extent the thermophysical properties will need to change to remain optimal. This paper determines and compares the ideal thermal transmittances (U-value) of residential building envelopes for current and future climate scenarios. The EPSAP generative design method created twelve thousand buildings with random geometries to evaluate their energy demand for heating and cooling in EnergyPlus. The U-values of the envelop elements for these buildings were randomly assigned and simulated for 21 locations in Iran for the current period and two future timeframes (2050 and 2080). The future weather was created using the Future Weather Generator tool to morph today's typical meteorological weather to match the EC-Earth3 data for the SSP5-8.5 scenario. The results confirm that climate change will significantly impact the energy performance of a building. However, consequences and mitigation actions will differ depending on the region. Future ideal U-values will be higher or lowe</w:t>
      </w:r>
    </w:p>
    <w:p>
      <w:pPr/>
      <w:r>
        <w:rPr>
          <w:b/>
        </w:rPr>
        <w:t>POSSIBLE 2023:</w:t>
      </w:r>
      <w:r>
        <w:t xml:space="preserve"> Family education as a process of translation of ideals and values of culture — https://doi.org/10.25136/2409-7144.2023.9.43635</w:t>
      </w:r>
    </w:p>
    <w:p>
      <w:pPr/>
      <w:r>
        <w:rPr>
          <w:b/>
        </w:rPr>
        <w:t>Shared claim-specific concepts:</w:t>
      </w:r>
      <w:r>
        <w:t xml:space="preserve"> extent, conditions, authors; EU scope not established. This is a provisional connection, not an outcome finding.</w:t>
      </w:r>
    </w:p>
    <w:p>
      <w:pPr>
        <w:pStyle w:val="SourceNote"/>
      </w:pPr>
      <w:r>
        <w:rPr>
          <w:b/>
        </w:rPr>
        <w:t>Available abstract (not full text):</w:t>
      </w:r>
      <w:r>
        <w:t xml:space="preserve"> In the article, the authors consider issues related to the family as a social institution of society, which through the education system is a carrier, keeper and translator of cultural ideals. The subject of the study is family education, interpreted as the process of translating the ideals and values of culture. The article examines the concept and functions of the family as a leading social institution, sacred and profane ideals of culture and their mutual influence, types of family education, distinguished depending on the characteristics of the transmitted cultural values. When writing the work, such general scientific and private scientific research methods as analysis, synthesis, classification, generalization, comparison, historical method, analysis of empirical and sociological data on the studied problem were used. The general methodology of the work was compiled by scientific works of both domestic and foreign scientists devoted to the family as a carrier of cultural values. The analysis of scientific literature on research issues has shown that the modern family performs not only reproductive functions, but also the functions of preserving and reproducing cultural values, allowing society and the state to maintain stability and develop in the conditions of globalization and active influence on society through the imposition of new cultural values. The scientific nove</w:t>
      </w:r>
    </w:p>
    <w:p>
      <w:pPr/>
      <w:r>
        <w:rPr>
          <w:b/>
        </w:rPr>
        <w:t>POSSIBLE 2023:</w:t>
      </w:r>
      <w:r>
        <w:t xml:space="preserve"> Towards Ideal Understanding — https://doi.org/10.3998/ergo.4651</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What does it take to understand a phenomenon ideally, or to the highest conceivable extent? In this paper, we answer this question by arguing for five necessary conditions for ideal understanding: (i) sufficient representational accuracy, (ii) intelligibility, (iii) sufficient truth, (iv) reasonable endorsement, and (v) fit. Even if one disagrees that there is some form of ideal understanding, these five conditions can be regarded as sufficient conditions for a particularly deep level of understanding. We then argue that grasping, novel predictions, and transparency are not reasonable conditions for ideal understanding.</w:t>
      </w:r>
    </w:p>
    <w:p>
      <w:pPr/>
      <w:r>
        <w:rPr>
          <w:b/>
        </w:rPr>
        <w:t>POSSIBLE 2023:</w:t>
      </w:r>
      <w:r>
        <w:t xml:space="preserve"> Building for tomorrow: Analyzing ideal thermal transmittances in the face of climate change in Brazil — https://doi.org/10.1016/j.apenergy.2023.122360</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The climate will become hotter, and buildings will perform differently as outdoor conditions evolve. If the lowest energy demand is desired, it is crucial to determine the ideal thermophysical properties of the envelope over the buildings' life span. However, the scientific literature is still scarce in providing a compelling answer. Therefore, this study (i) determines ideal thermal transmittance values (U-values) for present-day and future climates, (ii) determines to what extent the thermophysical properties will need to change to remain ideal, (iii) identifies different trends of U-values over time, (iv) establishes a relationship between outdoor air temperatures, cooling and heating setpoints, and ideal U-values, and (v) proposes a set of design strategies according to each trend. The EPSAP generative design method was used to create a large dataset of residential buildings with random geometries and U-values to evaluate their energy demand for heating and cooling in EnergyPlus. The thermal performance of each building was evaluated for 30 locations in Brazil for the current period and two future timeframes (2050 and 2080). The Future Weather Generator tool was used to morph today's typical meteorological weather to match the EC-Earth3 data for the SSP5–8.5 scenario. Although climate change has a similar relative impact, its consequences differ over time in each location. </w:t>
      </w:r>
    </w:p>
    <w:p>
      <w:pPr/>
      <w:r>
        <w:rPr>
          <w:b/>
        </w:rPr>
        <w:t>POSSIBLE 2022:</w:t>
      </w:r>
      <w:r>
        <w:t xml:space="preserve"> Health Inequalities: To What Extent are Decision-Makers and Economic Evaluations on the Same Page? An English Case Study — https://doi.org/10.1007/s40258-022-00739-8</w:t>
      </w:r>
    </w:p>
    <w:p>
      <w:pPr/>
      <w:r>
        <w:rPr>
          <w:b/>
        </w:rPr>
        <w:t>Shared claim-specific concepts:</w:t>
      </w:r>
      <w:r>
        <w:t xml:space="preserve"> extent, case, explore, within, evolved; EU scope not established. This is a provisional connection, not an outcome finding.</w:t>
      </w:r>
    </w:p>
    <w:p>
      <w:pPr>
        <w:pStyle w:val="SourceNote"/>
      </w:pPr>
      <w:r>
        <w:rPr>
          <w:b/>
        </w:rPr>
        <w:t>Available abstract (not full text):</w:t>
      </w:r>
      <w:r>
        <w:t xml:space="preserve"> Economic evaluations have increasingly sought to understand how funding decisions within care sectors impact health inequalities. However, there is a disconnect between the methods used by researchers (e.g., within universities) and analysts (e.g., within publicly funded commissioning agencies), compared to evidence needs of decision makers in regard to how health inequalities are accounted for and presented. Our objective is to explore how health inequality is defined and quantified in different contexts. We focus on how specific approaches have developed, what similarities and differences have emerged, and consider how disconnects can be bridged. We explore existing methodological research regarding the incorporation of inequality considerations into economic evaluation in order to understand current best practice. In parallel, we explore how localised decision makers incorporate inequality considerations into their commissioning processes. We use the English care setting as a case study, from which we make inference as how local commissioning has evolved internationally. We summarise the recent development of distributional cost-effectiveness analysis in the economic evaluation literature: a method that makes explicit the trade-off between efficiency and equity. In the parallel decision-making setting, while the alleviation of health inequality is regularly the focus of remi</w:t>
      </w:r>
    </w:p>
    <w:p>
      <w:pPr/>
      <w:r>
        <w:rPr>
          <w:b/>
        </w:rPr>
        <w:t>POSSIBLE 2022:</w:t>
      </w:r>
      <w:r>
        <w:t xml:space="preserve"> Determinants of the extent and quality of corporate social responsibility disclosure in the industrial and services sectors: the case of Jordan — https://doi.org/10.1108/jfra-05-2021-0133</w:t>
      </w:r>
    </w:p>
    <w:p>
      <w:pPr/>
      <w:r>
        <w:rPr>
          <w:b/>
        </w:rPr>
        <w:t>Shared claim-specific concepts:</w:t>
      </w:r>
      <w:r>
        <w:t xml:space="preserve"> extent, case, authors, corporate; EU scope not established. This is a provisional connection, not an outcome finding.</w:t>
      </w:r>
    </w:p>
    <w:p>
      <w:pPr>
        <w:pStyle w:val="SourceNote"/>
      </w:pPr>
      <w:r>
        <w:rPr>
          <w:b/>
        </w:rPr>
        <w:t>Available abstract (not full text):</w:t>
      </w:r>
      <w:r>
        <w:t xml:space="preserve"> Purpose This study aims to investigate the determinants of the extent and quality of corporate social responsibility disclosure (CSRD) in Jordan. The study examines a number of factors that influence the extent and quality of CSR disclosure, such as corporate characteristics, corporate governance and ownership structure. Design/methodology/approach A quantitative approach and a content analysis technique is used to measure the extent and quality of CSRD from annual reports. The sample is drawn from the annual reports of 118 Jordanian companies between 2010 and 2015. A CSRD index is constructed, which includes the disclosures of the following categories: environmental, human resources, product and consumers, and community involvement. This is the first study that presents a new measurement for CSR disclosure quality by using images and charts in a seven-point scale measurement. Findings The result reveals that the extent of CSRD is higher than quality in Jordan. Regarding the determinants of CSR disclosures, the following factors were found to have a significant relationship with both the extent and quality of CSRD: board size, non-executive directors, age of firm, foreign members on the board, number of boards meetings, the presence of audit committees, big 4, government ownership, size of firm and industry type. Non-executive directors was found to have a significant correlati</w:t>
      </w:r>
    </w:p>
    <w:p>
      <w:pPr/>
      <w:r>
        <w:rPr>
          <w:b/>
        </w:rPr>
        <w:t>POSSIBLE 2022:</w:t>
      </w:r>
      <w:r>
        <w:t xml:space="preserve"> Assessing annual thermal comfort extent in central courtyards: Baghdad as a case study — https://doi.org/10.1108/sasbe-09-2021-0154</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Purpose Traditional central courtyards have been advocated for being thermally efficient for hot-climate regions. However, exploring previous literature shows that it is not clear to what extent courtyards are truly thermally comfortable. This study determines the level of thermal comfort in residential courtyards in hot-climate regions, taking Baghdad as a case study. Design/methodology/approach This study develops a novel Courtyard Thermal Usability Index (CTUI) to quantify the ability of courtyards to provide thermal comfort to occupants. CTUI is the fraction of useable thermally comfortable hours in courtyards of the total occupation hours during a specific period. To operationalise CTUI, the research employs the Envi-met 4.2 simulation tool to determine the annual thermal conditions of 360 courtyards. An adaptive thermal comfort model developed by Al-Hafith in 2020 for Iraq is used to judge simulated thermal conditions and determine CTUI. Findings CTUI enables determining the level of thermal comfort courtyards offer to occupants by showing the ratio of the thermally comfortable period versus the occupation period. Results show that, in Iraq, annually, courtyards offer up to 38% comfortable hours out of the total potential occupation hours. The rest of the time the courtyard will not be comfortable, mostly due to overheating. When designing courtyards, the most effective g</w:t>
      </w:r>
    </w:p>
    <w:p>
      <w:pPr/>
      <w:r>
        <w:rPr>
          <w:b/>
        </w:rPr>
        <w:t>POSSIBLE 2022:</w:t>
      </w:r>
      <w:r>
        <w:t xml:space="preserve"> Ideal Theory and Its Fairness Role — https://doi.org/10.1007/s10790-022-09905-6</w:t>
      </w:r>
    </w:p>
    <w:p>
      <w:pPr/>
      <w:r>
        <w:rPr>
          <w:b/>
        </w:rPr>
        <w:t>Shared claim-specific concepts:</w:t>
      </w:r>
      <w:r>
        <w:t xml:space="preserve"> considers, extent, conditions, ideal; EU scope not established. This is a provisional connection, not an outcome finding.</w:t>
      </w:r>
    </w:p>
    <w:p>
      <w:pPr>
        <w:pStyle w:val="SourceNote"/>
      </w:pPr>
      <w:r>
        <w:rPr>
          <w:b/>
        </w:rPr>
        <w:t>Available abstract (not full text):</w:t>
      </w:r>
      <w:r>
        <w:t xml:space="preserve"> John Rawls famously sees ideal theory as a necessary precursor to non-ideal theory. Amartya Sen, on the contrary, considers it useless for comparing feasible arrangements under non-ideal conditions. Footnote 1 Sen and other critics of ideal theory aim their arguments at its intended purposes of guiding long-term institutional reform and providing a metric for assessing the extent to which non-ideal arrangements deviate from the ideal of perfect justice. Responses from proponents of ideal theory typically also focus on these two roles.</w:t>
      </w:r>
    </w:p>
    <w:p>
      <w:pPr>
        <w:pStyle w:val="Heading2"/>
      </w:pPr>
      <w:r>
        <w:t>842.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2025:</w:t>
      </w:r>
      <w:r>
        <w:t xml:space="preserve"> Survivorship therapy needs after radiotherapy for head and neck cancer: surveying opportunities for growth (STRONG) — https://doi.org/10.1007/s00520-025-09429-2</w:t>
      </w:r>
    </w:p>
    <w:p>
      <w:pPr/>
      <w:r>
        <w:rPr>
          <w:b/>
        </w:rPr>
        <w:t>Shared claim-specific concepts:</w:t>
      </w:r>
      <w:r>
        <w:t xml:space="preserve"> not, strong; EU scope not established. This is a provisional connection, not an outcome finding.</w:t>
      </w:r>
    </w:p>
    <w:p>
      <w:pPr>
        <w:pStyle w:val="SourceNote"/>
      </w:pPr>
      <w:r>
        <w:rPr>
          <w:b/>
        </w:rPr>
        <w:t>Available abstract (not full text):</w:t>
      </w:r>
      <w:r>
        <w:t xml:space="preserve"> INTRODUCTION: Patients with head and neck squamous cell carcinoma (HNSCC) are at risk for long-term side effects and require thorough survivorship care following completion of radiation therapy (RT). We aimed to identify survivorship interest and needs following RT. METHODS: Patients with HNSCC who completed RT from Jan 2013 to April 2023 completed questions based on the five-domain Cancer Survivorship Framework (physical effects, psychosocial effects, cancer screening, chronic conditions, health promotion) and the Consolidated Framework for Implementation Research (interest, knowledge, barriers). RESULTS: Of 1,123 patients, 317 participated (response rate 28%). Patients were 64% (n = 203) male with a mean age of 64 years (SD 12), with 66% (n = 209) finishing treatment &gt; 2-years prior. 36% (n = 115) were interested in, 34% (n = 108) prioritized, and 28% (n = 88) had information related to survivorship. For survivorship domains, within physical effects, dry mouth (40%, n = 126) and trouble swallowing (24%, n = 75) were most bothersome. For psychosocial, 15% (n = 46) reported current depression (mean PHQ2 score ≥ 3) and 71% (n = 226) felt mental health needs were not addressed during treatment. Forty-two percent felt that diet, exercise, and smoking were not addressed (n = 134). Seventy-six percent (n = 240) understood the importance of cancer screening. Most patients wished to a</w:t>
      </w:r>
    </w:p>
    <w:p>
      <w:pPr/>
      <w:r>
        <w:rPr>
          <w:b/>
        </w:rPr>
        <w:t>POSSIBLE 2024:</w:t>
      </w:r>
      <w:r>
        <w:t xml:space="preserve"> Fiscal drag: the heterogeneous impact of inflation on personal income tax revenue — https://doi.org/10.53479/37393</w:t>
      </w:r>
    </w:p>
    <w:p>
      <w:pPr/>
      <w:r>
        <w:rPr>
          <w:b/>
        </w:rPr>
        <w:t>Shared claim-specific concepts:</w:t>
      </w:r>
      <w:r>
        <w:t xml:space="preserve"> not, drag, fiscal, effect, strong, gdp; EU scope not established. This is a provisional connection, not an outcome finding.</w:t>
      </w:r>
    </w:p>
    <w:p>
      <w:pPr>
        <w:pStyle w:val="SourceNote"/>
      </w:pPr>
      <w:r>
        <w:rPr>
          <w:b/>
        </w:rPr>
        <w:t>Available abstract (not full text):</w:t>
      </w:r>
      <w:r>
        <w:t xml:space="preserve"> In recent years, personal income tax collection has shown strong dynamism. Part of this increase is due to household income growth, while another part is due to the “fiscal drag” effect, which results in an increase in average effective rates when the parameters that determine the tax (brackets and tax benefits) are not fully updated with inflation. This paper uses a tax microsimulation tool based on tax filers’ administrative data to study the magnitude of the fiscal drag effect, its heterogeneity across the income distribution, its mechanisms and its impact on tax collection and on average effective tax rates in recent years and in the future. It is estimated that, in the absence of indexation of the nominally defined parameters of the tax, a homogeneous increase in household income of 1% would lead to an increase in income tax revenue of 1.85%, in line with the average elasticity estimated for OECD countries. This effect is greater for middle and upper-middle incomes and produces an increase in effective tax rates across the entire distribution of tax filers, leading to a reduction in net income inequality. It is estimated that around half of the increase in the personal income tax-to-GDP ratio observed between 2019 and 2023 can be explained by the fiscal drag effect. Going forward, in the absence of changes in tax parameters, the ratio of personal income tax revenue to GDP </w:t>
      </w:r>
    </w:p>
    <w:p>
      <w:pPr/>
      <w:r>
        <w:rPr>
          <w:b/>
        </w:rPr>
        <w:t>POSSIBLE 2023:</w:t>
      </w:r>
      <w:r>
        <w:t xml:space="preserve"> Morocco’s Quest for Stronger and Inclusive Growth — https://doi.org/10.5089/9798400225406.071</w:t>
      </w:r>
    </w:p>
    <w:p>
      <w:pPr/>
      <w:r>
        <w:rPr>
          <w:b/>
        </w:rPr>
        <w:t>Shared claim-specific concepts:</w:t>
      </w:r>
      <w:r>
        <w:t xml:space="preserve"> stronger, not, but; EU scope not established. This is a provisional connection, not an outcome finding.</w:t>
      </w:r>
    </w:p>
    <w:p>
      <w:pPr>
        <w:pStyle w:val="SourceNote"/>
      </w:pPr>
      <w:r>
        <w:rPr>
          <w:b/>
        </w:rPr>
        <w:t>Available abstract (not full text):</w:t>
      </w:r>
      <w:r>
        <w:t xml:space="preserve"> Throughout the past two decades, Morocco has faced several external and domestic shocks, including large swings in international oil prices, regional geopolitical tensions, severe droughts, and most recently the impact of the pandemic and the economic fallout from Russia’s invasion of Ukraine. Despite rough waters, the government stayed the course and remained focused not only on immediate stability, but also on the long-term needs of the Moroccan economy. This involved the adoption of a series of difficult measures, like the elimination of energy subsidies, and a strategy aimed at improving the country’s infrastructure, diversifying the production and export bases by attracting foreign investment, and modernizing the governance structure of the public administration. The road to higher and more inclusive growth, however, remains steep. Despite gains in poverty reduction, literacy and lifespans, Morocco economy continues to face a high share of inactive youth, large gaps in economic opportunities for women, a fragmented social protection system, and remaining barriers to private sector development. An ambitious reform agenda is needed to better meet the aspirations of Moroccans, by making economic growth stronger, more resilient and more inclusive, particularly to provide greater opportunities for young, women, and entrepreneurs. Morocco appears well positioned to address these</w:t>
      </w:r>
    </w:p>
    <w:p>
      <w:pPr/>
      <w:r>
        <w:rPr>
          <w:b/>
        </w:rPr>
        <w:t>POSSIBLE 2023:</w:t>
      </w:r>
      <w:r>
        <w:t xml:space="preserve"> Strong Inhibition of Ice Growth by Biomimetic Crowding Coacervates — https://doi.org/10.1002/anie.202311047</w:t>
      </w:r>
    </w:p>
    <w:p>
      <w:pPr/>
      <w:r>
        <w:rPr>
          <w:b/>
        </w:rPr>
        <w:t>Shared claim-specific concepts:</w:t>
      </w:r>
      <w:r>
        <w:t xml:space="preserve"> not, activity, strong, but; EU scope not established. This is a provisional connection, not an outcome finding.</w:t>
      </w:r>
    </w:p>
    <w:p>
      <w:pPr>
        <w:pStyle w:val="SourceNote"/>
      </w:pPr>
      <w:r>
        <w:rPr>
          <w:b/>
        </w:rPr>
        <w:t>Available abstract (not full text):</w:t>
      </w:r>
      <w:r>
        <w:t xml:space="preserve"> The freezing of biological fluids is intensively studied but remains elusive as it is affected not only by the various components but also by the crowding nature of the biological fluids. Herein, we constructed spherical crowders, fibrous crowders, and coacervates by various components ranging from surfactants to polymers and proteins, to mimic three typical crowders in biological fluids, i.e., globular proteins, fibrous networks, and condensates of biomolecules. It is elucidated that the three crowders exhibit low, moderate, and strong ice growth inhibition activity, respectively, resulting from their different abilities in slowing down water dynamics. Intriguingly, the coacervate consisting of molecules without obvious ice growth inhibition activity strongly inhibits ice growth, which is firstly employed as a highly-potent cryoprotectant. This work provides new insights into the survival of freezing-tolerant organisms and opens an avenue for the design of ice-controlling materials.</w:t>
      </w:r>
    </w:p>
    <w:p>
      <w:pPr/>
      <w:r>
        <w:rPr>
          <w:b/>
        </w:rPr>
        <w:t>POSSIBLE 2022:</w:t>
      </w:r>
      <w:r>
        <w:t xml:space="preserve"> Global growth on life support? The contributions of fiscal and monetary policy since the global financial crisis — https://doi.org/10.1002/ijfe.2675</w:t>
      </w:r>
    </w:p>
    <w:p>
      <w:pPr/>
      <w:r>
        <w:rPr>
          <w:b/>
        </w:rPr>
        <w:t>Shared claim-specific concepts:</w:t>
      </w:r>
      <w:r>
        <w:t xml:space="preserve"> drag, fiscal, consolidation, strong, but, gdp; EU scope not established. This is a provisional connection, not an outcome finding.</w:t>
      </w:r>
    </w:p>
    <w:p>
      <w:pPr>
        <w:pStyle w:val="SourceNote"/>
      </w:pPr>
      <w:r>
        <w:rPr>
          <w:b/>
        </w:rPr>
        <w:t>Available abstract (not full text):</w:t>
      </w:r>
      <w:r>
        <w:t xml:space="preserve"> Abstract This paper compares the role of monetary and fiscal policy shocks in advanced and emerging economies. Using a model with a hierarchical structure, we capture the variability of GDP response to policy shocks both between and within the groups of advanced and emerging countries. Our results show that the effects of fiscal stimulus are higher in advanced economies compared to emerging markets, while monetary policy is found to have more homogeneous effects on GDP. We quantify the policy contribution on GDP growth in the decade that followed the global financial crisis by means of a structural counterfactual analysis based on conditional forecasts. We find that global GDP growth benefited from substantial policy support during the global financial crisis but policy tightening thereafter, particularly fiscal consolidation, acted as a significant drag on the subsequent global recovery. In addition, we show that the role of policy has differed across countries. Specifically, in advanced economies, highly accommodative monetary policy has been counteracted by strong fiscal consolidation. By contrast, in emerging economies, monetary policy has been less accommodative since the global recession.</w:t>
      </w:r>
    </w:p>
    <w:p>
      <w:pPr/>
      <w:r>
        <w:rPr>
          <w:b/>
        </w:rPr>
        <w:t>POSSIBLE 2022:</w:t>
      </w:r>
      <w:r>
        <w:t xml:space="preserve"> Thailand Economic Monitor : Fiscal Policy for a Resilient and Equitable Future — https://doi.org/10.1596/38410</w:t>
      </w:r>
    </w:p>
    <w:p>
      <w:pPr/>
      <w:r>
        <w:rPr>
          <w:b/>
        </w:rPr>
        <w:t>Shared claim-specific concepts:</w:t>
      </w:r>
      <w:r>
        <w:t xml:space="preserve"> stronger, not, drag, fiscal, consolidation, activity; EU scope not established. This is a provisional connection, not an outcome finding.</w:t>
      </w:r>
    </w:p>
    <w:p>
      <w:pPr>
        <w:pStyle w:val="SourceNote"/>
      </w:pPr>
      <w:r>
        <w:rPr>
          <w:b/>
        </w:rPr>
        <w:t>Available abstract (not full text):</w:t>
      </w:r>
      <w:r>
        <w:t xml:space="preserve"> The economy has shown resilience to recent global shocks thus far, with output surpassing its pre-pandemic level in 2022 Q3, earlier than expected but trailing behind peers. Thailand’s economic recovery, however, lagged that of its ASEAN peers, most of which returned to pre-pandemic levels by late 2021. In addition, exports of goods remained a drag on growth in contrast to many peers who benefitted from stronger good export growth in the first half of this year. Most recently, Thailand experienced a sharp slowdown in goods exports growth, also observed it its ASEAN peers and consistent with the contraction in global manufacturing Purchasing Manager Index (PMI). Despite higher revenue from tourism, the current account deficit remained wide in 2022 Q3. Price pressures have remained elevated and broadened to core inflation. Fiscal measures aimed at mitigating the cost-of-living shock have supported economic activity but contributed to the slowdown in fiscal consolidation. The financial system remains stable overall, although risks associated with increased levels of household and corporate debt have not been resolved. Labor market conditions have improved, but the phasing out of Coronavirus (COVID-19) relief measures and the rising cost of living may slow down poverty reduction. Thailand’s relatively low tax revenue collection contributes to underinvestment in pro-poor spending. S</w:t>
      </w:r>
    </w:p>
    <w:p>
      <w:pPr>
        <w:pStyle w:val="Heading2"/>
      </w:pPr>
      <w:r>
        <w:t>843.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2023:</w:t>
      </w:r>
      <w:r>
        <w:t xml:space="preserve"> Two and a Half Tales of Europe: How the European Commission Narrates Peoplehood in Migration and Citizenship Policy — https://doi.org/10.1111/jcms.13479</w:t>
      </w:r>
    </w:p>
    <w:p>
      <w:pPr/>
      <w:r>
        <w:rPr>
          <w:b/>
        </w:rPr>
        <w:t>Shared claim-specific concepts:</w:t>
      </w:r>
      <w:r>
        <w:t xml:space="preserve"> two, article; EU scope visible. This is a provisional connection, not an outcome finding.</w:t>
      </w:r>
    </w:p>
    <w:p>
      <w:pPr>
        <w:pStyle w:val="SourceNote"/>
      </w:pPr>
      <w:r>
        <w:rPr>
          <w:b/>
        </w:rPr>
        <w:t>Available abstract (not full text):</w:t>
      </w:r>
      <w:r>
        <w:t xml:space="preserve"> Abstract Since 2019, the European Commission has had a vice president for ‘promoting our European way of life’, but whether a European ‘we’ exists at all is disputed. This article investigates whether and how the Commission has constructed this ‘we’ through narratives of peoplehood. Analysing official communications in migration and citizenship policy between 2007 and 2020, it traces three narrative elements: characters, plot and main theme. The article argues, first, that the Commission's narrative of ‘realizing European citizenship’ creates a sense of peoplehood more than its narrative of ‘achieving a comprehensive migration policy’ and, second, that it has largely repeated its citizenship narrative while adapting its migration narrative. The findings suggest that the Commission is a rather subtle narrator of peoplehood and call into question whether it has a clear idea of the ‘we’ whose ‘way of life’ it seeks to promote.</w:t>
      </w:r>
    </w:p>
    <w:p>
      <w:pPr/>
      <w:r>
        <w:rPr>
          <w:b/>
        </w:rPr>
        <w:t>POSSIBLE 2022:</w:t>
      </w:r>
      <w:r>
        <w:t xml:space="preserve"> Facial-sketch Synthesis: A New Challenge — https://doi.org/10.1007/s11633-022-1349-9</w:t>
      </w:r>
    </w:p>
    <w:p>
      <w:pPr/>
      <w:r>
        <w:rPr>
          <w:b/>
        </w:rPr>
        <w:t>Shared claim-specific concepts:</w:t>
      </w:r>
      <w:r>
        <w:t xml:space="preserve"> sketch, two, approaches; EU scope not established. This is a provisional connection, not an outcome finding.</w:t>
      </w:r>
    </w:p>
    <w:p>
      <w:pPr>
        <w:pStyle w:val="SourceNote"/>
      </w:pPr>
      <w:r>
        <w:rPr>
          <w:b/>
        </w:rPr>
        <w:t>Available abstract (not full text):</w:t>
      </w:r>
      <w:r>
        <w:t xml:space="preserve"> Abstract This paper aims to conduct a comprehensive study on facial-sketch synthesis (FSS). However, due to the high cost of obtaining hand-drawn sketch datasets, there is a lack of a complete benchmark for assessing the development of FSS algorithms over the last decade. We first introduce a high-quality dataset for FSS, named FS2K, which consists of 2 104 image-sketch pairs spanning three types of sketch styles, image backgrounds, lighting conditions, skin colors, and facial attributes. FS2K differs from previous FSS datasets in difficulty, diversity, and scalability and should thus facilitate the progress of FSS research. Second, we present the largest-scale FSS investigation by reviewing 89 classic methods, including 25 handcrafted feature-based facial-sketch synthesis approaches, 29 general translation methods, and 35 image-to-sketch approaches. In addition, we elaborate comprehensive experiments on the existing 19 cutting-edge models. Third, we present a simple baseline for FSS, named FSGAN. With only two straightforward components, i.e., facial-aware masking and style-vector expansion, our FSGAN surpasses the performance of all previous state-of-the-art models on the proposed FS2K dataset by a large margin. Finally, we conclude with lessons learned over the past years and point out several unsolved challenges. Our code is available at https://github.com/DengPingFan/FSGAN</w:t>
      </w:r>
    </w:p>
    <w:p>
      <w:pPr/>
      <w:r>
        <w:rPr>
          <w:b/>
        </w:rPr>
        <w:t>POSSIBLE 2021:</w:t>
      </w:r>
      <w:r>
        <w:t xml:space="preserve"> A New Idea(l) for Europe: Report on the Future of Cosmopolitanism in Europe — https://doi.org/10.17185/duepublico/74426</w:t>
      </w:r>
    </w:p>
    <w:p>
      <w:pPr/>
      <w:r>
        <w:rPr>
          <w:b/>
        </w:rPr>
        <w:t>Shared claim-specific concepts:</w:t>
      </w:r>
      <w:r>
        <w:t xml:space="preserve"> sketch, two, possible, emphasize, union; EU scope visible. This is a provisional connection, not an outcome finding.</w:t>
      </w:r>
    </w:p>
    <w:p>
      <w:pPr>
        <w:pStyle w:val="SourceNote"/>
      </w:pPr>
      <w:r>
        <w:rPr>
          <w:b/>
        </w:rPr>
        <w:t>Available abstract (not full text):</w:t>
      </w:r>
      <w:r>
        <w:t xml:space="preserve"> While designing its migration policies, the European Union must carefully weigh two conflicting considerations. On the one hand, the Union has set some normative standards for itself in its Charter of Fundamental Rights. On the other hand, after the sudden influx of asylum seekers over the summer of 2015, several member states signalled that their reception facilities could not cope with the tide of new arrivals, while some populations voted into power or confirmed national governments committed to restricting immigration into Europe. This report aims to offer some constructive criticisms and to present various solutions that would reconcile the Union’s normative commitments with its migration practices. To that end, we will proceed in four major steps. To begin with, we present a thorough diagnostic of the current situation of the Union’s migration policies and of its adequation to its self-assigned values and norms. Then, we introduce three possible scenarios for the future of the Union’s migration policies. In our first scenario, we suggest that the current status quo is unstable and that its perpetuation is likely to come at a political cost. We then sketch two alternative options. In the second scenario, the Union takes a step back in the management of its external borders, hands over most of the operational responsibilities to its member states and limits itself to a supe</w:t>
      </w:r>
    </w:p>
    <w:p>
      <w:pPr/>
      <w:r>
        <w:rPr>
          <w:b/>
        </w:rPr>
        <w:t>POSSIBLE 2020:</w:t>
      </w:r>
      <w:r>
        <w:t xml:space="preserve"> Public Policy during COVID-19: Challenges for Public Administration and Policy Research in Central and Eastern Europe — https://doi.org/10.2478/nispa-2020-0011</w:t>
      </w:r>
    </w:p>
    <w:p>
      <w:pPr/>
      <w:r>
        <w:rPr>
          <w:b/>
        </w:rPr>
        <w:t>Shared claim-specific concepts:</w:t>
      </w:r>
      <w:r>
        <w:t xml:space="preserve"> suggested, article; EU scope visible. This is a provisional connection, not an outcome finding.</w:t>
      </w:r>
    </w:p>
    <w:p>
      <w:pPr>
        <w:pStyle w:val="SourceNote"/>
      </w:pPr>
      <w:r>
        <w:rPr>
          <w:b/>
        </w:rPr>
        <w:t>Available abstract (not full text):</w:t>
      </w:r>
      <w:r>
        <w:t xml:space="preserve"> Abstract The authors of this text decided to prepare a short article, with the aim to induce further discussion and to orient ongoing and future research efforts in Central and Eastern Europe but also worldwide. The article uses the method of a multi-country case study as the basis for proposing several critical research (and policy) challenges for our region – but many of them of a world-wide character. Four countries are covered by our thumbnail informative sketches – the Czech Republic, Estonia, Hungary and the Slovak Republic. The final part of this article proposes a set of questions suggested by the CEE experience with COVID-19 for future research. Such research will both be necessary and interesting for scholarship and policy in the region, and – as a particularly interesting context and area – helpful, one hopes, for questions and answers globally, concerning the pandemic, as well as public administration and policy as a whole.</w:t>
      </w:r>
    </w:p>
    <w:p>
      <w:pPr/>
      <w:r>
        <w:rPr>
          <w:b/>
        </w:rPr>
        <w:t>POSSIBLE 2019:</w:t>
      </w:r>
      <w:r>
        <w:t xml:space="preserve"> Innovators in the Crossfire: A Policy Sketch for Unknowable Risks in European and United States Product Liability Law — https://doi.org/10.37381/tds8a957</w:t>
      </w:r>
    </w:p>
    <w:p>
      <w:pPr/>
      <w:r>
        <w:rPr>
          <w:b/>
        </w:rPr>
        <w:t>Shared claim-specific concepts:</w:t>
      </w:r>
      <w:r>
        <w:t xml:space="preserve"> sketch, possible, union, far, article; EU scope visible. This is a provisional connection, not an outcome finding.</w:t>
      </w:r>
    </w:p>
    <w:p>
      <w:pPr>
        <w:pStyle w:val="SourceNote"/>
      </w:pPr>
      <w:r>
        <w:rPr>
          <w:b/>
        </w:rPr>
        <w:t>Available abstract (not full text):</w:t>
      </w:r>
      <w:r>
        <w:t xml:space="preserve"> hrrRopucroNA product defect results from an unknowable innovation riskl when available scientific testing procedures could not have permitted discovery of the defect prior to the product's initial manufacture.Such product defects occur rather commonly in innovative or newly developed products and materials2 typically found in the pharmaceutical, medico- technical, nuclear, aviation, and biochemical engineering industries.Irgal treatment of product innovation risks has significant economic implications, which this Article addresses.Although strict liabilityincluding liability for innovation risks-has expanded for the last twenty years,3 it now seems to have started to contract on both sides of the Atlantic.4The role of innovation risks in product liability law is currently attracting attention from both lawyers and government administrators.Although cunently on the European Union's agenda, the subject of innovation risk has thus far beon addressed only tentatively in Council Directive 85/374 of July 25, 1985, concerning the member states'l.This term excludes losses occurring after the risk has been detected because such lesses result from failure to forewam a user of its consequences, not from the innovation risk itself.James A. Henderson, h., Coping with the Time Dimension in Products linbility,69 Cru-.L. REV.919, 922 n.5 (1981).Because these cases do not pose special problems </w:t>
      </w:r>
    </w:p>
    <w:p>
      <w:pPr/>
      <w:r>
        <w:rPr>
          <w:b/>
        </w:rPr>
        <w:t>POSSIBLE 2019:</w:t>
      </w:r>
      <w:r>
        <w:t xml:space="preserve"> European Union social policy — https://doi.org/10.4324/9780429290510-30</w:t>
      </w:r>
    </w:p>
    <w:p>
      <w:pPr/>
      <w:r>
        <w:rPr>
          <w:b/>
        </w:rPr>
        <w:t>Shared claim-specific concepts:</w:t>
      </w:r>
      <w:r>
        <w:t xml:space="preserve"> two, potential, union; EU scope visible. This is a provisional connection, not an outcome finding.</w:t>
      </w:r>
    </w:p>
    <w:p>
      <w:pPr>
        <w:pStyle w:val="SourceNote"/>
      </w:pPr>
      <w:r>
        <w:rPr>
          <w:b/>
        </w:rPr>
        <w:t>Available abstract (not full text):</w:t>
      </w:r>
      <w:r>
        <w:t xml:space="preserve"> This chapter presents quantitative and qualitative developments of EU social policy over the last two decades. It differentiates between instrument types (spending, regulatory, and coordinating) and areas of EU social policy (freedom of movement, unemployment, old age, and health) to show that overall continuity prevails. Economic integration continues to dominate over social integration, developments are incremental and frequently take place in form of soft, non-binding rather than binding instruments. This is astonishing as deepening economic integration, austerity policies, and hardship of the economic and financial crisis create demand for more or for a different EU social policy. Turning to potential explanations for this paradox, the chapter finishes by discussing the heterogeneity of member states and their interests as well as EU politics.</w:t>
      </w:r>
    </w:p>
    <w:p>
      <w:pPr/>
      <w:r>
        <w:rPr>
          <w:b/>
        </w:rPr>
        <w:t>POSSIBLE 2019:</w:t>
      </w:r>
      <w:r>
        <w:t xml:space="preserve"> Energy Policy and European Union Politics — https://doi.org/10.1093/acrefore/9780190228637.013.1079</w:t>
      </w:r>
    </w:p>
    <w:p>
      <w:pPr/>
      <w:r>
        <w:rPr>
          <w:b/>
        </w:rPr>
        <w:t>Shared claim-specific concepts:</w:t>
      </w:r>
      <w:r>
        <w:t xml:space="preserve"> energy, governance, union, beyond, coherence; EU scope visible. This is a provisional connection, not an outcome finding.</w:t>
      </w:r>
    </w:p>
    <w:p>
      <w:pPr>
        <w:pStyle w:val="SourceNote"/>
      </w:pPr>
      <w:r>
        <w:rPr>
          <w:b/>
        </w:rPr>
        <w:t>Available abstract (not full text):</w:t>
      </w:r>
      <w:r>
        <w:t xml:space="preserve"> Abstract Energy policy has been considered as a “special case of Europeanization,” due to its tardy and patchy development as a domain of EU activity as well as its important but highly contested external dimension. Divergent energy pathways across Member States and the sensitivity of this policy domain have militated against a unified European Energy Policy. And yet, since the mid-2000s cooperation in this policy area has picked up speed, leading to the adoption of the Energy Union, presented by the European Commission as the most ambitious energy initiative since the European Coal and Steel Community. This dynamism has attracted growing scholarly attention, seeking to determine whether, why and how European Energy Policy has consolidated against all odds during a particularly critical moment for European integration. The underlying question that emerges in this context is whether the Energy Union represents a step forward towards a more homogenous and joined-up energy policy or, rather a strategy to manage heterogeneity through greater flexibility and differentiated integration. Given the multilevel and multisectoral characteristics of energy policy, answering these questions requires a three-fold analysis of (1) the degree of centralization of European Energy Policy (vertical integration), (2) the coherence between energy sub-sectors (cross-sectoral integration), and (3) the</w:t>
      </w:r>
    </w:p>
    <w:p>
      <w:pPr/>
      <w:r>
        <w:rPr>
          <w:b/>
        </w:rPr>
        <w:t>POSSIBLE 2018:</w:t>
      </w:r>
      <w:r>
        <w:t xml:space="preserve"> Institutional Economics: A Sketch of Economic Growth Policy — https://openalex.org/W2785147937</w:t>
      </w:r>
    </w:p>
    <w:p>
      <w:pPr/>
      <w:r>
        <w:rPr>
          <w:b/>
        </w:rPr>
        <w:t>Shared claim-specific concepts:</w:t>
      </w:r>
      <w:r>
        <w:t xml:space="preserve"> sketch, possible; EU scope not established. This is a provisional connection, not an outcome finding.</w:t>
      </w:r>
    </w:p>
    <w:p>
      <w:pPr>
        <w:pStyle w:val="SourceNote"/>
      </w:pPr>
      <w:r>
        <w:rPr>
          <w:b/>
        </w:rPr>
        <w:t>Available abstract (not full text):</w:t>
      </w:r>
      <w:r>
        <w:t xml:space="preserve"> In the postwar period until today the call for more intensive economic growth, again and again, enjoyed a substantial popularity in the world of politics, in particular with reference to possible current solutions of given economic problems. Here growth considerations and decisions in the past concentrating on some few years will be critically evaluated and found to be inadequate. Since economic growth is a long-term phenomenon, pertaining institutional and organizational precautions for formulating policies must be taken that will embody the preconditions of growth, the infrastructure of the market economy. In this context a proposal will be made on the basis of a wellknown constitutional model.</w:t>
      </w:r>
    </w:p>
    <w:p>
      <w:pPr/>
      <w:r>
        <w:rPr>
          <w:b/>
        </w:rPr>
        <w:t>POSSIBLE 2018:</w:t>
      </w:r>
      <w:r>
        <w:t xml:space="preserve"> Discourse analysis in the study of European foreign policy — https://doi.org/10.7765/9781526137647.00010</w:t>
      </w:r>
    </w:p>
    <w:p>
      <w:pPr/>
      <w:r>
        <w:rPr>
          <w:b/>
        </w:rPr>
        <w:t>Shared claim-specific concepts:</w:t>
      </w:r>
      <w:r>
        <w:t xml:space="preserve"> potential, union; EU scope visible. This is a provisional connection, not an outcome finding.</w:t>
      </w:r>
    </w:p>
    <w:p>
      <w:pPr>
        <w:pStyle w:val="SourceNote"/>
      </w:pPr>
      <w:r>
        <w:rPr>
          <w:b/>
        </w:rPr>
        <w:t>Available abstract (not full text):</w:t>
      </w:r>
      <w:r>
        <w:t xml:space="preserve"> Social constructivist discourse analysis has, since the early 1990s, become increasingly popular across the social sciences, including international relations. This chapter outlines the possibilities for the use of discourse analysis in the study of European foreign policy. It introduces the main features and assumptions of discourse analysis within the general field of social constructivism, and presents the main implications of discourse analysis for concrete empirical research. The chapter describes the main dimensions of discourse analysis using the categories of Milliken: representation, policy practice and play of practice. It highlights the use, and potential use, of discourse analysis in relation to four different aspects of European Union (EU) foreign policy. They are: is the EU constructed as an actor; as what kind of actor; what kind of values does it draw on; and how are EU foreign policy decision-making procedures constructed? .</w:t>
      </w:r>
    </w:p>
    <w:p>
      <w:pPr/>
      <w:r>
        <w:rPr>
          <w:b/>
        </w:rPr>
        <w:t>POSSIBLE 2017:</w:t>
      </w:r>
      <w:r>
        <w:t xml:space="preserve"> Towards a European Food and Nutrition Policy — https://openalex.org/W2766455788</w:t>
      </w:r>
    </w:p>
    <w:p>
      <w:pPr/>
      <w:r>
        <w:rPr>
          <w:b/>
        </w:rPr>
        <w:t>Shared claim-specific concepts:</w:t>
      </w:r>
      <w:r>
        <w:t xml:space="preserve"> provide, climate; EU scope visible. This is a provisional connection, not an outcome finding.</w:t>
      </w:r>
    </w:p>
    <w:p>
      <w:pPr>
        <w:pStyle w:val="SourceNote"/>
      </w:pPr>
      <w:r>
        <w:rPr>
          <w:b/>
        </w:rPr>
        <w:t>Available abstract (not full text):</w:t>
      </w:r>
      <w:r>
        <w:t xml:space="preserve"> Food is pivotal to our existence, connecting us with nature and with each other.Food is essential for our growth, livelihood and health.It defines who we are and is part of our identity.No wonder almost everyone has opinions on our diets, with lots of emerging hypes and intense discussions.Most of the time we make food choices unconsciously, without thinking.But sometimes this routine is disrupted by a news item about food safety or the impact that food production has on the environment, on overweight and disease, on climate change and food scarcity.Food is an important predictor of chronic disease, with our food choices, lifestyle and living environment greatly affecting our health and quality of life.Our confidence in food also relates to trust in farmers, the food industry, supermarkets and the government.Food is about who we are in relation to our own health and the health of our friends &amp; family.It is highly dependent on those who supply it, whether from nearby sources or the other side of the world.Wageningen University &amp; Research conducts research into food systems that provide diets to people in their daily life, in both Western and non-Western contexts, as part of the global community or as individuals.Wageningen University &amp; Research is one of the few universities in the world to carry out research on food, nutrition, lifestyle and health while also studying animal an</w:t>
      </w:r>
    </w:p>
    <w:p>
      <w:pPr>
        <w:pStyle w:val="Heading2"/>
      </w:pPr>
      <w:r>
        <w:t>844.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next, opportunities, increase;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2021:</w:t>
      </w:r>
      <w:r>
        <w:t xml:space="preserve"> Seeking Proxies for Internal States as a Possible Alternative for Rationality and Experientiality — https://doi.org/10.1177/2158244020986533</w:t>
      </w:r>
    </w:p>
    <w:p>
      <w:pPr/>
      <w:r>
        <w:rPr>
          <w:b/>
        </w:rPr>
        <w:t>Shared claim-specific concepts:</w:t>
      </w:r>
      <w:r>
        <w:t xml:space="preserve"> between, internal, external; EU scope not established. This is a provisional connection, not an outcome finding.</w:t>
      </w:r>
    </w:p>
    <w:p>
      <w:pPr>
        <w:pStyle w:val="SourceNote"/>
      </w:pPr>
      <w:r>
        <w:rPr>
          <w:b/>
        </w:rPr>
        <w:t>Available abstract (not full text):</w:t>
      </w:r>
      <w:r>
        <w:t xml:space="preserve"> The Cognitive–Experiential Self-Theory (CEST) proposes rationality and experientiality as independent personality constructs explaining how people process information. Recent empirical studies show that some people have low scores on both of these dimensions (the so-called disengaged profile). Another model, Seeking Proxies for Internal States (SPIS), primarily proposed to explain obsessive-compulsive tendencies, provides a framework under which both rationality and experientiality can be understood as internal resources of a person. Low rationality and experientiality could thus be overcome by seeking external clues. In two subsequent studies on independent nonclinical samples (psychology students N = 268 and technical sciences students N = 549), we examined the relationship between constructs from CEST and SPIS models, and in addition, explored their patterns of interoceptive awareness (IA) in Study 2. A latent profile analysis showed that the disengaged profile was related to high SPIS and OC tendencies in both samples. In addition, rationality and experientiality had similar and more positive correlations with some IA dimensions, compared to SPIS (and OCI)—IA correlations. Thus, impaired connection to internal states together with OC tendencies might contribute to the understanding of the specific thinking style of those who do not primarily rely on either rationality or ex</w:t>
      </w:r>
    </w:p>
    <w:p>
      <w:pPr/>
      <w:r>
        <w:rPr>
          <w:b/>
        </w:rPr>
        <w:t>POSSIBLE 2021:</w:t>
      </w:r>
      <w:r>
        <w:t xml:space="preserve"> DIAGNOSIS OF THREATS TO THE EUROPEAN UNION’S INTERNAL SECURITY — https://doi.org/10.7862/rz.2021.hss.19</w:t>
      </w:r>
    </w:p>
    <w:p>
      <w:pPr/>
      <w:r>
        <w:rPr>
          <w:b/>
        </w:rPr>
        <w:t>Shared claim-specific concepts:</w:t>
      </w:r>
      <w:r>
        <w:t xml:space="preserve"> identify, internal, threats, state; EU scope visible. This is a provisional connection, not an outcome finding.</w:t>
      </w:r>
    </w:p>
    <w:p>
      <w:pPr>
        <w:pStyle w:val="SourceNote"/>
      </w:pPr>
      <w:r>
        <w:rPr>
          <w:b/>
        </w:rPr>
        <w:t>Available abstract (not full text):</w:t>
      </w:r>
      <w:r>
        <w:t xml:space="preserve"> There is a common belief that despite the many legal, practical, and supportive solutions that the EU has introduced in recent years in the area of internal security, its citizens still lack assurance.In order to obtain the desired state of security, it is necessary to improve the existing solutions and create completely new ones.This need is associated with a deep awareness of threats, as well as knowledge of the mechanisms of their emergence and functioning.The aim of this article is to identify threats selected by scientists and experts that cause the greatest fear and anxiety in all the EU states and their citizens using theoretical methods such as analysis, synthesis, generalization, and inference.These findings highlight the opportunity to learn about the essence of threats to the internal security of the EU states that arise from contradictions and antagonisms on political, economic, and social bases and are caused not only by human activities but also by natural phenomena, the effects of which may be immediate or anticipated and very severe.</w:t>
      </w:r>
    </w:p>
    <w:p>
      <w:pPr/>
      <w:r>
        <w:rPr>
          <w:b/>
        </w:rPr>
        <w:t>POSSIBLE 2019:</w:t>
      </w:r>
      <w:r>
        <w:t xml:space="preserve"> Achievements of the European Union Countries in Seeking a Sustainable Electricity Sector — https://doi.org/10.3390/en12122254</w:t>
      </w:r>
    </w:p>
    <w:p>
      <w:pPr/>
      <w:r>
        <w:rPr>
          <w:b/>
        </w:rPr>
        <w:t>Shared claim-specific concepts:</w:t>
      </w:r>
      <w:r>
        <w:t xml:space="preserve"> seeks, identify, increase; EU scope visible. This is a provisional connection, not an outcome finding.</w:t>
      </w:r>
    </w:p>
    <w:p>
      <w:pPr>
        <w:pStyle w:val="SourceNote"/>
      </w:pPr>
      <w:r>
        <w:rPr>
          <w:b/>
        </w:rPr>
        <w:t>Available abstract (not full text):</w:t>
      </w:r>
      <w:r>
        <w:t xml:space="preserve"> The electricity production sector has a significant share of final energy consumption and has a huge potential to use more renewable energy sources. Over the last two decades, the European Union (EU) reform of electricity markets has had positive results, and market liberalization acts as a stimulus for energy efficiency, lower prices, and technological progress. Today’s EU policy for the development of electricity and the entire energy sector seeks to provide system modernization, stability, reinforcement of the single market, and implementation of climate change policy with an emphasis on the decarbonization of energy sources and the increase of energy efficiency. After all of the EU efforts to form an electricity sector in member states, it is necessary to assess the efficiency of the policy implemented and to identify the results achieved in shaping a sustainable electricity sector. The purpose of this article is to carry out a sustainability assessment of the electricity sector in the EU countries. A set of eight indicators designed to assess the sustainability of the electricity sector of different EU countries in 2017 has been drawn up. The assessment is made using the multi-criteria decision-making method (MCDM) Technique for Order Preference (TOPSIS). The assessment shows that the electricity market of Slovenia is the most sustainable, with Luxembourg in the second pos</w:t>
      </w:r>
    </w:p>
    <w:p>
      <w:pPr/>
      <w:r>
        <w:rPr>
          <w:b/>
        </w:rPr>
        <w:t>POSSIBLE 2019:</w:t>
      </w:r>
      <w:r>
        <w:t xml:space="preserve"> Social Innovation in Community Energy in Europe: A Review of the Evidence — https://doi.org/10.3389/fenrg.2019.00031</w:t>
      </w:r>
    </w:p>
    <w:p>
      <w:pPr/>
      <w:r>
        <w:rPr>
          <w:b/>
        </w:rPr>
        <w:t>Shared claim-specific concepts:</w:t>
      </w:r>
      <w:r>
        <w:t xml:space="preserve"> identify, opportunities, government;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The populist citizen: Empirical evidence from Europe and Latin America — https://doi.org/10.1017/s1755773919000262</w:t>
      </w:r>
    </w:p>
    <w:p>
      <w:pPr/>
      <w:r>
        <w:rPr>
          <w:b/>
        </w:rPr>
        <w:t>Shared claim-specific concepts:</w:t>
      </w:r>
      <w:r>
        <w:t xml:space="preserve"> identify, between, government; EU scope visible. This is a provisional connection, not an outcome finding.</w:t>
      </w:r>
    </w:p>
    <w:p>
      <w:pPr>
        <w:pStyle w:val="SourceNote"/>
      </w:pPr>
      <w:r>
        <w:rPr>
          <w:b/>
        </w:rPr>
        <w:t>Available abstract (not full text):</w:t>
      </w:r>
      <w:r>
        <w:t xml:space="preserve"> Abstract Scholars are increasingly interested in ‘populist attitudes’, which – studies show – can explain party support and vote choice. However, current research has not yet analyzed in detail the characteristics of those individuals with populist proclivities, or so-called populist citizens . To address this research gap, we harmonize survey data on populist attitudes for nine European countries, five Latin American countries, and Turkey in order to uncover shared or distinct features of populist citizens. Our findings are threefold. First, we identify differences in the sociodemographic characteristics of populist citizens, notably between Europe and Latin America. Second, we find similar patterns of heterogeneity in the political features of populist citizens. Third, we show that populist citizens across all countries have the same democratic profile. They systematically support democracy over other forms of government, while being dissatisfied with its implementation. This suggests populist attitudes are intrinsic to the political culture of contemporary democracies.</w:t>
      </w:r>
    </w:p>
    <w:p>
      <w:pPr/>
      <w:r>
        <w:rPr>
          <w:b/>
        </w:rPr>
        <w:t>POSSIBLE 2017:</w:t>
      </w:r>
      <w:r>
        <w:t xml:space="preserve"> Seeking to Belong: How the Words of Internal and External Beneficiaries Influence Performance — https://doi.org/10.5465/ambpp.2017.17184abstract</w:t>
      </w:r>
    </w:p>
    <w:p>
      <w:pPr/>
      <w:r>
        <w:rPr>
          <w:b/>
        </w:rPr>
        <w:t>Shared claim-specific concepts:</w:t>
      </w:r>
      <w:r>
        <w:t xml:space="preserve"> internal, external, increase; EU scope not established. This is a provisional connection, not an outcome finding.</w:t>
      </w:r>
    </w:p>
    <w:p>
      <w:pPr>
        <w:pStyle w:val="SourceNote"/>
      </w:pPr>
      <w:r>
        <w:rPr>
          <w:b/>
        </w:rPr>
        <w:t>Available abstract (not full text):</w:t>
      </w:r>
      <w:r>
        <w:t xml:space="preserve"> Theories of relational motivation provide evidence that beneficiary contact can enhance prosocial motivation in jobs high in significance by influencing employees’ perceived impact on these beneficiaries. This body of work generally focuses on service functions, or contexts in which the beneficiaries directly benefit from the employee’s work. Our study builds on these theories, suggesting that in contexts where the benefits to customers are indirect and distant, contact with internal beneficiaries can lead to increases in prosocial motivation by enhancing employees’ sense of belongingness. Our study leverages the insight that employees are seeking to belong–and seek to enhance their sense of belongingness in work settings. We find, in a longitudinal field experiment of fruit harvesters, that though beneficiary contact with the overall customer did not significantly improve productivity, contact with an internal beneficiary that made connectedness salient yielded a persistent increase in productivity relative to a control group.</w:t>
      </w:r>
    </w:p>
    <w:p>
      <w:pPr>
        <w:pStyle w:val="Heading2"/>
      </w:pPr>
      <w:r>
        <w:t>845.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2024:</w:t>
      </w:r>
      <w:r>
        <w:t xml:space="preserve"> The impact of Finnish politics on third-sector organizations’ human trafficking work — https://openalex.org/W7132975241</w:t>
      </w:r>
    </w:p>
    <w:p>
      <w:pPr/>
      <w:r>
        <w:rPr>
          <w:b/>
        </w:rPr>
        <w:t>Shared claim-specific concepts:</w:t>
      </w:r>
      <w:r>
        <w:t xml:space="preserve"> third, show, work; EU scope visible. This is a provisional connection, not an outcome finding.</w:t>
      </w:r>
    </w:p>
    <w:p>
      <w:pPr>
        <w:pStyle w:val="SourceNote"/>
      </w:pPr>
      <w:r>
        <w:rPr>
          <w:b/>
        </w:rPr>
        <w:t>Available abstract (not full text):</w:t>
      </w:r>
      <w:r>
        <w:t xml:space="preserve"> Human trafficking is an increasingly recognized phenomenon. It is global and diverse in nature, and hence, different sectors of society participate in combating it and helping those affected. One of these actors is the third sector, which this thesis examines. The potential of third-sector organizations (TSOs) in human trafficking work has been recognized nationally and internationally, but is not fully utilized. This study aimed to shed light on the political and governmental factors in Finland that impact TSOs’ human trafficking work. I used the resource dependence theory and the political feedback theory as the theoretical background of this thesis. Based on them, I created a theoretical framework that visualizes TSOs’ dependence on the resources of governmental actors. The theoretical framework also considers how TSOs’ operations change as a result of political changes, and the feedback effects that can be created through this process. I collected data by interviewing representatives of six Finnish TSOs who encounter human trafficking. I asked interviewees, for example, about how the organization has been affected by political changes and what they would change in the organization's external environment to conduct human trafficking work more successfully. I analyzed the data using thematic analysis. I deductively divided the results into five thematic categories, which prov</w:t>
      </w:r>
    </w:p>
    <w:p>
      <w:pPr/>
      <w:r>
        <w:rPr>
          <w:b/>
        </w:rPr>
        <w:t>POSSIBLE 2024:</w:t>
      </w:r>
      <w:r>
        <w:t xml:space="preserve"> Nonlinear Influence of the Built Environment on the Attraction of the Third Activity: A Comparative Analysis of Inflow from Home and Work — https://doi.org/10.3390/ijgi13090337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Gaining an understanding of the intricate mechanisms between human activity and the built environment can help in promoting sustainable urban development. However, most scholars have focused on residents’ life and work behavior and have ignored the third activity (e.g., shopping, eating, and entertainment). In this study, a random forest algorithm and SHapley Additive exPlanation model were utilized to explore the nonlinear influence of the built environment on the attraction of the third activity (other than home and work). A comparative analysis of the inflow of the third activity from home and work was also carried out. The results show that the contributions of all built environment variables to the attraction of the third activity differ between home–other flow (HO) and work–other flow (WO) at the global scale, but their local effects are significantly similar. Furthermore, the nonlinear influence of the built environment on the attractions of the third activity can vary from one factor to another. A significant spatial heterogeneity can be observed on the built environment variables’ local effects on the attractions of the third activity. These findings can provide urban planners with insights that will help in the planning and optimization of communities for pursuing the third activity.</w:t>
      </w:r>
    </w:p>
    <w:p>
      <w:pPr/>
      <w:r>
        <w:rPr>
          <w:b/>
        </w:rPr>
        <w:t>POSSIBLE 2023:</w:t>
      </w:r>
      <w:r>
        <w:t xml:space="preserve"> THE HALF AND THE THIRD – BINARY CONTINUITY LESSON IN THIRD AND FIFTH GRADES — https://doi.org/10.26883/2010.232.5592</w:t>
      </w:r>
    </w:p>
    <w:p>
      <w:pPr/>
      <w:r>
        <w:rPr>
          <w:b/>
        </w:rPr>
        <w:t>Shared claim-specific concepts:</w:t>
      </w:r>
      <w:r>
        <w:t xml:space="preserve"> third, show, work, two; EU scope not established. This is a provisional connection, not an outcome finding.</w:t>
      </w:r>
    </w:p>
    <w:p>
      <w:pPr>
        <w:pStyle w:val="SourceNote"/>
      </w:pPr>
      <w:r>
        <w:rPr>
          <w:b/>
        </w:rPr>
        <w:t>Available abstract (not full text):</w:t>
      </w:r>
      <w:r>
        <w:t xml:space="preserve"> This is a binary mathematics lesson to reinforce the concepts of halves and the thirds. The new knowledge that third graders gain in the lesson is their introduction to the appropriate notation of halves and thirds with fractions. This is also the continuity between third and fifth grade. The lesson combines knowledge and skills in mathematics, Bulgarian language and literature, fine arts, technology, and entrepreneurship. The pre-project activity „The Half and the third“ gives a visual image of these concepts. Hands-on teamwork activities in a lesson are a great way to represent the concepts with real objects and a way to work with units of measurement that have been learned. Students should present what they have already learned about halves and thirds with a paper and cardboard presentation in the shape of flowers. They present drawn geometric shapes that are divided into two or three equal parts. In some of the shapes one of the two /three/ equal parts is colored. This is the problem situation – how to label this part in the presentation? The task of the fifth-grade teacher is to introduce fractions one-half and one-third of something whole through demonstration and with mathematical expression that is understandable to third graders. To show, explain and write down the fractions 1/2 and 1/3. The lesson ends with an emotional story about the symbolism of flowers by the scho</w:t>
      </w:r>
    </w:p>
    <w:p>
      <w:pPr/>
      <w:r>
        <w:rPr>
          <w:b/>
        </w:rPr>
        <w:t>POSSIBLE 2021:</w:t>
      </w:r>
      <w:r>
        <w:t xml:space="preserve"> Customer Work Practices and the Productive Third Place — https://doi.org/10.1177/10946705211014278</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Third places—communal or socializing places such as coffee shops—are confronted with a rising customer segment: customers who use them for work. Prior research is divided on this trend: customer-workers are seen either as a source of added value or a major threat to third places. Relying on a multimethod, qualitative study, we investigate the strategic implications of the rise of customer-workers in third places. We extend prior research by considering customer-workers as a new and valuable segment, with its specific motivations and practices. Building on the co-constitution of practices and places, we show that the rise of the customer-worker segment has fostered market differentiation. We identify four types of third places (archetypal, status quo, compromise, and productive) depending on their targeting strategy and their servicescape adaptation. We delineate how customer-workers transform third places’ value proposition and bring challenges to each type. Specifically, we show that status quo third places are most prone to customer conflicts while compromise third places generate managerial struggles. In contrast, productive third places adapt their servicescape to become work accelerators and a source of professional identity for customer-workers. We provide recommendations for managers to overcome conflicts and benefit from this growing customer base.</w:t>
      </w:r>
    </w:p>
    <w:p>
      <w:pPr/>
      <w:r>
        <w:rPr>
          <w:b/>
        </w:rPr>
        <w:t>POSSIBLE 2021:</w:t>
      </w:r>
      <w:r>
        <w:t xml:space="preserve"> Work, family life and recovery: An exploratory study of “the third shift” — https://doi.org/10.3233/wor-213624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BACKGROUND: Using 24-hour narratives as a starting-point, the present study examines conditions for recovery from work. The third shift concept forms the explorative starting point for highlighting the interplay between work, family responsibilities, leisure time and recovery. OBJECTIVE: The aim of the study is to explore how the third shift affects possibilities for recovery. METHOD: The material was gathered by group interviews and diaries. Thirty employees participated in the study. Ten participants where women between 30 and 45 years of age with children living at home. RESULTS: Being solely responsible for the third shift reduced the chances of recovery during work-free time. The material showed that women aged 30-45 years had to a greater extent than others the main responsibility in a complex third shift. CONCLUSION: As a precondition for external recovery, this study show how theoretically beneficial the breakdown of the second shift and development of the third shift is for understanding different preconditions and the way they affect the possibility of recovery.</w:t>
      </w:r>
    </w:p>
    <w:p>
      <w:pPr/>
      <w:r>
        <w:rPr>
          <w:b/>
        </w:rPr>
        <w:t>POSSIBLE 2019:</w:t>
      </w:r>
      <w:r>
        <w:t xml:space="preserve"> Show Your Work: Improved Reporting of Experimental Results — https://doi.org/10.18653/v1/d19-1224</w:t>
      </w:r>
    </w:p>
    <w:p>
      <w:pPr/>
      <w:r>
        <w:rPr>
          <w:b/>
        </w:rPr>
        <w:t>Shared claim-specific concepts:</w:t>
      </w:r>
      <w:r>
        <w:t xml:space="preserve"> show, work, methods; EU scope not established. This is a provisional connection, not an outcome finding.</w:t>
      </w:r>
    </w:p>
    <w:p>
      <w:pPr>
        <w:pStyle w:val="SourceNote"/>
      </w:pPr>
      <w:r>
        <w:rPr>
          <w:b/>
        </w:rPr>
        <w:t>Available abstract (not full text):</w:t>
      </w:r>
      <w:r>
        <w:t xml:space="preserve"> Jesse Dodge, Suchin Gururangan, Dallas Card, Roy Schwartz, Noah A. Smith. Proceedings of the 2019 Conference on Empirical Methods in Natural Language Processing and the 9th International Joint Conference on Natural Language Processing (EMNLP-IJCNLP). 2019.</w:t>
      </w:r>
    </w:p>
    <w:p>
      <w:pPr/>
      <w:r>
        <w:rPr>
          <w:b/>
        </w:rPr>
        <w:t>POSSIBLE 2019:</w:t>
      </w:r>
      <w:r>
        <w:t xml:space="preserve"> Pragmatism in the Third Reich — https://doi.org/10.4000/ejpap.1524</w:t>
      </w:r>
    </w:p>
    <w:p>
      <w:pPr/>
      <w:r>
        <w:rPr>
          <w:b/>
        </w:rPr>
        <w:t>Shared claim-specific concepts:</w:t>
      </w:r>
      <w:r>
        <w:t xml:space="preserve"> third, show, two; EU scope visible. This is a provisional connection, not an outcome finding.</w:t>
      </w:r>
    </w:p>
    <w:p>
      <w:pPr>
        <w:pStyle w:val="SourceNote"/>
      </w:pPr>
      <w:r>
        <w:rPr>
          <w:b/>
        </w:rPr>
        <w:t>Available abstract (not full text):</w:t>
      </w:r>
      <w:r>
        <w:t xml:space="preserve"> In this article I try to answer one central question: how can it be explained that the most intense reception of American pragmatism in Germany took place during the Nazi dictatorship (and not in democratic political environments before – during the Weimar Republic – and afterwards – in the first 20 years of the Federal Republic)? The answer is complicated: it starts with an academic exchange programme between Germany and the USA which brought the young post-doc Eduard Baumgarten in the mid -20ties to America and put him in contact with John Dewey and some of his pupils. After his return in 1929 he hoped to write and teach about pragmatism. This project came to an abrupt end, when Martin Heidegger denied him a promised position at the university of Freiburg. After the Nazi “seizure of power” the situation became worse when a completely negative expert opinion by Heidegger, by then the leading Nazi philosopher, blocked Baumgartens habilitation in Göttingen. Baumgarten fought back and established ties to a rising star in Nazi-philosophy, Alfred Baeumler, a devoted follower of Nietzsche’s “Will to Power.” This move secured in the end the publication of Baumgarten´s two books on American philosophy and especially on pragmatism. But this triumph came at a cost: a “reinterpretation” of the democratic content of pragmatism and an effort to show similarities between it and Nietzsche´s </w:t>
      </w:r>
    </w:p>
    <w:p>
      <w:pPr/>
      <w:r>
        <w:rPr>
          <w:b/>
        </w:rPr>
        <w:t>POSSIBLE 2019:</w:t>
      </w:r>
      <w:r>
        <w:t xml:space="preserve"> The Third Wave of LCA as the “Decade of Consolidation” — https://doi.org/10.3390/su11123283</w:t>
      </w:r>
    </w:p>
    <w:p>
      <w:pPr/>
      <w:r>
        <w:rPr>
          <w:b/>
        </w:rPr>
        <w:t>Shared claim-specific concepts:</w:t>
      </w:r>
      <w:r>
        <w:t xml:space="preserve"> third, show, methods; EU scope not established. This is a provisional connection, not an outcome finding.</w:t>
      </w:r>
    </w:p>
    <w:p>
      <w:pPr>
        <w:pStyle w:val="SourceNote"/>
      </w:pPr>
      <w:r>
        <w:rPr>
          <w:b/>
        </w:rPr>
        <w:t>Available abstract (not full text):</w:t>
      </w:r>
      <w:r>
        <w:t xml:space="preserve"> Several authors have pointed out the importance of systems thinking, and have considered both environmental and social aspects (holistic perspective) of sustainability assessment in the past. Sustainability assessment tools which integrate different aspects (e.g., environmental/social aspects) in order to identify negative impacts have already been developed. Common tools used to assess environmental, social, or economic impacts include the life cycle assessment (LCA), social life cycle assessment (S-LCA), life cycle costing (LCC) and life cycle sustainability assessment (LCSA) approaches. The goal of the present study was to investigate how and to what extent the three dimensions of sustainability (environmental, social, economic; holistic sustainability perspective) have been integrated into the field of LCA. A topic modeling method was applied to examine whether the emphasis placed on integrating environmental, social, and economic aspects in sustainability assessment has resulted in a more comprehensive application of the LCA approach. The results show that topics related to energy and infrastructure are currently prevailing, and that topics related to methods have been decreasing since 1997. A minor discussion of social aspects and a lack of discussion on economic aspects were identified in the present study. These results do not support the predicted “decade of life cycle</w:t>
      </w:r>
    </w:p>
    <w:p>
      <w:pPr>
        <w:pStyle w:val="Heading2"/>
      </w:pPr>
      <w:r>
        <w:t>846.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2024:</w:t>
      </w:r>
      <w:r>
        <w:t xml:space="preserve"> การพฒนารปแบบการจดการเรยนรวชาโครงการ 2 เพอสรางชดควบคมความดนลบสำหรบผปวยวกฤตโรคตดตอรายแรงดวยแสงยวซ โดยใชขนตอนการเรยนรแบบ STEM รวมกบ MIAP ของนกศกษาชนประกาศนยบตรวชาชพชนสง ชนปท 2 ชางไฟฟา วทยาลยเทคนคพจตร: DEVELOP of LEARNING MANAGEMENT MODE for PROJECT 2 TO CREATE A NEGATIVE PRESSURE CONTROL SET FOR PATIENTS WITH PESTIENCE ALSO UVC LIGHT USING STEM IN CONJUNDTION EITH MIAP OF 2ND YEAR DIPLOMA STUDENTS IN ELECTRICIAN, PHICHIT TECHNICAL COLLEGE — https://openalex.org/W7215168090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The purpose of this research was to develop a teaching style. to the quality and satisfaction in developing a learning management model for project subject 2 to create a negative pressure control set for ill patients with severe communicable diseases by UVC light. By using the STEM learning process together with MIAP of 17 second year Diploma students in electrician Phichit Technical College to have efficiency 80/80 by selecting a purposive sampling. The students learned from the learning management model in project subject 2 developed by the researcher. After completing each course, the knowledge and practical competencies will be assesse from activity sheets, work assignments, research tools such as performance quiz quality assessment form achievement measurement satisfaction questionnaire analyze the data forpercentage, mean, standard deviation. The results showed that the analytical results of intra-learning performance assessment and post-learning achievement scores are 82.42/82.35. The results of the analysis of the effectiveness index of the critical thinking scores on the pre- and post-test tests. Their post-learning scores were higher than before by more than 80 percent and the learning development effectiveness index was more than .60 The satisfaction analysis of students in all aspects is the highest, with an average of 4.61.</w:t>
      </w:r>
    </w:p>
    <w:p>
      <w:pPr/>
      <w:r>
        <w:rPr>
          <w:b/>
        </w:rPr>
        <w:t>POSSIBLE 2024:</w:t>
      </w:r>
      <w:r>
        <w:t xml:space="preserve"> AIRR-C IG Reference Sets: curated sets of immunoglobulin heavy and light chain germline genes — https://doi.org/10.3389/fimmu.2023.1330153</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Introduction: Analysis of an individual's immunoglobulin (IG) gene repertoire requires the use of high-quality germline gene reference sets. When sets only contain alleles supported by strong evidence, AIRR sequencing (AIRR-seq) data analysis is more accurate and studies of the evolution of IG genes, their allelic variants and the expressed immune repertoire is therefore facilitated. Methods: The Adaptive Immune Receptor Repertoire Community (AIRR-C) IG Reference Sets have been developed by including only human IG heavy and light chain alleles that have been confirmed by evidence from multiple high-quality sources. To further improve AIRR-seq analysis, some alleles have been extended to deal with short 3' or 5' truncations that can lead them to be overlooked by alignment utilities. To avoid other challenges for analysis programs, exact paralogs (e.g. IGHV1-69*01 and IGHV1-69D*01) are only represented once in each set, though alternative sequence names are noted in accompanying metadata. Results and discussion: The Reference Sets include less than half the previously recognised IG alleles (e.g. just 198 IGHV sequences), and also include a number of novel alleles: 8 IGHV alleles, 2 IGKV alleles and 5 IGLV alleles. Despite their smaller sizes, erroneous calls were eliminated, and excellent coverage was achieved when a set of repertoires comprising over 4 million V(D)J rearrangemen</w:t>
      </w:r>
    </w:p>
    <w:p>
      <w:pPr/>
      <w:r>
        <w:rPr>
          <w:b/>
        </w:rPr>
        <w:t>POSSIBLE 2024:</w:t>
      </w:r>
      <w:r>
        <w:t xml:space="preserve"> Visible‐Light‐Promoted Difluoromethylation/Cyclization of 1‐Acryloyl‐2‐cyanoindole for Construction of Difluoromethylated Pyrrolo[1,2‐a]indolediones — https://doi.org/10.1002/adsc.202301173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A visible‐light‐promoted cascade difluoromethylation/cyclization reaction to access various difluoromethylated pyrrolo[1,2‐a]indolediones was developed using difluoromethyltriphenylphosphonium bromide salt as the difluoromethylating reagent. A possible radical mechanism has been investigated and proven as a single electron transfer (SET) procedure.</w:t>
      </w:r>
    </w:p>
    <w:p>
      <w:pPr/>
      <w:r>
        <w:rPr>
          <w:b/>
        </w:rPr>
        <w:t>POSSIBLE 2022:</w:t>
      </w:r>
      <w:r>
        <w:t xml:space="preserve"> Colour, Light, and Materiality: Biophilic Interior Design Presence in Research and Practice — https://doi.org/10.7454/in.v5i1.189</w:t>
      </w:r>
    </w:p>
    <w:p>
      <w:pPr/>
      <w:r>
        <w:rPr>
          <w:b/>
        </w:rPr>
        <w:t>Shared claim-specific concepts:</w:t>
      </w:r>
      <w:r>
        <w:t xml:space="preserve"> light, developed, identified; EU scope not established. This is a provisional connection, not an outcome finding.</w:t>
      </w:r>
    </w:p>
    <w:p>
      <w:pPr>
        <w:pStyle w:val="SourceNote"/>
      </w:pPr>
      <w:r>
        <w:rPr>
          <w:b/>
        </w:rPr>
        <w:t>Available abstract (not full text):</w:t>
      </w:r>
      <w:r>
        <w:t xml:space="preserve"> The biophilic design hypothesis uses nature-based environmental design for optimising people’s health and well-being. Stephen Kellert in 2008 developed a list of biophilic attributes that was further refined in the Biophilic Interior Design Matrix (BID-M) to specifically support the interior application of biophilic design for health and well-being. The present study further investigates biophilic interior design using the BID-M language and the key interior design components colour, light, and materiality. The first part of the study reviewed four decades of literature related to biophilia and colour, light, and materiality to investigate a total of 19 publications. The second part of the study explored the perceptions of 23 design practitioners' and the use of biophilia related to colour, light, and materiality in their practice. For the first time, evidence was identified about colour, light, and materiality being linked to biophilic design and the attributes in the BID-M. The study results showed colour preferences were the most frequently identified theme, and practitioners used a variety of biophilic attributes in their practice. The top attributes shared by both the literature review and practitioners were the abstraction of nature, composition, natural light, and natural materials. This finding shows that there is a focus on biophilic attributes in both research and pra</w:t>
      </w:r>
    </w:p>
    <w:p>
      <w:pPr/>
      <w:r>
        <w:rPr>
          <w:b/>
        </w:rPr>
        <w:t>POSSIBLE 2020:</w:t>
      </w:r>
      <w:r>
        <w:t xml:space="preserve"> Light opens a new window for N-heterocyclic carbene catalysis — https://doi.org/10.1039/d0sc03595e</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N-Heterocyclic carbenes (NHCs) are efficient Lewis basic catalysts for the umpolung of various polarized unsaturated compounds usually including aldehydes, imines, acyl chlorides and activated esters. NHC catalysis involving electron pair transfer steps has been extensively studied; however, NHC catalysis through single-electron transfer (SET) processes, despite having the potential to achieve chemical transformations of inert chemical bonds and using green reagents, has long been a challenging task in organic synthesis. In parallel, visible-light-induced photocatalysis and photoexcitation have been established as powerful tools to facilitate sustainable organic synthesis, as they enable the generation of various reactive radical intermediates under extremely mild conditions. Recently, a number of elegant visible-light-induced, NHC-catalyzed transformations were developed for accessing valuable organic compounds. As a result, this minireview will highlight the recent advances in this field.</w:t>
      </w:r>
    </w:p>
    <w:p>
      <w:pPr/>
      <w:r>
        <w:rPr>
          <w:b/>
        </w:rPr>
        <w:t>POSSIBLE 2020:</w:t>
      </w:r>
      <w:r>
        <w:t xml:space="preserve"> Exploration of Emerging Microreactors, and Investigation into the Size Options of Light Water Nuclear Reactors for Prospective Microreactor Designs — https://openalex.org/W3111435069</w:t>
      </w:r>
    </w:p>
    <w:p>
      <w:pPr/>
      <w:r>
        <w:rPr>
          <w:b/>
        </w:rPr>
        <w:t>Shared claim-specific concepts:</w:t>
      </w:r>
      <w:r>
        <w:t xml:space="preserve"> light, developed, options, identified; EU scope not established. This is a provisional connection, not an outcome finding.</w:t>
      </w:r>
    </w:p>
    <w:p>
      <w:pPr>
        <w:pStyle w:val="SourceNote"/>
      </w:pPr>
      <w:r>
        <w:rPr>
          <w:b/>
        </w:rPr>
        <w:t>Available abstract (not full text):</w:t>
      </w:r>
      <w:r>
        <w:t xml:space="preserve"> In response to the economic realities of the American nuclear market, numerous corporations have formed with the goal of bringing new types of nuclear reactor designs to market. A survey was undertaken of these emerging small modular reactor and microreactor designs, with the NuScale Power Module (NPM) identified as a technological forerunner. A neutronics model of this reactor was developed and used to characterize and explore miniaturization alternatives for the development of a light water microreactor based on the proposed reduced size NPM. This model was characterized and the design iterated to arrive at a potential candidate light water micro reactor. Available literature on proposed nuclear reactor designs was reviewed. Government documentation, NRC applications, and company released technical details were collected to present an overview of design alternatives. Of these designs the NuScale reactor alternative was found to have the greatest technological readiness and availability of engineering detail. Using these details, a monte carlo N-particle (MCNP) neutronics model was developed and used to explore options by which this core could be miniaturized. Using a reduced number of assemblies with graphite reflectors, a reactor model was developed that offered the same performance of the proposed reduced size NPM. \nThis design has a two and three quarter year lifespan pro</w:t>
      </w:r>
    </w:p>
    <w:p>
      <w:pPr/>
      <w:r>
        <w:rPr>
          <w:b/>
        </w:rPr>
        <w:t>POSSIBLE 2020:</w:t>
      </w:r>
      <w:r>
        <w:t xml:space="preserve"> Making LiGHT Work of Large Area Survey? Developing Approaches to Rapid Archaeological Mapping and the Creation of Systematic National-scaled Heritage Data — https://doi.org/10.5334/jcaa.49</w:t>
      </w:r>
    </w:p>
    <w:p>
      <w:pPr/>
      <w:r>
        <w:rPr>
          <w:b/>
        </w:rPr>
        <w:t>Shared claim-specific concepts:</w:t>
      </w:r>
      <w:r>
        <w:t xml:space="preserve"> light, strategic, across, different, areas, landscape; EU scope not established. This is a provisional connection, not an outcome finding.</w:t>
      </w:r>
    </w:p>
    <w:p>
      <w:pPr>
        <w:pStyle w:val="SourceNote"/>
      </w:pPr>
      <w:r>
        <w:rPr>
          <w:b/>
        </w:rPr>
        <w:t>Available abstract (not full text):</w:t>
      </w:r>
      <w:r>
        <w:t xml:space="preserve"> The characteristics and form of heritage data are fundamental to its utility in a range of applications, particularly so for heritage agencies who have a remit in management, policy, and the creation and curation of national databases of monuments, sites, and landscapes. Written from the perspective of an archaeological survey function in a national heritage agency, this paper draws on preliminary outcomes from a research and development project that aims to proof protocols for creating systematic data across large areas drawing heavily on remotely sensed data. This recognises that a systemic consideration of the implications of changing technology and data is sometimes desirable, rather than gradual assimilation of developments into existing practice. In particular, the issues being addressed relate to the challenges and opportunities of proliferating remote sensed data and digital workflows. These include the strategic assessment of threat, consideration of fitness for purpose of different datasets relative to landscape characteristics, the documentation of processes and sources of information, the suitability of data structures, and the mechanisms for automating site detection and data creation.</w:t>
      </w:r>
    </w:p>
    <w:p>
      <w:pPr/>
      <w:r>
        <w:rPr>
          <w:b/>
        </w:rPr>
        <w:t>POSSIBLE 2019:</w:t>
      </w:r>
      <w:r>
        <w:t xml:space="preserve"> Developing a vector light sensor — https://openalex.org/W2947760590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Over the past few decades, numerous sensors have been invented for the measurement of light intensity.In most cases, a setup external to the sensor is required to detect the direction of an incoming beam of light.In this work, the design, fabrication, and characterization of a novel light sensor is described.The three-dimensional structure of the sensor allows it to detect both the intensity as well as the direction of the incident light beam, hence becoming a vector light sensor (VLS).The sensor structure is based on creating photodiodes on sidewalls of miniaturized raised or inverted pyramids etched in silicon.Each photodiode was formed by selective doping of the material on each facet of the pyramid, forming a photodiode with the P-type substrate.A set of signal processing algorithms was developed to estimate the direction and the distance of a light source from the sensors.The light sensing devices with both raised and inverted pyramid structures were then fabricated in a cleanroom based on silicon microfabrication technologies.Throughout the process, the lithography step for the textured surface needed to be optimized.An interface circuit was designed and used to amplify and process the signals from the devices.The device operation was verified experimentally to estimate the direction of a light beam.The small size and low power consumption of the individual sensors make t</w:t>
      </w:r>
    </w:p>
    <w:p>
      <w:pPr/>
      <w:r>
        <w:rPr>
          <w:b/>
        </w:rPr>
        <w:t>POSSIBLE 2019:</w:t>
      </w:r>
      <w:r>
        <w:t xml:space="preserve"> Development of computer simulations to overcome students misconceptions on light and optical instruments — https://doi.org/10.1088/1742-6596/1321/3/032074</w:t>
      </w:r>
    </w:p>
    <w:p>
      <w:pPr/>
      <w:r>
        <w:rPr>
          <w:b/>
        </w:rPr>
        <w:t>Shared claim-specific concepts:</w:t>
      </w:r>
      <w:r>
        <w:t xml:space="preserve"> light, developed, set, assessed; EU scope not established. This is a provisional connection, not an outcome finding.</w:t>
      </w:r>
    </w:p>
    <w:p>
      <w:pPr>
        <w:pStyle w:val="SourceNote"/>
      </w:pPr>
      <w:r>
        <w:rPr>
          <w:b/>
        </w:rPr>
        <w:t>Available abstract (not full text):</w:t>
      </w:r>
      <w:r>
        <w:t xml:space="preserve"> Abstract This study aims to develop computer simulations on light and optical instruments topic for junior high school students. The simulations are developed according to the students’ misconception having assessed with two-tier multiple choices test of light and optical instruments concept. The simulations are reviewed by six science teachers to gain comments and suggestion for further development using a set of questionnaires which consists of 10 items with 5-point Likert scale. The items of the instrument are created to assess simulations from aspects of content explanation and its deepness, display, language use, content, curriculum, and students’ misconception. The results of the study show that: (1) The computer simulations program is suited with the contents in the science curriculum, (2) The quality of computer simulations based on science teacher responses is in very good criteria. In conclusion, computer simulations are feasible for junior high school students to overcome misconceptions on light and optical instruments concept.</w:t>
      </w:r>
    </w:p>
    <w:p>
      <w:pPr/>
      <w:r>
        <w:rPr>
          <w:b/>
        </w:rPr>
        <w:t>POSSIBLE 2019:</w:t>
      </w:r>
      <w:r>
        <w:t xml:space="preserve"> Live-work options in light industrial areas: District of Sechelt — https://doi.org/10.25316/ir-7083</w:t>
      </w:r>
    </w:p>
    <w:p>
      <w:pPr/>
      <w:r>
        <w:rPr>
          <w:b/>
        </w:rPr>
        <w:t>Shared claim-specific concepts:</w:t>
      </w:r>
      <w:r>
        <w:t xml:space="preserve"> light, options, different, areas; EU scope not established. This is a provisional connection, not an outcome finding.</w:t>
      </w:r>
    </w:p>
    <w:p>
      <w:pPr>
        <w:pStyle w:val="SourceNote"/>
      </w:pPr>
      <w:r>
        <w:rPr>
          <w:b/>
        </w:rPr>
        <w:t>Available abstract (not full text):</w:t>
      </w:r>
      <w:r>
        <w:t xml:space="preserve"> The purpose of this research is to determine options for the District of Sechelt to allow for housing in light industrial zones. Light industrial areas in a community are generally not considered desirable neighbourhoods for residential development, with the exception of caretaker or security housing. However, a new approach that recognizes the compatibility of light industrial land uses with housing as live-work is evolving and can provide residents with a unique lifestyle. This study provides research into all aspects of live-work with a specific focus on light industrial/residential combinations. Three case studies provide different perspectives on mixed-use zoning. Given the changing nature of uses on industrial lands, new forms of zoning can offer a wider range of options to urban residents.</w:t>
      </w:r>
    </w:p>
    <w:p>
      <w:pPr>
        <w:pStyle w:val="Heading2"/>
      </w:pPr>
      <w:r>
        <w:t>847.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2023:</w:t>
      </w:r>
      <w:r>
        <w:t xml:space="preserve"> Advancing participatory backcasting for climate change adaptation planning using 10 cases from 3 continents — https://doi.org/10.1016/j.crm.2023.100559</w:t>
      </w:r>
    </w:p>
    <w:p>
      <w:pPr/>
      <w:r>
        <w:rPr>
          <w:b/>
        </w:rPr>
        <w:t>Shared claim-specific concepts:</w:t>
      </w:r>
      <w:r>
        <w:t xml:space="preserve"> developed, participatory, backcasting; EU scope visible. This is a provisional connection, not an outcome finding.</w:t>
      </w:r>
    </w:p>
    <w:p>
      <w:pPr>
        <w:pStyle w:val="SourceNote"/>
      </w:pPr>
      <w:r>
        <w:rPr>
          <w:b/>
        </w:rPr>
        <w:t>Available abstract (not full text):</w:t>
      </w:r>
      <w:r>
        <w:t xml:space="preserve"> In the face of climate change, a major challenge is to inform and guide long-term climate change adaptation planning under deep uncertainty, while aiming at transformative change. Normative futures studies approaches, such as participatory backcasting, visioning and transition management, are increasingly applied, but their potential for climate change adaptation research and practice remains undervalued. This paper aims to advance the potential of backcasting in climate adaptation, by comparing various climate change adaptation studies that have used backcasting or visioning approaches. A framework has been further developed and applied to evaluate 10 cases in Africa, Europe and North America, using four dimensions: (i) inputs and settings; (ii) process and methods (iii) results, and (iv), impact. Our evaluation provides key insights into the use and further development of backcasting for climate adaptation. Key elements to add are advanced system modeling, robust elements, pathway switching and hybrid pathways, enhancing participation of marginal groups, and contributing to impact by facilitating the utilization of results and knowledge in practice and decision making.</w:t>
      </w:r>
    </w:p>
    <w:p>
      <w:pPr/>
      <w:r>
        <w:rPr>
          <w:b/>
        </w:rPr>
        <w:t>POSSIBLE 2023:</w:t>
      </w:r>
      <w:r>
        <w:t xml:space="preserve"> How to Create Serious Games? Proposal for a Participatory Methodology — https://doi.org/10.17083/ijsg.v10i4.642</w:t>
      </w:r>
    </w:p>
    <w:p>
      <w:pPr/>
      <w:r>
        <w:rPr>
          <w:b/>
        </w:rPr>
        <w:t>Shared claim-specific concepts:</w:t>
      </w:r>
      <w:r>
        <w:t xml:space="preserve"> developed, participatory, methodology; EU scope not established. This is a provisional connection, not an outcome finding.</w:t>
      </w:r>
    </w:p>
    <w:p>
      <w:pPr>
        <w:pStyle w:val="SourceNote"/>
      </w:pPr>
      <w:r>
        <w:rPr>
          <w:b/>
        </w:rPr>
        <w:t>Available abstract (not full text):</w:t>
      </w:r>
      <w:r>
        <w:t xml:space="preserve"> The demand for practical, engaging, and enjoyable learning experiences has led to a shift in student preferences. Students now seek active learning approaches that prioritize their involvement and utilize technology. In response to this demand, simulators and serious games have emerged as effective strategies in education. Serious games offer numerous benefits, including the promotion of critical thinking, creativity, problem-solving skills, and improved knowledge retention. However, it is crucial to ensure that serious games are well-designed to maintain their appeal and playful nature. Inadequate requirements definition during the initial stages of development can lead to issues in game design. This article emphasizes the importance of establishing clear requirements and objectives in the creation of serious games for educational purposes. By doing so, effective serious games can be developed that meet the needs of students and align with educational goals. This systematic approach to game development ensures that the games are engaging, effective, and conducive to learning.</w:t>
      </w:r>
    </w:p>
    <w:p>
      <w:pPr/>
      <w:r>
        <w:rPr>
          <w:b/>
        </w:rPr>
        <w:t>POSSIBLE 2022:</w:t>
      </w:r>
      <w:r>
        <w:t xml:space="preserve"> Computer‐aided scenario design using participatory backcasting: A case study of sustainable vision creation in a Japanese city — https://doi.org/10.1002/ffo2.141</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Designing backcasting scenarios is a powerful approach to the development of sustainable visions and pathways for governments or enterprises in the early stage of their policy‐making or strategic decision‐making process. To date, a number of scholars have proposed various backcasting methods, in which workshops are often used to reflect the voices of stakeholders. However, it is still a challenge to test the validity of scenarios because the process of designing backcasting scenarios is not transparent or shared among involved stakeholders. This also prevents reusing knowledge and intermediate outputs generated during the scenario design process. To solve these problems, this paper aims to develop a method for supporting a backcasting scenario design by introducing computational assistance. A scenario design support system called the sustainable society scenario (3S) simulator is used to visualize a scenario's logical sequence of the scenario in graph format. To demonstrate the proposed method, a case study for the city of Toyama, a Japanese municipality, was performed using three workshops with citizen participation. The results showed that two different scenarios, involving future visions and associated pathways, were developed by reflecting the diversified values of local citizens. The usage of the 3S simulator visualized the logical relations of the described scena</w:t>
      </w:r>
    </w:p>
    <w:p>
      <w:pPr/>
      <w:r>
        <w:rPr>
          <w:b/>
        </w:rPr>
        <w:t>POSSIBLE 2022:</w:t>
      </w:r>
      <w:r>
        <w:t xml:space="preserve"> Envisioning the driverless city using backcasting and Q-methodology — https://doi.org/10.1016/j.cities.2022.104159</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Despite the expected future introduction of autonomous vehicles in cities, very few studies have analysed the needs and challenges facing urban planning. This paper employs a combination of backcasting and Q-methodology to carry out participatory visioning for a future driverless city. This novel approach was used to elaborate shared visions of the desirable city among a group of 20 citizens and 10 practitioners. Views on 41 statements were analysed relating to urban design, society, environment, transport and mobility needs. Three main visions were identified. The first focuses on high-quality urban spaces and active mobility. The second vision is more futuristic and pro-social, consistent with the more imaginative and innovative stance of young people. The third vision is more conventional and closer to business-as-usual. The results suggest that there is some agreement on the future conditions and policies, especially on the need for environmentally friendly urban development and safe urban design. The article is premised on the belief that engaging stakeholders from different backgrounds, including citizens of various ages, can be enriching for urban planning since there is a wide variety of heterogeneous preferences across society. This requires a search for common ground when designing policy measures that satisfy multiple interests.</w:t>
      </w:r>
    </w:p>
    <w:p>
      <w:pPr/>
      <w:r>
        <w:rPr>
          <w:b/>
        </w:rPr>
        <w:t>POSSIBLE 2021:</w:t>
      </w:r>
      <w:r>
        <w:t xml:space="preserve"> Gamification of backcasting for sustainability: The development of the gameful backcasting framework (GAMEBACK) — https://doi.org/10.1016/j.jclepro.2021.126609</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Considering how wicked problems, such as overconsumption, climate change, or the management of the COVID-19 pandemic rely on multiple stakeholder groups’ deliberation, this study investigates gamification’s potential in participatory backcasting processes to support the emergence and growth of social innovations towards sustainability. Gameful methodologies have progressively been introduced into strategic planning processes, futures research, and transition studies, offering a powerful input to participatory backcasting processes. As gamification is a novel and impactful way to motivate and engage participants to take action during and after the participatory process, this study develops a framework for practitioners to gamify backcasting processes. Developed through state-of-the-art review of extant corpus as well as two cases of gamified participatory backcasting, the framework elucidates how participatory backcasting processes that include gamification elements designed to address engagement do have an impact on the participants, particularly in terms of the process being a positive, co-creative experience, and offer a good foundation for posterior actions.</w:t>
      </w:r>
    </w:p>
    <w:p>
      <w:pPr/>
      <w:r>
        <w:rPr>
          <w:b/>
        </w:rPr>
        <w:t>POSSIBLE 2021:</w:t>
      </w:r>
      <w:r>
        <w:t xml:space="preserve"> Future export markets of industrial wood construction – A qualitative backcasting study — https://doi.org/10.1016/j.forpol.2021.102480</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The forest sector can play a major role in the transformation to a sustainable bioeconomy, driven by climate change, population growth, and accelerated urbanization. However, in most contexts, the industrial wood construction markets, as a promising field for sustainable bioeconomy, are still at a niche level. The analysis in this study concerns the preferred future export markets for industrial wood construction for the Finnish wood construction industry, as viewed by a panel of industrial, policy and academic experts.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 Thirty-five experts formed a panel which produced five visions of the development of industrial wood construction sector exports from Finland, covering the period 2020–2030. All the visions foresaw that the domestic market needs to develop first, to build up the competencies needed to fuel the growth in the exports. Asia, particularly China with its rapidly growing markets, and Europe, with its growing sustainability awareness, commonly appeared as the most promising areas for export growth. The resulting visions differed in terms</w:t>
      </w:r>
    </w:p>
    <w:p>
      <w:pPr/>
      <w:r>
        <w:rPr>
          <w:b/>
        </w:rPr>
        <w:t>POSSIBLE 2021:</w:t>
      </w:r>
      <w:r>
        <w:t xml:space="preserve"> Participatory policy design in system innovation — https://doi.org/10.1080/25741292.2021.1887592</w:t>
      </w:r>
    </w:p>
    <w:p>
      <w:pPr/>
      <w:r>
        <w:rPr>
          <w:b/>
        </w:rPr>
        <w:t>Shared claim-specific concepts:</w:t>
      </w:r>
      <w:r>
        <w:t xml:space="preserve"> developed, participatory; EU scope not established. This is a provisional connection, not an outcome finding.</w:t>
      </w:r>
    </w:p>
    <w:p>
      <w:pPr>
        <w:pStyle w:val="SourceNote"/>
      </w:pPr>
      <w:r>
        <w:rPr>
          <w:b/>
        </w:rPr>
        <w:t>Available abstract (not full text):</w:t>
      </w:r>
      <w:r>
        <w:t xml:space="preserve"> Governments are affected by an unprecedented technological acceleration that is transforming societies. Most technologies unfold in complex and unpredictable ways. Unfolding technologies have been both a source of societal and environmental challenges as well as a possible response to address them. This complexity challenges the ability of policy makers to recognize the systemic dimension of innovation and to learn from stakeholders engagement. For these reasons, sustainable transitions have progressively become a policy discourse on how to guide innovation trajectories. In this paper, we argue that a system innovation approach has great potential for governments to improve their policy design for sustainable transitions. This participatory approach requires a more systemic understanding of technological change and a better organization of stakeholder engagement than most traditional practices (e.g. an evidence-driven, technocratic or an idealistic, consensus approach) can offer. How can a participatory policy design tool with a strong emphasis on sustainable transitions be developed? In this paper, we applied a reflexive understanding of knowledge creation in stakeholder networks to develop such a tool in accordance with a system innovation approach.</w:t>
      </w:r>
    </w:p>
    <w:p>
      <w:pPr/>
      <w:r>
        <w:rPr>
          <w:b/>
        </w:rPr>
        <w:t>POSSIBLE 2020:</w:t>
      </w:r>
      <w:r>
        <w:t xml:space="preserve"> Combining participatory games and backcasting to support collective scenario evaluation: an action research approach for sustainable agroforestry landscape management — https://doi.org/10.1007/s11625-020-00829-3</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The combined and interacting effects of land-use change, resource extraction and climate change threaten the sustainability of millions of mainly smallholder farms in tropical agroforested landscapes. In many of these landscapes, coordinated action among stakeholders at landscape level would help to address challenges such as pests and diseases, price crises and climate change. However, methods to facilitate the co-production of sustainable landscape management in such complex multi-stakeholder systems are currently largely lacking. In this paper, we present a novel approach to explore pathways for the sustainability transition of agroforestry systems. By combining participatory forecasting and backcasting approaches, based on serious games and future vision development, we explore relevant agroforestry management strategies for reaching sustainable future coffee-based agroforestry landscapes. We focused our research on the challenges faced in the main coffee-producing area in Nicaragua. Here, we organized five participatory game sessions to explore farmer decision-making processes, farming strategies and to develop new networks and stimulate social learning among farmers. In the associated backcasting workshop, the most influential game session participants joined technicians, researchers and municipality officials to collectively envision sustainable future landscape</w:t>
      </w:r>
    </w:p>
    <w:p>
      <w:pPr>
        <w:pStyle w:val="Heading2"/>
      </w:pPr>
      <w:r>
        <w:t>848.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2023:</w:t>
      </w:r>
      <w:r>
        <w:t xml:space="preserve"> Sensor Networks, Data Processing, and Inference: The Hydrology Challenge — https://doi.org/10.1109/access.2023.3318739</w:t>
      </w:r>
    </w:p>
    <w:p>
      <w:pPr/>
      <w:r>
        <w:rPr>
          <w:b/>
        </w:rPr>
        <w:t>Shared claim-specific concepts:</w:t>
      </w:r>
      <w:r>
        <w:t xml:space="preserve"> specifically, concepts; EU scope visible. This is a provisional connection, not an outcome finding.</w:t>
      </w:r>
    </w:p>
    <w:p>
      <w:pPr>
        <w:pStyle w:val="SourceNote"/>
      </w:pPr>
      <w:r>
        <w:rPr>
          <w:b/>
        </w:rPr>
        <w:t>Available abstract (not full text):</w:t>
      </w:r>
      <w:r>
        <w:t xml:space="preserve"> In the last years, many European countries have experienced the effects of climate change, in the form of a scarcity of drinking water resources, prolonged periods of drought, and extremely heavy rainfall, with unprecedented dramatic environmental, economic, and social costs. Therefore, understanding, modeling, and predicting the movement and distribution of water on Earth, and effectively managing water resources are problems of paramount importance. In this article, we discuss the fundamental role that sensing technologies, data processing algorithms, and inference based on machine learning techniques can have in modern hydrology and the many challenges that still need to be addressed to improve the accuracy and reduce the complexity of current hydrology models. More specifically, we overview the main solutions proposed in the literature to monitor, analyze and predict hydrological processes, and present a selection of results obtained from empirical data sets to ground the main concepts and substantiate the dissertation. Finally, we conclude our article by discussing open problems and possible avenues for future research.</w:t>
      </w:r>
    </w:p>
    <w:p>
      <w:pPr/>
      <w:r>
        <w:rPr>
          <w:b/>
        </w:rPr>
        <w:t>POSSIBLE 2023:</w:t>
      </w:r>
      <w:r>
        <w:t xml:space="preserve"> An analytic strategy for data processing of multimode networks — https://doi.org/10.1007/s11634-023-00556-4</w:t>
      </w:r>
    </w:p>
    <w:p>
      <w:pPr/>
      <w:r>
        <w:rPr>
          <w:b/>
        </w:rPr>
        <w:t>Shared claim-specific concepts:</w:t>
      </w:r>
      <w:r>
        <w:t xml:space="preserve"> network, actors, mobility, context, concepts; EU scope visible. This is a provisional connection, not an outcome finding.</w:t>
      </w:r>
    </w:p>
    <w:p>
      <w:pPr>
        <w:pStyle w:val="SourceNote"/>
      </w:pPr>
      <w:r>
        <w:rPr>
          <w:b/>
        </w:rPr>
        <w:t>Available abstract (not full text):</w:t>
      </w:r>
      <w:r>
        <w:t xml:space="preserve"> Abstract Complex network data structures are considered to capture the richness of social phenomena and real-life data settings. Multipartite networks are an example in which various scenarios are represented by different types of relations, actors, or modes. Within this context, the present contribution aims at discussing an analytic strategy for simplifying multipartite networks in which different sets of nodes are linked. By considering the connection of multimode networks and hypergraphs as theoretical concepts, a three-step procedure is introduced to simplify, normalize, and filter network data structures. Thus, a model-based approach is introduced for derived bipartite weighted networks in order to extract statistically significant links. The usefulness of the strategy is demonstrated in handling two application fields, that is, intranational student mobility in higher education and research collaboration in European framework programs. Finally, both examples are explored using community detection algorithms to determine the presence of groups by mixing up different modes.</w:t>
      </w:r>
    </w:p>
    <w:p>
      <w:pPr/>
      <w:r>
        <w:rPr>
          <w:b/>
        </w:rPr>
        <w:t>POSSIBLE 2022:</w:t>
      </w:r>
      <w:r>
        <w:t xml:space="preserve"> Recent trends in publications of economic historians in Europe and North America (1980–2019): an empirical analysis — https://doi.org/10.1007/s11698-022-00245-w</w:t>
      </w:r>
    </w:p>
    <w:p>
      <w:pPr/>
      <w:r>
        <w:rPr>
          <w:b/>
        </w:rPr>
        <w:t>Shared claim-specific concepts:</w:t>
      </w:r>
      <w:r>
        <w:t xml:space="preserve"> recent, network; EU scope visible. This is a provisional connection, not an outcome finding.</w:t>
      </w:r>
    </w:p>
    <w:p>
      <w:pPr>
        <w:pStyle w:val="SourceNote"/>
      </w:pPr>
      <w:r>
        <w:rPr>
          <w:b/>
        </w:rPr>
        <w:t>Available abstract (not full text):</w:t>
      </w:r>
      <w:r>
        <w:t xml:space="preserve"> Abstract This article analyses the integration of economic history into economics using a unique dataset containing 11,143 articles written by 919 economic historians and published between 1980 and 2019 in leading journals; we also analyzed the authors’ biographical information. Using a probit regression, we find that since 1980, economic historians have increased their likelihood of publishing in Economics or Finance Journals (EFJs) by 12 points. This integration is more marked in North America than in Europe because North American economic historians are more likely to be trained in the discipline of economics. In contrast, a significant share of scholars in Europe are trained in the discipline of economic history. Network visualizations confirm these regional differences: citations to EFJs are much more central in North American scholars’ work. Our findings support Robert Margo’s claim that economic history is currently integrated into economics more often in publications in North America than in Europe.</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looks, one, concepts;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2021:</w:t>
      </w:r>
      <w:r>
        <w:t xml:space="preserve"> Mediatization Of Electoral Processes In Europe — https://doi.org/10.15405/epsbs.2021.05.02.150</w:t>
      </w:r>
    </w:p>
    <w:p>
      <w:pPr/>
      <w:r>
        <w:rPr>
          <w:b/>
        </w:rPr>
        <w:t>Shared claim-specific concepts:</w:t>
      </w:r>
      <w:r>
        <w:t xml:space="preserve"> network, ideas, one; EU scope visible. This is a provisional connection, not an outcome finding.</w:t>
      </w:r>
    </w:p>
    <w:p>
      <w:pPr>
        <w:pStyle w:val="SourceNote"/>
      </w:pPr>
      <w:r>
        <w:rPr>
          <w:b/>
        </w:rPr>
        <w:t>Available abstract (not full text):</w:t>
      </w:r>
      <w:r>
        <w:t xml:space="preserve"> The material considers political manipulation in social networks, which is one of the important political aspects of communication in election campaigns. The aim of the study is to identify the features of the use of political manipulation technologies in European social networks based on an analysis of the presidential elections in France. The material demonstrates the different uses of social networks (Facebook, Twitter, Telegram and others) in the presidential election campaigns in France in 2012 and 2017 with an emphasis on the younger generation, due to the greatest susceptibility to hidden management, because they are more impulsive and do not have distinct life landmarks. Social networks and platforms are considered as a tool for changing and complementing traditional media. Political programs are considered as a start to the stream of comments on the social network Twitter on television; joining a TV audience to a social network for a detailed analysis of the biography of politicians; considered television as a mediator of ideas in this case. The material also provides an example of an analysis of the digitalization risks of the election campaign in France during the presidential election, the use of specially created computer games, as well as bots during election campaigns. The material in some cases compares the use of social networks in France and Russia, a forecast</w:t>
      </w:r>
    </w:p>
    <w:p>
      <w:pPr/>
      <w:r>
        <w:rPr>
          <w:b/>
        </w:rPr>
        <w:t>POSSIBLE 2020:</w:t>
      </w:r>
      <w:r>
        <w:t xml:space="preserve"> Recent Evolutions of Gender, State Feminism and Care Models in Latin America and Europe — https://doi.org/10.1007/978-3-030-48442-2_12</w:t>
      </w:r>
    </w:p>
    <w:p>
      <w:pPr/>
      <w:r>
        <w:rPr>
          <w:b/>
        </w:rPr>
        <w:t>Shared claim-specific concepts:</w:t>
      </w:r>
      <w:r>
        <w:t xml:space="preserve"> recent, process, one; EU scope visible. This is a provisional connection, not an outcome finding.</w:t>
      </w:r>
    </w:p>
    <w:p>
      <w:pPr>
        <w:pStyle w:val="SourceNote"/>
      </w:pPr>
      <w:r>
        <w:rPr>
          <w:b/>
        </w:rPr>
        <w:t>Available abstract (not full text):</w:t>
      </w:r>
      <w:r>
        <w:t xml:space="preserve"> Abstract This chapter presents and characterises the way in which, in the twenty-first century, after years of feminist struggles inside and outside of institutions, gender relations are organised in the different countries of the INCASI project (on the European side, Spain, Italy, Finland, France and the United Kingdom, on the side of the South American Southern Cone, Argentina, Brazil, Chile and Uruguay). It pays special attention to the implementation of feminist issues on political agendas, and in particular the assignment of women to unpaid care work—an aspect of the power continuum that we look to relate to other aspects. Gradually and for almost a century all countries in both continents have granted women the status of subjects, citizens and employees. However, the conditions, challenges and timelines of this process differ considerably from one continent to another, so they need to be addressed separately. The neoliberal era did not have the same impact in Europe as it did in South America (nor was it exactly the same between particular European countries or among South American ones).</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looks, perspectives;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The European Union and social policy — https://doi.org/10.4324/9780429244681-26</w:t>
      </w:r>
    </w:p>
    <w:p>
      <w:pPr/>
      <w:r>
        <w:rPr>
          <w:b/>
        </w:rPr>
        <w:t>Shared claim-specific concepts:</w:t>
      </w:r>
      <w:r>
        <w:t xml:space="preserve"> specifically, looks, recent, particularly; EU scope visible. This is a provisional connection, not an outcome finding.</w:t>
      </w:r>
    </w:p>
    <w:p>
      <w:pPr>
        <w:pStyle w:val="SourceNote"/>
      </w:pPr>
      <w:r>
        <w:rPr>
          <w:b/>
        </w:rPr>
        <w:t>Available abstract (not full text):</w:t>
      </w:r>
      <w:r>
        <w:t xml:space="preserve"> This chapter outlines the development and role of the European Union as the world’s largest multi-state governance organisation. The chapter first explores at the origins and development of the EU, including the key points of growth in membership and in policy. In the chapter’s next section, we explore the structure of the EU, including questions around how far we can consider the EU to be a democratic body and the ways in which the EU makes social policy. Following this, the chapter explores some of the difficulties the EU has faced in recent years, focusing particularly on Eurozone crisis and the growth of nationalism and Euroscepticism, including the 2016 Brexit vote and 2019 political decision to exit the EU from the UK. The chapter then looks specifically at several aspects of European social policy, including the importance of the Charter of Fundamental Rights of the European Union and social policy directed at families, the elderly and disabled people, and around education and training. The chapter finishes with a brief look at the future of the European Union in a changing world and then summarises the key learning.</w:t>
      </w:r>
    </w:p>
    <w:p>
      <w:pPr/>
      <w:r>
        <w:rPr>
          <w:b/>
        </w:rPr>
        <w:t>POSSIBLE 2020:</w:t>
      </w:r>
      <w:r>
        <w:t xml:space="preserve"> European Legal Networks in Crisis: The Legal Construction of Economic Policy — https://openalex.org/W3038444293</w:t>
      </w:r>
    </w:p>
    <w:p>
      <w:pPr/>
      <w:r>
        <w:rPr>
          <w:b/>
        </w:rPr>
        <w:t>Shared claim-specific concepts:</w:t>
      </w:r>
      <w:r>
        <w:t xml:space="preserve"> process, network, developed, context; EU scope visible. This is a provisional connection, not an outcome finding.</w:t>
      </w:r>
    </w:p>
    <w:p>
      <w:pPr>
        <w:pStyle w:val="SourceNote"/>
      </w:pPr>
      <w:r>
        <w:rPr>
          <w:b/>
        </w:rPr>
        <w:t>Available abstract (not full text):</w:t>
      </w:r>
      <w:r>
        <w:t xml:space="preserve"> This dissertation investigates how legal and policy professionals have legally constructed the economic policy and governance of the EU since the beginning of the Eurozone crisis onwards. It follows the legal and policy professionals who received the mandate to enable and consolidate solutions, as well as defend these solutions in court. By tracing the practices and trajectories of these agents, I show how, during an unfolding crisis, economic policy and governance becomes legally constructed and changes the terms of legitimation for EU economic governance. The stakes involved for the professionals involved also change. In this way, the dissertation speaks to the question of how intrusive political power has been legitimated during the Eurozone crisis and what this means for the legitimacy of European governance. Theoretically, this thesis develops a Bourdieusian field approach that is adapted to the transnational and diachronic context of the Eurozone crisis, as it unfolded from the end of 2009 until the adjudication of key high-profile court cases before the Court of Justice of the European Union. Drawing on boundary work, bricolage, and network interactions to analyse the practices of legal and policy professionals, the process of enabling and consolidating solutions is elaborated. Attention is given to how this process engenders stakes for the professionals in this emerging</w:t>
      </w:r>
    </w:p>
    <w:p>
      <w:pPr>
        <w:pStyle w:val="Heading2"/>
      </w:pPr>
      <w:r>
        <w:t>849.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2023:</w:t>
      </w:r>
      <w:r>
        <w:t xml:space="preserve"> European expert recommendations on clinical investigation and evaluation of high‐risk medical devices for children — https://doi.org/10.1111/apa.16919</w:t>
      </w:r>
    </w:p>
    <w:p>
      <w:pPr/>
      <w:r>
        <w:rPr>
          <w:b/>
        </w:rPr>
        <w:t>Shared claim-specific concepts:</w:t>
      </w:r>
      <w:r>
        <w:t xml:space="preserve"> evaluation, review, evaluating; EU scope visible. This is a provisional connection, not an outcome finding.</w:t>
      </w:r>
    </w:p>
    <w:p>
      <w:pPr>
        <w:pStyle w:val="SourceNote"/>
      </w:pPr>
      <w:r>
        <w:rPr>
          <w:b/>
        </w:rPr>
        <w:t>Available abstract (not full text):</w:t>
      </w:r>
      <w:r>
        <w:t xml:space="preserve"> Several high-risk medical devices for children have become unavailable in the European Union (EU), since requirements and costs for device certification increased markedly due to the EU Medical Device Regulation. The EU-funded CORE-MD project held a workshop in January 2023 with experts from various child health specialties, representatives of European paediatric associations, a regulatory authority and the European Commission Directorate General Health and Food Safety. A virtual follow-up meeting took place in March 2023. We developed recommendations for investigation of high-risk medical devices for children building on participants' expertise and results of a scoping review of clinical trials on high-risk medical devices in children. Approaches for evaluating and certifying high-risk medical devices for market introduction are proposed.</w:t>
      </w:r>
    </w:p>
    <w:p>
      <w:pPr/>
      <w:r>
        <w:rPr>
          <w:b/>
        </w:rPr>
        <w:t>POSSIBLE 2022:</w:t>
      </w:r>
      <w:r>
        <w:t xml:space="preserve"> A critical perspective on the European Commission’s publications ‘Evaluating the impact of nature-based solutions’ — https://doi.org/10.1016/j.nbsj.2022.100027</w:t>
      </w:r>
    </w:p>
    <w:p>
      <w:pPr/>
      <w:r>
        <w:rPr>
          <w:b/>
        </w:rPr>
        <w:t>Shared claim-specific concepts:</w:t>
      </w:r>
      <w:r>
        <w:t xml:space="preserve"> view, evaluation, review, evaluating, relevance, field; EU scope visible. This is a provisional connection, not an outcome finding.</w:t>
      </w:r>
    </w:p>
    <w:p>
      <w:pPr>
        <w:pStyle w:val="SourceNote"/>
      </w:pPr>
      <w:r>
        <w:rPr>
          <w:b/>
        </w:rPr>
        <w:t>Available abstract (not full text):</w:t>
      </w:r>
      <w:r>
        <w:t xml:space="preserve"> The European Commission’s (EC) double publication ‘Evaluating the impact of nature-based solutions’ (NBS) can be considered as a milestone for the adoption and evaluation of these solutions, which reportedly have a significant potential for climate change mitigation or the improvement of social justice. This optimistic view, however, is not equally held by everyone: a widespread scepticism over the NBS concept makes clear that the debate about the potential and convenience of NBS is far from over. Here we review some of this criticism and put this EC double document (handbook + appendix) under deep scrutiny, with the aim of proposing improvements for it and as an opportunity to discuss general aspects of the NBS field. In particular, we base our criticism on four perspectives: climate emergency, economy-driven ideology, ecolinguistics and the presence of logic pitfalls. The general aim of this article is to discuss the relevance of the NBS concepts present in the EC texts in relation to the climate crisis.</w:t>
      </w:r>
    </w:p>
    <w:p>
      <w:pPr/>
      <w:r>
        <w:rPr>
          <w:b/>
        </w:rPr>
        <w:t>POSSIBLE 2022:</w:t>
      </w:r>
      <w:r>
        <w:t xml:space="preserve"> The expected impact of cultivated and plant-based meats on jobs: the views of experts from Brazil, the United States and Europe — https://doi.org/10.1057/s41599-022-01316-z</w:t>
      </w:r>
    </w:p>
    <w:p>
      <w:pPr/>
      <w:r>
        <w:rPr>
          <w:b/>
        </w:rPr>
        <w:t>Shared claim-specific concepts:</w:t>
      </w:r>
      <w:r>
        <w:t xml:space="preserve"> view, expected, about; EU scope visible. This is a provisional connection, not an outcome finding.</w:t>
      </w:r>
    </w:p>
    <w:p>
      <w:pPr>
        <w:pStyle w:val="SourceNote"/>
      </w:pPr>
      <w:r>
        <w:rPr>
          <w:b/>
        </w:rPr>
        <w:t>Available abstract (not full text):</w:t>
      </w:r>
      <w:r>
        <w:t xml:space="preserve"> Abstract Cultivated and plant-based meats are substitutes for conventional animal meat products. As radical innovations, they may trigger profound social and economic changes. Despite the many benefits of alternative meats, such as environmental sustainability, animal welfare, human health and food safety, some unintended consequences remain unexplored in the literature. In this paper, we studied the potential impact of the meat production system transition on jobs. Using a survey, we compared opinions regarding the impact on jobs in Brazil, the United States and Europe, according to alternative protein experts. Our results showed the potential of plant-based and cultivated meat production to create new and higher-skilled jobs. The data analysis also suggested that the impact of novel food production systems on jobs in conventional meat production may be different for each stage of the value chain. In particular, the results showed a pressure point on animal farmers, who may be most affected in a fast transition scenario. Considering the studied geographical contexts, Brazilian professionals were more optimistic about the potential of plant-based and cultivated meat production to create new jobs. Our findings may provide new insights for the development of policies, measures and strategies that promote job creation, skills and income in view of the ongoing transition.</w:t>
      </w:r>
    </w:p>
    <w:p>
      <w:pPr/>
      <w:r>
        <w:rPr>
          <w:b/>
        </w:rPr>
        <w:t>POSSIBLE 2021:</w:t>
      </w:r>
      <w:r>
        <w:t xml:space="preserve"> Evaluating the systematic risk and its impact on profitability and liquidity; evidence from European countries — https://doi.org/10.1504/ijesb.2021.117342</w:t>
      </w:r>
    </w:p>
    <w:p>
      <w:pPr/>
      <w:r>
        <w:rPr>
          <w:b/>
        </w:rPr>
        <w:t>Shared claim-specific concepts:</w:t>
      </w:r>
      <w:r>
        <w:t xml:space="preserve"> view, evaluation, expected, evaluating; EU scope visible. This is a provisional connection, not an outcome finding.</w:t>
      </w:r>
    </w:p>
    <w:p>
      <w:pPr>
        <w:pStyle w:val="SourceNote"/>
      </w:pPr>
      <w:r>
        <w:rPr>
          <w:b/>
        </w:rPr>
        <w:t>Available abstract (not full text):</w:t>
      </w:r>
      <w:r>
        <w:t xml:space="preserve">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pPr/>
      <w:r>
        <w:rPr>
          <w:b/>
        </w:rPr>
        <w:t>POSSIBLE 2021:</w:t>
      </w:r>
      <w:r>
        <w:t xml:space="preserve"> Evaluating the systematic risk and its impact on profitability and liquidity; evidence from European countries — https://doi.org/10.1504/ijesb.2021.10040605</w:t>
      </w:r>
    </w:p>
    <w:p>
      <w:pPr/>
      <w:r>
        <w:rPr>
          <w:b/>
        </w:rPr>
        <w:t>Shared claim-specific concepts:</w:t>
      </w:r>
      <w:r>
        <w:t xml:space="preserve"> view, evaluation, expected, evaluating; EU scope visible. This is a provisional connection, not an outcome finding.</w:t>
      </w:r>
    </w:p>
    <w:p>
      <w:pPr>
        <w:pStyle w:val="SourceNote"/>
      </w:pPr>
      <w:r>
        <w:rPr>
          <w:b/>
        </w:rPr>
        <w:t>Available abstract (not full text):</w:t>
      </w:r>
      <w:r>
        <w:t xml:space="preserve">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pPr/>
      <w:r>
        <w:rPr>
          <w:b/>
        </w:rPr>
        <w:t>POSSIBLE 2020:</w:t>
      </w:r>
      <w:r>
        <w:t xml:space="preserve"> Impact of sex and gender on COVID-19 outcomes in Europe — https://doi.org/10.1186/s13293-020-00304-9</w:t>
      </w:r>
    </w:p>
    <w:p>
      <w:pPr/>
      <w:r>
        <w:rPr>
          <w:b/>
        </w:rPr>
        <w:t>Shared claim-specific concepts:</w:t>
      </w:r>
      <w:r>
        <w:t xml:space="preserve"> well, review; EU scope visible. This is a provisional connection, not an outcome finding.</w:t>
      </w:r>
    </w:p>
    <w:p>
      <w:pPr>
        <w:pStyle w:val="SourceNote"/>
      </w:pPr>
      <w:r>
        <w:rPr>
          <w:b/>
        </w:rPr>
        <w:t>Available abstract (not full text):</w:t>
      </w:r>
      <w:r>
        <w:t xml:space="preserve"> BACKGROUND: Emerging evidence from China suggests that coronavirus disease 2019 (COVID-19) is deadlier for infected men than women with a 2.8% fatality rate being reported in Chinese men versus 1.7% in women. Further, sex-disaggregated data for COVID-19 in several European countries show a similar number of cases between the sexes, but more severe outcomes in aged men. Case fatality is highest in men with pre-existing cardiovascular conditions. The mechanisms accounting for the reduced case fatality rate in women are currently unclear but may offer potential to develop novel risk stratification tools and therapeutic options for women and men. CONTENT: The present review summarizes latest clinical and epidemiological evidence for gender and sex differences in COVID-19 from Europe and China. We discuss potential sex-specific mechanisms modulating the course of disease, such as hormone-regulated expression of genes encoding for the severe acute respiratory syndrome coronavirus 2 (SARS-CoV2) entry receptors angiotensin converting enzyme (ACE) 2 receptor and TMPRSS2 as well as sex hormone-driven innate and adaptive immune responses and immunoaging. Finally, we elucidate the impact of gender-specific lifestyle, health behavior, psychological stress, and socioeconomic conditions on COVID-19 and discuss sex specific aspects of antiviral therapies. CONCLUSION: The sex and gender dispari</w:t>
      </w:r>
    </w:p>
    <w:p>
      <w:pPr/>
      <w:r>
        <w:rPr>
          <w:b/>
        </w:rPr>
        <w:t>POSSIBLE 2020:</w:t>
      </w:r>
      <w:r>
        <w:t xml:space="preserve"> Evaluating the impact of viewing location on view perception using a virtual environment — https://doi.org/10.1016/j.buildenv.2020.106932</w:t>
      </w:r>
    </w:p>
    <w:p>
      <w:pPr/>
      <w:r>
        <w:rPr>
          <w:b/>
        </w:rPr>
        <w:t>Shared claim-specific concepts:</w:t>
      </w:r>
      <w:r>
        <w:t xml:space="preserve"> view, evaluating; EU scope not established. This is a provisional connection, not an outcome finding.</w:t>
      </w:r>
    </w:p>
    <w:p>
      <w:pPr>
        <w:pStyle w:val="SourceNote"/>
      </w:pPr>
      <w:r>
        <w:rPr>
          <w:b/>
        </w:rPr>
        <w:t>Available abstract (not full text):</w:t>
      </w:r>
      <w:r>
        <w:t xml:space="preserve"> Window views are an important design feature in buildings. Views can impact the cognitive attention, psychological and physiological well-being of building occupants due to their ability to provide recovery in stressful working environments. The impact of viewing position on view perception as a result of the visual parallax effect resulted from occupants seeing a window from different relative positions in any given room has not been comprehensively investigated. In this study, view perception was evaluated using a physically-based 360° virtual environment at three different viewing locations: close, middle, and far. The three conditions were presented to thirty-two participants. The study employed a comprehensive method by collecting subjective and physiological evaluations. A stress-recovery methodology to assess restorativeness effects was used by presenting a window view observing period after a stressful task was performed. Subjective assessments included questions on view restorative ability, view content and size preferences, view valance/arousal, and positive and negative affects. Physiological measures included skin conductance, heart rate, and heart rate variability. Results showed significant differences in subjective parameters and measures of skin conductance. Decreased view quality was reported as participants observed the view from the further viewing locations </w:t>
      </w:r>
    </w:p>
    <w:p>
      <w:pPr/>
      <w:r>
        <w:rPr>
          <w:b/>
        </w:rPr>
        <w:t>POSSIBLE 2020:</w:t>
      </w:r>
      <w:r>
        <w:t xml:space="preserve"> The PROFOUND Database for evaluating vegetation models and simulating climate impacts on European forests — https://doi.org/10.5194/essd-12-1295-2020</w:t>
      </w:r>
    </w:p>
    <w:p>
      <w:pPr/>
      <w:r>
        <w:rPr>
          <w:b/>
        </w:rPr>
        <w:t>Shared claim-specific concepts:</w:t>
      </w:r>
      <w:r>
        <w:t xml:space="preserve"> evaluation, well, evaluating; EU scope visible. This is a provisional connection, not an outcome finding.</w:t>
      </w:r>
    </w:p>
    <w:p>
      <w:pPr>
        <w:pStyle w:val="SourceNote"/>
      </w:pPr>
      <w:r>
        <w:rPr>
          <w:b/>
        </w:rPr>
        <w:t>Available abstract (not full text):</w:t>
      </w:r>
      <w:r>
        <w:t xml:space="preserve"> Process-based vegetation models are widely used to predict local and global ecosystem dynamics and climate change impacts. Due to their complexity, they require careful parameterization and evaluation to ensure that projections are accurate and reliable. The PROFOUND Database (PROFOUND DB) provides a wide range of empirical data on European forests to calibrate and evaluate vegetation models that simulate climate impacts at the forest stand scale. A particular advantage of this database is its wide coverage of multiple data sources at different hierarchical and temporal scales, together with environmental driving data as well as the latest climate scenarios. Specifically, the PROFOUND DB provides general site descriptions, soil, climate, CO 2 , nitrogen deposition, tree and forest stand level, and remote sensing data for nine contrasting forest stands distributed across Europe. Moreover, for a subset of five sites, time series of carbon fluxes, atmospheric heat conduction and soil water are also available. The climate and nitrogen deposition data contain several datasets for the historic period and a wide range of future climate change scenarios following the Representative Concentration Pathways (RCP2.6, RCP4.5, RCP6.0, RCP8.5). We also provide pre-industrial climate simulations that allow for model runs aimed at disentangling the contribution of climate change to observed for</w:t>
      </w:r>
    </w:p>
    <w:p>
      <w:pPr/>
      <w:r>
        <w:rPr>
          <w:b/>
        </w:rPr>
        <w:t>POSSIBLE 2019:</w:t>
      </w:r>
      <w:r>
        <w:t xml:space="preserve"> Evaluating Academic Legal Research in Europe — https://doi.org/10.4337/9781788115506</w:t>
      </w:r>
    </w:p>
    <w:p>
      <w:pPr/>
      <w:r>
        <w:rPr>
          <w:b/>
        </w:rPr>
        <w:t>Shared claim-specific concepts:</w:t>
      </w:r>
      <w:r>
        <w:t xml:space="preserve"> evaluation, review, evaluating, action; EU scope visible. This is a provisional connection, not an outcome finding.</w:t>
      </w:r>
    </w:p>
    <w:p>
      <w:pPr>
        <w:pStyle w:val="SourceNote"/>
      </w:pPr>
      <w:r>
        <w:rPr>
          <w:b/>
        </w:rPr>
        <w:t>Available abstract (not full text):</w:t>
      </w:r>
      <w:r>
        <w:t xml:space="preserve"> Where rankings, journal impact factors, citation scores and time-consuming peer review processes are increasingly viewed as a nightmare in the natural and social sciences, law still seems to be an oasis of peace and tranquility in certain countries. Nevertheless, this book reveals that law is a discipline in transition, moving from a national towards a transnational focus, from managerial laissez faire towards research programming and output financing, from monodisciplinarity to multidisciplinarity, from implicit quality standards toward more explicit attention for theory-building and methodological accountability. Experts from all over Europe in this volume show how these developments already have a serious impact on the way in which academic legal research is being evaluated throughout Europe. We argue that law has the advantage of lagging behind. Legal scholars can learn from the mistakes in other disciplines. We still have time to develop our own quality indicators, methodological standards and evaluation methods, but action is required.</w:t>
      </w:r>
    </w:p>
    <w:p>
      <w:pPr/>
      <w:r>
        <w:rPr>
          <w:b/>
        </w:rPr>
        <w:t>POSSIBLE 2019:</w:t>
      </w:r>
      <w:r>
        <w:t xml:space="preserve"> Impact of the Electric Mobility Implementation on the Greenhouse Gases Production in Central European Countries — https://doi.org/10.3390/su11184948</w:t>
      </w:r>
    </w:p>
    <w:p>
      <w:pPr/>
      <w:r>
        <w:rPr>
          <w:b/>
        </w:rPr>
        <w:t>Shared claim-specific concepts:</w:t>
      </w:r>
      <w:r>
        <w:t xml:space="preserve"> view, expected; EU scope visible. This is a provisional connection, not an outcome finding.</w:t>
      </w:r>
    </w:p>
    <w:p>
      <w:pPr>
        <w:pStyle w:val="SourceNote"/>
      </w:pPr>
      <w:r>
        <w:rPr>
          <w:b/>
        </w:rPr>
        <w:t>Available abstract (not full text):</w:t>
      </w:r>
      <w:r>
        <w:t xml:space="preserve"> The preference and the development of electromobility are included among the priorities of transport policies in many European countries. This article deals with the issue of electric vehicle operation from the point of view of the environmental impact of electric power production, specifically the energy effectiveness of its production by utilizing primary power production sources. Differences in the effectiveness of the conversion of mixed forms of energy into electricity and their share in the process directly affect the final level of greenhouse gases (GHG) production, and thus the ecological footprint of electric vehicle operations. The specification of energy consumption and GHG production is based on the principles of the EN 16 258: 2012 standard, which considers legislative-regulated power plant effectiveness values, statistical values of GHG emissions from electricity production, and real energy consumption values of an electric vehicle fleet. The calculation takes into account the share of primary sources and the efficiency of electricity production and effectiveness of electricity distribution in each of the evaluated countries. The specific research study is performed by comparing measured parameters for individual countries chosen from the Central Europe region. The results of the study show that the quantification of the positive environmental consequences of incr</w:t>
      </w:r>
    </w:p>
    <w:p>
      <w:pPr>
        <w:pStyle w:val="Heading2"/>
      </w:pPr>
      <w:r>
        <w:t>850.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different, directions;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Democracy and Media in Europe — https://doi.org/10.4324/9781003485438</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https://www.taylorfrancis.com, has been made available under a Creative Commons Attribution-Non Commercial-No Derivatives (CC-BY-NC-ND) 4.0 lic</w:t>
      </w:r>
    </w:p>
    <w:p>
      <w:pPr/>
      <w:r>
        <w:rPr>
          <w:b/>
        </w:rPr>
        <w:t>POSSIBLE 2024:</w:t>
      </w:r>
      <w:r>
        <w:t xml:space="preserve"> Democracy and Media in Europe — https://openalex.org/W7137605746</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http://www.taylorfrancis.com, has been made available under a Creative Commons Attribution-Non Commercial-No Derivatives (CC-BY-NC-ND) 4.0 lice</w:t>
      </w:r>
    </w:p>
    <w:p>
      <w:pPr/>
      <w:r>
        <w:rPr>
          <w:b/>
        </w:rPr>
        <w:t>POSSIBLE 2023:</w:t>
      </w:r>
      <w:r>
        <w:t xml:space="preserve"> THE PROBLEM OF THE “DEFICIT OF DEMOCRACY” AS A THREAT TO THE VALUES OF THE EUROPEAN UNION — https://doi.org/10.32782/2524-0374/2023-4/158</w:t>
      </w:r>
    </w:p>
    <w:p>
      <w:pPr/>
      <w:r>
        <w:rPr>
          <w:b/>
        </w:rPr>
        <w:t>Shared claim-specific concepts:</w:t>
      </w:r>
      <w:r>
        <w:t xml:space="preserve"> article, democracy; EU scope visible. This is a provisional connection, not an outcome finding.</w:t>
      </w:r>
    </w:p>
    <w:p>
      <w:pPr>
        <w:pStyle w:val="SourceNote"/>
      </w:pPr>
      <w:r>
        <w:rPr>
          <w:b/>
        </w:rPr>
        <w:t>Available abstract (not full text):</w:t>
      </w:r>
      <w:r>
        <w:t xml:space="preserve"> Асірян С.Р., к.ю.н., асистент кафедри права Європейського Союзу Національний юридичний університет імені Ярослава Мудрого Бухова Д.М., студентка ІІІ курсу факультету прокуратури Національний юридичний університет імені Ярослава Мудрого Кречик А.С., студент ІІІ курсу факультету прокуратури Національний юридичний університет імені Ярослава Мудрого Статтю присвячено аналізу проблеми "дефіциту демократії" в Європейському Союзі.Розглянуто основні положення Договору про ЄС щодо демократичних принципів, зокрема дотримання принципу рівності громадян, принцип представницької демократії, вимоги до демократичності діяльності установ Союзу.Проаналізовано історію виникнення терміну "дефіцит демократії" та підходи до його визначення.Виділено основні причини існування даної проблеми в Європейському Союзі, такі як: нерівномірний розподіл влади, складні процеси прийняття рішень, менші повноваження Парламенту ЄС у сфері законотворчості порівняно з Європейською Комісією, брак прозорості, зростання абсентеїзму, технократичне управління та інші.Приділено увагу Лісабонському договору, що набрав чинності у 2009 році, положення якого внесли зміни в інституційні механізми з метою мінімізації проблеми демократичного дефіциту в Європейському Союзі: збільшення повноважень Європейського Парламенту, посилення ролі національних парламентів, підвищення прозорості процесів прийняття рішень та формування механі</w:t>
      </w:r>
    </w:p>
    <w:p>
      <w:pPr/>
      <w:r>
        <w:rPr>
          <w:b/>
        </w:rPr>
        <w:t>POSSIBLE 2022:</w:t>
      </w:r>
      <w:r>
        <w:t xml:space="preserve"> Democracy in Central Eastern Europe and European Union — https://doi.org/10.26417/202nch96</w:t>
      </w:r>
    </w:p>
    <w:p>
      <w:pPr/>
      <w:r>
        <w:rPr>
          <w:b/>
        </w:rPr>
        <w:t>Shared claim-specific concepts:</w:t>
      </w:r>
      <w:r>
        <w:t xml:space="preserve"> democracy, develop; EU scope visible. This is a provisional connection, not an outcome finding.</w:t>
      </w:r>
    </w:p>
    <w:p>
      <w:pPr>
        <w:pStyle w:val="SourceNote"/>
      </w:pPr>
      <w:r>
        <w:rPr>
          <w:b/>
        </w:rPr>
        <w:t>Available abstract (not full text):</w:t>
      </w:r>
      <w:r>
        <w:t xml:space="preserve"> Some of the countries in the region have contributed through assistance programs to develop and align their democracies with what the EU itself lobbies. EU aid to CEE is seen as a phenomenon of EU-perceived responsibility in the interaction of new democracies in Central and Eastern Europe. This paper will create a genuine study of the perceived responsibility for the development of democracies in these countries. It paints a clear picture of the development of democracy and the need for CEE countries to be under EU assistance. The assistance coming from this institution has given and continues to contribute to developing a democracy with strong executive foundations for society and beneficial to the region. In this way, the EU manages to achieve its objectives of achieving a federal union. When we say federal union we mean a Europe with the same democratic values and executive standards.In this paper the EU's responsibility for the new democracies of Central and Eastern Europe is seen in activities with EU programs to enhance institutions above democratic values. Having access to the issues facing the democracies of Central and Eastern Europe, the Council Acquis provides an overview in the field of democracy. The paper gives us the opportunity to look more closely at democratic forces in countries where the latter is still developing, aiming not only at the analysis of democrac</w:t>
      </w:r>
    </w:p>
    <w:p>
      <w:pPr/>
      <w:r>
        <w:rPr>
          <w:b/>
        </w:rPr>
        <w:t>POSSIBLE 2022:</w:t>
      </w:r>
      <w:r>
        <w:t xml:space="preserve"> DOES PANDEMIC DECLINED OR MAINTAINED DEMOCRACY? — https://doi.org/10.15642/sarpass.2022.1.2.125-148</w:t>
      </w:r>
    </w:p>
    <w:p>
      <w:pPr/>
      <w:r>
        <w:rPr>
          <w:b/>
        </w:rPr>
        <w:t>Shared claim-specific concepts:</w:t>
      </w:r>
      <w:r>
        <w:t xml:space="preserve"> article, maintaining, democracy, directions; EU scope not established. This is a provisional connection, not an outcome finding.</w:t>
      </w:r>
    </w:p>
    <w:p>
      <w:pPr>
        <w:pStyle w:val="SourceNote"/>
      </w:pPr>
      <w:r>
        <w:rPr>
          <w:b/>
        </w:rPr>
        <w:t>Available abstract (not full text):</w:t>
      </w:r>
      <w:r>
        <w:t xml:space="preserve"> This paper investigates two sides effects of COVID-19 pandemic on democracy in Indonesia. Majority articles on democracy and pandemic argue that COVID-19 pandemic has declined democracy in many countries, including Indonesia. This article, on the one hand agrees with the dominant argument, but on the other hand argues that the COVID-19 pandemic also contributed to maintain democracy. This paper bases democracy on Beetham's notion whose defined democracy as popular control over public affairs with the principles of equality and participation. In order to examine relationship between democracy and pandemic, we use three issues as case studies: the Minerba Bill, the Omnibus Law and data transparency issues. This paper uses qualitative methods and data obtained by literature study regarding civil society’s participation and control in public affairs during the last a year. Two main findings of this paper show that the pandemic has accelerated democratic decline trough two directions, they are from above and from below. Decline from above due to restrictions of freedom of speech and civil participation in public affairs. At the same time, decline from below occurred due to people cleavage in public health issues. In addition, disinformation spread by buzzer which redistributed by other people has been made this situation worse. Otherwise, pandemic also maintained democracy through s</w:t>
      </w:r>
    </w:p>
    <w:p>
      <w:pPr/>
      <w:r>
        <w:rPr>
          <w:b/>
        </w:rPr>
        <w:t>POSSIBLE 2022:</w:t>
      </w:r>
      <w:r>
        <w:t xml:space="preserve"> Threat or corrective to democracy? The relationship between populism and different models of democracy — https://doi.org/10.1111/1475-6765.12564</w:t>
      </w:r>
    </w:p>
    <w:p>
      <w:pPr/>
      <w:r>
        <w:rPr>
          <w:b/>
        </w:rPr>
        <w:t>Shared claim-specific concepts:</w:t>
      </w:r>
      <w:r>
        <w:t xml:space="preserve"> article, democracy, different; EU scope visible. This is a provisional connection, not an outcome finding.</w:t>
      </w:r>
    </w:p>
    <w:p>
      <w:pPr>
        <w:pStyle w:val="SourceNote"/>
      </w:pPr>
      <w:r>
        <w:rPr>
          <w:b/>
        </w:rPr>
        <w:t>Available abstract (not full text):</w:t>
      </w:r>
      <w:r>
        <w:t xml:space="preserve"> Abstract The phenomenon of populism and its relationship with modern democracy has gained considerable attention in recent years. This article aims at advancing our understanding of how populism affects different models of democracy and tests the proposed arguments empirically. Building on a large scholarly literature on populism and democracy, we take stock of existing arguments and theorize which democratic models may be affected by populism in a positive or negative way. Moreover, we move beyond the normative debate and analyse the effect of populism in power on different models of democracy empirically. We do so by merging data on populist governments in Europe and Latin America from 1995 until today with the Varieties of Democracy dataset, which enables us to capture the relationship between populism and different democratic models in these regions. Despite mixed‐theoretical expectations, our results suggest a rather negative impact of populism on the electoral, liberal and deliberative models of democracy.</w:t>
      </w:r>
    </w:p>
    <w:p>
      <w:pPr>
        <w:pStyle w:val="Heading2"/>
      </w:pPr>
      <w:r>
        <w:t>851.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r>
        <w:rPr>
          <w:b/>
        </w:rPr>
        <w:t>POSSIBLE 2022:</w:t>
      </w:r>
      <w:r>
        <w:t xml:space="preserve"> Ellenberg‐type indicator values for European vascular plant species — https://doi.org/10.1111/jvs.13168</w:t>
      </w:r>
    </w:p>
    <w:p>
      <w:pPr/>
      <w:r>
        <w:rPr>
          <w:b/>
        </w:rPr>
        <w:t>Shared claim-specific concepts:</w:t>
      </w:r>
      <w:r>
        <w:t xml:space="preserve"> create, set, indicator, based;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The indicator-based measurement of the circular economy in the countries of the European Union — https://doi.org/10.17649/tet.36.2.3374</w:t>
      </w:r>
    </w:p>
    <w:p>
      <w:pPr/>
      <w:r>
        <w:rPr>
          <w:b/>
        </w:rPr>
        <w:t>Shared claim-specific concepts:</w:t>
      </w:r>
      <w:r>
        <w:t xml:space="preserve"> create, set, indicators, areas, high, based; EU scope visible. This is a provisional connection, not an outcome finding.</w:t>
      </w:r>
    </w:p>
    <w:p>
      <w:pPr>
        <w:pStyle w:val="SourceNote"/>
      </w:pPr>
      <w:r>
        <w:rPr>
          <w:b/>
        </w:rPr>
        <w:t>Available abstract (not full text):</w:t>
      </w:r>
      <w:r>
        <w:t xml:space="preserve"> The circular economy is an integral part of sustainable development as a new economic model, which is the opposite of the linear economy that is still in force today. In terms of its basics, we can speak of a sustainable economic system in which economic growth is completely decoupled from the use of resources, in order to reduce the use of natural resources and recycle them. In the study, the authors present the possibility of measuring the circular economy and establish a ranking for the 28 Member States of the European Union based on the created composite indicators measuring the circular economy. The values of the created CCEI index were compared with rankings produced by other researchers in similar and different ways. The goodness of the presented methodology is examined by comparing previous similar research results. The primary objective of the study is to create composite indicators and to analyse their comparability. Further aim is to characterise the leading and the tail-ender countries from which conclusions can be drawn regarding ranking and thus make them comparable. The research objective is achieved by using secondary data based on different Eurostat databases related to a sub-sector of the circular economy for the year 2018. The indicators of the circular economy were grouped according to four areas: production and consumption, waste management secondary raw ma</w:t>
      </w:r>
    </w:p>
    <w:p>
      <w:pPr/>
      <w:r>
        <w:rPr>
          <w:b/>
        </w:rPr>
        <w:t>POSSIBLE 2022:</w:t>
      </w:r>
      <w:r>
        <w:t xml:space="preserve"> The 2018–2020 Multi‐Year Drought Sets a New Benchmark in Europe — https://doi.org/10.1029/2021ef002394</w:t>
      </w:r>
    </w:p>
    <w:p>
      <w:pPr/>
      <w:r>
        <w:rPr>
          <w:b/>
        </w:rPr>
        <w:t>Shared claim-specific concepts:</w:t>
      </w:r>
      <w:r>
        <w:t xml:space="preserve"> warming, socioeconomic, based;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A comprehensive indicator set for measuring the sustainable energy performance in the European Union — https://doi.org/10.1201/9781003259954-2</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Clean energy transition is the key for sustainable energy. In spite of the positive tendencies, the Covid-19 has also raised many issues and highlighted the importance of the topic. The Sustainable Development Goal 7 and 13 may serve as a basis to achieve affordable and clean energy and to combat global climate change. Meeting these objectives needs well-designed energy and environmental policy with a strong holistic approach. This study aims to build a comprehensive indicator set for measuring the sustainable energy performance of the European Union Member States. To determine the indicator set we follow rigorous steps, the methodology of which is described in detail. Finally, we present the list of eight selected indicators, from which a composite indicator can be built. Additionally, the overall structure of the dataset is analyzed through correlation analysis, stationarity and normality tests. Standardization is carried out to make the variables comparable with different units. Respecting the main dimensions of the theory of sustainable development, we also determine the weighting factors and we put them up for discussion.</w:t>
      </w:r>
    </w:p>
    <w:p>
      <w:pPr/>
      <w:r>
        <w:rPr>
          <w:b/>
        </w:rPr>
        <w:t>POSSIBLE 2022:</w:t>
      </w:r>
      <w:r>
        <w:t xml:space="preserve"> Digitalisation as the Indicator of the Evidence of Sustainability in the European Union — https://doi.org/10.3390/su14148371</w:t>
      </w:r>
    </w:p>
    <w:p>
      <w:pPr/>
      <w:r>
        <w:rPr>
          <w:b/>
        </w:rPr>
        <w:t>Shared claim-specific concepts:</w:t>
      </w:r>
      <w:r>
        <w:t xml:space="preserve"> create, indicators, indicator, fixed; EU scope visible. This is a provisional connection, not an outcome finding.</w:t>
      </w:r>
    </w:p>
    <w:p>
      <w:pPr>
        <w:pStyle w:val="SourceNote"/>
      </w:pPr>
      <w:r>
        <w:rPr>
          <w:b/>
        </w:rPr>
        <w:t>Available abstract (not full text):</w:t>
      </w:r>
      <w:r>
        <w:t xml:space="preserve"> Digitalisation provides access to an integrated network of information that can benefit society and businesses. However, the evidence of sustainability in business is less researched. In our paper, by building up the research approach, we address the relevant gap by investigating how sustainable development goals represent the interrelationship between digitalisation and sustainability. Such research is particularly important because understandings of digitalisation and sustainability determine how different actors, including business managers and policymakers, act in response to those imperatives to develop future employees skills starting from school age. Following a multi-method approach, we have combined our analysis into two steps examining the relationship between digitalisation and sustainability. Building digital networks, business managers and policy makers using digital means can create some unique opportunities to strategically address sustainable development challenges for the United Nations Targets (SDG) to ensure higher productivity, education, and an equality-oriented society. This point of view describes the potential of digitalisation for society and businesses of the future. The authors revise the links between digitalisation and sustainability in the European Union countries by using data available in Eurostat and UNECE public databases. The two-stage methodo</w:t>
      </w:r>
    </w:p>
    <w:p>
      <w:pPr/>
      <w:r>
        <w:rPr>
          <w:b/>
        </w:rPr>
        <w:t>POSSIBLE 2022:</w:t>
      </w:r>
      <w:r>
        <w:t xml:space="preserve"> High Mountain Areas — https://doi.org/10.1017/9781009157964.004</w:t>
      </w:r>
    </w:p>
    <w:p>
      <w:pPr/>
      <w:r>
        <w:rPr>
          <w:b/>
        </w:rPr>
        <w:t>Shared claim-specific concepts:</w:t>
      </w:r>
      <w:r>
        <w:t xml:space="preserve"> areas, high, low; EU scope visible. This is a provisional connection, not an outcome finding.</w:t>
      </w:r>
    </w:p>
    <w:p>
      <w:pPr>
        <w:pStyle w:val="SourceNote"/>
      </w:pPr>
      <w:r>
        <w:rPr>
          <w:b/>
        </w:rPr>
        <w:t>Available abstract (not full text):</w:t>
      </w:r>
      <w:r>
        <w:t xml:space="preserve"> The cryosphere (including, snow, glaciers, permafrost, lake and river ice) is an integral element of high mountain regions, which are home to roughly 10% of the global population.Widespread cryosphere changes affect physical, biological and human systems in the mountains and surrounding lowlands, with impacts evident even in the ocean.Building on the IPCC's 5th Assessment Report (AR5), this chapter assesses new evidence on observed recent and projected changes in the mountain cryosphere as well as associated impacts, risks and adaptation measures related to natural and human systems.Impacts in response to climate changes independently of changes in the cryosphere are not assessed in this chapter.Polar mountains are included in Chapter 3, except those in Alaska and adjacent Yukon, Iceland and Scandinavia, which are included in this chapter. Observations of cryospheric changes, impacts, and adaptation in high mountain areasObservations show general decline in low-elevation snow cover (high confidence 1 ), glaciers (very high confidence) and permafrost (high confidence) due to climate change in recent decades.Snow cover duration has declined in nearly all regions, especially at lower elevations, on average by 5 days per decade, with a likely 2 range from 0-10 days per decade.Low elevation snow depth and extent have declined, although year-to-year variation is high.Mass change of g</w:t>
      </w:r>
    </w:p>
    <w:p>
      <w:pPr/>
      <w:r>
        <w:rPr>
          <w:b/>
        </w:rPr>
        <w:t>POSSIBLE 2022:</w:t>
      </w:r>
      <w:r>
        <w:t xml:space="preserve"> Using high-resolution global climate models from the PRIMAVERA project to create a European winter windstorm event set — https://doi.org/10.5194/nhess-22-3585-2022</w:t>
      </w:r>
    </w:p>
    <w:p>
      <w:pPr/>
      <w:r>
        <w:rPr>
          <w:b/>
        </w:rPr>
        <w:t>Shared claim-specific concepts:</w:t>
      </w:r>
      <w:r>
        <w:t xml:space="preserve"> create, set, estimated; EU scope visible. This is a provisional connection, not an outcome finding.</w:t>
      </w:r>
    </w:p>
    <w:p>
      <w:pPr>
        <w:pStyle w:val="SourceNote"/>
      </w:pPr>
      <w:r>
        <w:rPr>
          <w:b/>
        </w:rPr>
        <w:t>Available abstract (not full text):</w:t>
      </w:r>
      <w:r>
        <w:t xml:space="preserve"> Abstract. PRIMAVERA was a European Union Horizon 2020 project whose primary aim was to generate advanced and well-evaluated high-resolution global climate model datasets, for the beneﬁt of governments, business and society in general. Following consultation with members of the insurance industry, we have used a PRIMAVERA multi-model ensemble to generate a European winter windstorm event set for use in insurance risk analysis, containing approximately 1300 years of windstorm data. To create the storm footprints for the event set, the storms in the PRIMAVERA models are identified through tracking. A method is developed to separate the winds from storms occurring in the domain at the same time. The wind footprints are bias corrected and converted to 3-s gusts onto a uniform grid using quantile mapping. The distribution of the number of model storms per season as a function of estimated loss is consistent with re-analysis, as are the total losses per season, and the additional event set data greatly reduces uncertainty on return period magnitudes. The event set also reproduces the temporally clustered nature of European windstorms. Since the event set is generated from global climate models, it can help to quantify the non-linear relationship between large-scale climate indices such as the North Atlantic Oscillation (NAO) and windstorm damage. Although we find only a moderate posit</w:t>
      </w:r>
    </w:p>
    <w:p>
      <w:pPr/>
      <w:r>
        <w:rPr>
          <w:b/>
        </w:rPr>
        <w:t>POSSIBLE 2021:</w:t>
      </w:r>
      <w:r>
        <w:t xml:space="preserve"> The impact of sustainable tourism indicators on destination competitiveness: the European Tourism Indicator System — https://doi.org/10.1080/09669582.2021.1910281</w:t>
      </w:r>
    </w:p>
    <w:p>
      <w:pPr/>
      <w:r>
        <w:rPr>
          <w:b/>
        </w:rPr>
        <w:t>Shared claim-specific concepts:</w:t>
      </w:r>
      <w:r>
        <w:t xml:space="preserve"> indicators, indicator, based; EU scope visible. This is a provisional connection, not an outcome finding.</w:t>
      </w:r>
    </w:p>
    <w:p>
      <w:pPr>
        <w:pStyle w:val="SourceNote"/>
      </w:pPr>
      <w:r>
        <w:rPr>
          <w:b/>
        </w:rPr>
        <w:t>Available abstract (not full text):</w:t>
      </w:r>
      <w:r>
        <w:t xml:space="preserve"> We aimed to evaluate the impact of sustainable tourism indicators on destination competitiveness with reference to the European Tourism Indicator System (ETIS), a scheme funded by the European Commission to address the evidence gap in tourism policy making. To do this, we evaluate the absorptive capacity of destination management organisations (DMOs) to implement and use sustainable tourism indicators to make policy decisions. We provide evidence of how DMOs have acquired knowledge about the importance of sustainable tourism indicators through ETIS, and how they have assimilated it by developing their own systems based on the principles of ETIS. However, we find that the European Commission had unrealistic expectations that DMOs, or their policies, would be transformed as a result of the use of indicators, or that indicators would be exploited to improve tourism sustainability and competitiveness. We contribute to the study of policy science by showing how absorptive capacity can be used to analyse and evaluate policy interventions, despite being a linear rational approach to explaining a complex policy context.</w:t>
      </w:r>
    </w:p>
    <w:p>
      <w:pPr>
        <w:pStyle w:val="Heading2"/>
      </w:pPr>
      <w:r>
        <w:t>852.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2024:</w:t>
      </w:r>
      <w:r>
        <w:t xml:space="preserve"> Foresight: Fifty Years to Think Your Futures — https://doi.org/10.1007/978-3-031-66100-6_4</w:t>
      </w:r>
    </w:p>
    <w:p>
      <w:pPr/>
      <w:r>
        <w:rPr>
          <w:b/>
        </w:rPr>
        <w:t>Shared claim-specific concepts:</w:t>
      </w:r>
      <w:r>
        <w:t xml:space="preserve"> foresight, explore, possible, used;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The “Safe and Sustainable by Design” Concept – A Regulatory Approach for a More Sustainable Circular Economy in the European Union? — https://doi.org/10.1017/err.2024.29</w:t>
      </w:r>
    </w:p>
    <w:p>
      <w:pPr/>
      <w:r>
        <w:rPr>
          <w:b/>
        </w:rPr>
        <w:t>Shared claim-specific concepts:</w:t>
      </w:r>
      <w:r>
        <w:t xml:space="preserve"> sustainable, economy, explore; EU scope visible. This is a provisional connection, not an outcome finding.</w:t>
      </w:r>
    </w:p>
    <w:p>
      <w:pPr>
        <w:pStyle w:val="SourceNote"/>
      </w:pPr>
      <w:r>
        <w:rPr>
          <w:b/>
        </w:rPr>
        <w:t>Available abstract (not full text):</w:t>
      </w:r>
      <w:r>
        <w:t xml:space="preserve"> Abstract The creation of a more sustainable economy is one of the main targets of the European Green Deal and the new Circular Economy Action Plan. Technological innovation is needed, among other things, to render materials, products, and production processes more sustainable. Given the goals of the European Green Deal, the regulatory concept of “Safe and Sustainable by Design” is increasingly receiving attention. The concept is (arguably) a precautionary and preventative measure that is implemented at the early stages of the design of a technology. Therefore, it is often described as a tool for lowering the risks that follow from efforts to create a more circular economy. The concept was included in the European Chemicals Strategy of the European Commission. The aim of the strategy is to accelerate progress towards the discovery of more sustainable chemicals and towards a toxicity-free environment. In this paper, we will explore the benefits and disadvantages of integrating the “Safe and Sustainable by Design” concept into the regulation of technology. As a form of regulation by technology, this concept can enhance sustainability. We will first describe the origins of the concept and its current use. Then, we will analyse its implications for the circular economy.</w:t>
      </w:r>
    </w:p>
    <w:p>
      <w:pPr/>
      <w:r>
        <w:rPr>
          <w:b/>
        </w:rPr>
        <w:t>POSSIBLE 2023:</w:t>
      </w:r>
      <w:r>
        <w:t xml:space="preserve"> Supporting decision making with strategic foresight — https://doi.org/10.1787/1d78c791-en</w:t>
      </w:r>
    </w:p>
    <w:p>
      <w:pPr/>
      <w:r>
        <w:rPr>
          <w:b/>
        </w:rPr>
        <w:t>Shared claim-specific concepts:</w:t>
      </w:r>
      <w:r>
        <w:t xml:space="preserve"> purpose, foresight, help, best, each; EU scope not established. This is a provisional connection, not an outcome finding.</w:t>
      </w:r>
    </w:p>
    <w:p>
      <w:pPr>
        <w:pStyle w:val="SourceNote"/>
      </w:pPr>
      <w:r>
        <w:rPr>
          <w:b/>
        </w:rPr>
        <w:t>Available abstract (not full text):</w:t>
      </w:r>
      <w:r>
        <w:t xml:space="preserve"> This working paper discusses strategic foresight initiatives and methodologies that support decision making and process design. It highlights case studies, international benchmarks, and best practices, as well as methodological recommendations and options for promoting the adoption and use of strategic foresight in government. The paper has four sections, each centred on a critical action to improve decision making through strategic foresight: (i) framing strategic foresight, (ii) building its fundamental components in governments, (iii) fine-tuning foresight interventions to specific contexts, and (iv) undertaking concrete activities to solve specific policy challenges. Given its exploratory nature, this working paper and its proposals should be seen as contributing to ongoing debates about the use of strategic foresight for decision making in government. The ultimate purpose of this paper is to help governments become more proactive and prospective.</w:t>
      </w:r>
    </w:p>
    <w:p>
      <w:pPr/>
      <w:r>
        <w:rPr>
          <w:b/>
        </w:rPr>
        <w:t>POSSIBLE 2021:</w:t>
      </w:r>
      <w:r>
        <w:t xml:space="preserve"> Deep aspirations: towards a sustainable offshore Blue Economy — https://doi.org/10.1007/s11160-020-09628-6</w:t>
      </w:r>
    </w:p>
    <w:p>
      <w:pPr/>
      <w:r>
        <w:rPr>
          <w:b/>
        </w:rPr>
        <w:t>Shared claim-specific concepts:</w:t>
      </w:r>
      <w:r>
        <w:t xml:space="preserve"> sustainable, economy, possible, identify; EU scope not established. This is a provisional connection, not an outcome finding.</w:t>
      </w:r>
    </w:p>
    <w:p>
      <w:pPr>
        <w:pStyle w:val="SourceNote"/>
      </w:pPr>
      <w:r>
        <w:rPr>
          <w:b/>
        </w:rPr>
        <w:t>Available abstract (not full text):</w:t>
      </w:r>
      <w:r>
        <w:t xml:space="preserve"> Abstract: The ocean economy is experiencing rapid growth that will provide benefits but will also pose environmental and social risks. With limited space and degraded resources in coastal areas, offshore waters will be a particular focus of Blue Economy expansion over the next decade. When emerging and established economic sectors expand in offshore waters (within national Exclusive Economic Zones), different potential Blue Economy opportunities and challenges will arise. Following a series of interdisciplinary workshops, we imagine two technically possible futures for the offshore Blue Economy and we identify the actions required to achieve the more sustainable outcome. Under a business as usual scenario the focus will remain on economic growth, the commodification of nature, the dominance of private over public and cultural interests, and prioritisation of the interests of current over future generations. A more sustainable scenario would meet multiple UN Sustainable Development Goals and ensure inclusive economic developments, environmental sustainability, and fair and equitable access to resources and technologies across users, nations, and generations. Challenges to this more sustainable future are a lack of infrastructure and technology to support emerging offshore sectors, limited understanding of environmental impacts, inequitable outcomes, and a lack of planning and go</w:t>
      </w:r>
    </w:p>
    <w:p>
      <w:pPr/>
      <w:r>
        <w:rPr>
          <w:b/>
        </w:rPr>
        <w:t>POSSIBLE 2020:</w:t>
      </w:r>
      <w:r>
        <w:t xml:space="preserve"> Foresight – Using Science and Evidence to Anticipate and Shape the Future — https://doi.org/10.1016/b978-0-12-822596-7.00012-7</w:t>
      </w:r>
    </w:p>
    <w:p>
      <w:pPr/>
      <w:r>
        <w:rPr>
          <w:b/>
        </w:rPr>
        <w:t>Shared claim-specific concepts:</w:t>
      </w:r>
      <w:r>
        <w:t xml:space="preserve"> foresight, possible, help, identify; EU scope not established. This is a provisional connection, not an outcome finding.</w:t>
      </w:r>
    </w:p>
    <w:p>
      <w:pPr>
        <w:pStyle w:val="SourceNote"/>
      </w:pPr>
      <w:r>
        <w:rPr>
          <w:b/>
        </w:rPr>
        <w:t>Available abstract (not full text):</w:t>
      </w:r>
      <w:r>
        <w:t xml:space="preserve"> The role of public policy is to create a desirable future. However, policymaking often suffers from presentism bias, i.e. it focusses on today’s issues and ignores future challenges and opportunities. While the future is uncertain and cannot be predicted, foresight offers a well-established toolbox to help deal with it, in all its uncertainty and complexity. Foresight is a systematic participatory process to create collective intelligence about the medium- to long-term future and provide strategic knowledge for policy making. This chapter presents relevant foresight tools for policymaking: horizon scanning to identify emerging issues, megatrends to understand implications of long-term developments, scenario building to deal with uncertainty and develop a systemic understanding of complex issues, speculative design to illustrate possible future applications, and serious games to experience consequences of possible futures.</w:t>
      </w:r>
    </w:p>
    <w:p>
      <w:pPr/>
      <w:r>
        <w:rPr>
          <w:b/>
        </w:rPr>
        <w:t>POSSIBLE 2020:</w:t>
      </w:r>
      <w:r>
        <w:t xml:space="preserve"> EVIDENCE- AND FORESIGHT-BASED POLICY: DICHOTOMY OR OVERLAP? — https://doi.org/10.46473/wcsaj27240606/18-09-2020-0014//full/html</w:t>
      </w:r>
    </w:p>
    <w:p>
      <w:pPr/>
      <w:r>
        <w:rPr>
          <w:b/>
        </w:rPr>
        <w:t>Shared claim-specific concepts:</w:t>
      </w:r>
      <w:r>
        <w:t xml:space="preserve"> foresight, economy, identify, best; EU scope not established. This is a provisional connection, not an outcome finding.</w:t>
      </w:r>
    </w:p>
    <w:p>
      <w:pPr>
        <w:pStyle w:val="SourceNote"/>
      </w:pPr>
      <w:r>
        <w:rPr>
          <w:b/>
        </w:rPr>
        <w:t>Available abstract (not full text):</w:t>
      </w:r>
      <w:r>
        <w:t xml:space="preserve"> Economic research determines economic policy, which determines economic politics" could be a summary of the basic philosophy of the World Complexity Science Academy (WCSA) applied to the field of economics.Such an evidence-based policy is lively in academic circles but still absent in the political world.However, there is more: looking back in order to extrapolate and forecast tendencies for the future, as the evidence-based policy does, needs to be complemented by forward-looking attempting to identify megatrends based on change drivers that should be translated into concrete policy action today.Therefore, to narrow the gap between economy, policy and politics, foresight thinking on top of evidence-based policy could be the best option for more accurate policy and law-making.Black boxes should be avoided in the evidence-based approach as it makes policy unexplainable to the citizens and politicians unaccountable.Black swans could be integrated into the foresight-based advice in an attempt to foresee the unforeseeable and think the unthinkable.</w:t>
      </w:r>
    </w:p>
    <w:p>
      <w:pPr/>
      <w:r>
        <w:rPr>
          <w:b/>
        </w:rPr>
        <w:t>POSSIBLE 2020:</w:t>
      </w:r>
      <w:r>
        <w:t xml:space="preserve"> European environment policy for the circular economy: Implications for business and industry stakeholders — https://doi.org/10.1002/sd.2113</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Abstract European Union (EU) institutions and agencies are increasingly raising awareness on the circular economy agenda. They are encouraging marketplace stakeholders to engage in sustainable production and consumption behaviors by reducing, reusing, restoring, refurbishing, and recycling resources in all stages of their value chain. Therefore, this research evaluates the latest European environmental policies including its “new circular economy plans for a cleaner and more competitive Europe.” Afterwards, it presents a systematic literature review that is focused on the circular economy in the EU context. The findings suggest that there are a number of opportunities as well as challenges for the successful planning, organization, implementation, and measurement of circular economy practices for sustainable supply chains in Europe. This contribution identifies key implications and provides reasonable recommendations to policy makers and industry practitioners.</w:t>
      </w:r>
    </w:p>
    <w:p>
      <w:pPr/>
      <w:r>
        <w:rPr>
          <w:b/>
        </w:rPr>
        <w:t>POSSIBLE 2020:</w:t>
      </w:r>
      <w:r>
        <w:t xml:space="preserve"> Effects of Circular Economy Policies on the Environment and Sustainable Growth: Worldwide Research — https://doi.org/10.3390/su12145792</w:t>
      </w:r>
    </w:p>
    <w:p>
      <w:pPr/>
      <w:r>
        <w:rPr>
          <w:b/>
        </w:rPr>
        <w:t>Shared claim-specific concepts:</w:t>
      </w:r>
      <w:r>
        <w:t xml:space="preserve"> purpose, sustainable, economy, possible; EU scope not established. This is a provisional connection, not an outcome finding.</w:t>
      </w:r>
    </w:p>
    <w:p>
      <w:pPr>
        <w:pStyle w:val="SourceNote"/>
      </w:pPr>
      <w:r>
        <w:rPr>
          <w:b/>
        </w:rPr>
        <w:t>Available abstract (not full text):</w:t>
      </w:r>
      <w:r>
        <w:t xml:space="preserve"> The challenge of transitioning from a linear to a circular economy model is still ongoing and requires the development and application of new knowledge, leading to innovative, technological, and sustainable processes, products, and services. The evolution of global research on this topic from 2004 to 2019 was studied in this work. For this purpose, a bibliometric analysis of 1366 articles was applied, producing results on the scientific productivity of the driving agents that most contribute to this theme. The findings show a growing interest, especially in the last four years, in the study of circular economy (CE) policies on the environment. The main subject area that articles address is environmental science. Five research lines have been identified, which mainly study the efficient management of energy resources and the economic factors that make the CE model possible: Environmental pollution and agricultural activity; waste management to avoid a negative environmental impact; improvement of the environmental impact through ecological products; the product life cycle, and the consequences of climate change. The implementation of CE policies will contribute to making economies less dependent and unprotected and more competitive. Global research has exhibited an upward trend during the period analyzed and has grown exponentially since 2015, coinciding with the publication of </w:t>
      </w:r>
    </w:p>
    <w:p>
      <w:pPr/>
      <w:r>
        <w:rPr>
          <w:b/>
        </w:rPr>
        <w:t>POSSIBLE 2020:</w:t>
      </w:r>
      <w:r>
        <w:t xml:space="preserve"> JRC in Euratom Research and Training Programme − 2014–2020 — https://doi.org/10.1051/epjn/2019036</w:t>
      </w:r>
    </w:p>
    <w:p>
      <w:pPr/>
      <w:r>
        <w:rPr>
          <w:b/>
        </w:rPr>
        <w:t>Shared claim-specific concepts:</w:t>
      </w:r>
      <w:r>
        <w:t xml:space="preserve"> jrc, explore, way; EU scope visible. This is a provisional connection, not an outcome finding.</w:t>
      </w:r>
    </w:p>
    <w:p>
      <w:pPr>
        <w:pStyle w:val="SourceNote"/>
      </w:pPr>
      <w:r>
        <w:rPr>
          <w:b/>
        </w:rPr>
        <w:t>Available abstract (not full text):</w:t>
      </w:r>
      <w:r>
        <w:t xml:space="preserve"> The Euratom Research and Training Programme 2014–2018 and its extension 2019–2020 (the Euratom Programme) is implemented through direct actions in fission − i.e. research performed by the Commission's Joint Research Centre (JRC), and through indirect actions in fission– i.e. via competitive calls for proposals, and in fusion − i.e. through a comprehensive named-beneficiary co-fund action managed by the Commission's Directorate-General for Research &amp; Innovation (RTD). The general objective of the Programme is “to pursue nuclear research and training activities with an emphasis on the continuous improvement of nuclear safety, security and radiation protection, in particular to potentially contribute to the long-term decarbonisation of the energy system in a safe, efficient and secure way.” The Programme is an integral part of Horizon 2020, the EU Framework Programme for Research and Innovation. The direct actions implemented by the JRC constitute an important part of the Euratom Programme and pursue specific objectives covering: nuclear safety, radioactive waste management, decommissioning, emergency preparedness; nuclear security, safeguards and non-proliferation; standardisation; knowledge management; education and training; and support to the policy of the Union on these fields. The JRC multi-annual work programme for nuclear activities fully reflects the aforementioned object</w:t>
      </w:r>
    </w:p>
    <w:p>
      <w:pPr/>
      <w:r>
        <w:rPr>
          <w:b/>
        </w:rPr>
        <w:t>POSSIBLE 2019:</w:t>
      </w:r>
      <w:r>
        <w:t xml:space="preserve"> Forecasting and foresight — https://doi.org/10.17169/refubium-26117</w:t>
      </w:r>
    </w:p>
    <w:p>
      <w:pPr/>
      <w:r>
        <w:rPr>
          <w:b/>
        </w:rPr>
        <w:t>Shared claim-specific concepts:</w:t>
      </w:r>
      <w:r>
        <w:t xml:space="preserve"> foresight, help; EU scope visible. This is a provisional connection, not an outcome finding.</w:t>
      </w:r>
    </w:p>
    <w:p>
      <w:pPr>
        <w:pStyle w:val="SourceNote"/>
      </w:pPr>
      <w:r>
        <w:rPr>
          <w:b/>
        </w:rPr>
        <w:t>Available abstract (not full text):</w:t>
      </w:r>
      <w:r>
        <w:t xml:space="preserve"> In this paper, authors Sarah Bressan, Håvard Mokleiv Nygård, and Dominic Seefeldt present the evolution and state of the art of both quantitative forecasting and scenario-based foresight methods that can be applied to help prevent governance breakdown and violent conflict in Europe’s neighbourhood. In the quantitative section, they describe the different phases of conflict forecasting in political science and outline which methodological gaps EU-LISTCO’s quantitative sub-national prediction tool will address to forecast tipping points for violent conflict and governance breakdown. The qualitative section explains EU-LISTCO’s scenario-based foresight methodology for identifying potential tipping points. After comparing both approaches, the authors discuss opportunities for methodological advancements across the boundaries of quantitative forecasting and scenario-based foresight, as well as how they can inform the design of strategic policy options.</w:t>
      </w:r>
    </w:p>
    <w:p>
      <w:pPr>
        <w:pStyle w:val="Heading2"/>
      </w:pPr>
      <w:r>
        <w:t>853.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2025:</w:t>
      </w:r>
      <w:r>
        <w:t xml:space="preserve"> A Group Delphi on economic perspectives on climate policy measures. A basis for informing a Citizen Forum — https://doi.org/10.14512/gaia.34.3.11</w:t>
      </w:r>
    </w:p>
    <w:p>
      <w:pPr/>
      <w:r>
        <w:rPr>
          <w:b/>
        </w:rPr>
        <w:t>Shared claim-specific concepts:</w:t>
      </w:r>
      <w:r>
        <w:t xml:space="preserve"> greenhouse, gas, basis, delphi, expert, asked; EU scope visible. This is a provisional connection, not an outcome finding.</w:t>
      </w:r>
    </w:p>
    <w:p>
      <w:pPr>
        <w:pStyle w:val="SourceNote"/>
      </w:pPr>
      <w:r>
        <w:rPr>
          <w:b/>
        </w:rPr>
        <w:t>Available abstract (not full text):</w:t>
      </w:r>
      <w:r>
        <w:t xml:space="preserve"> How do economic and consumer researchers assess the different EU policy options to reach net zero greenhouse gas emissions by 2050? The research team of the EU project REAL-DEAL convened twelve experts to evaluate economic measures to implement the Green Deal objectives. This information was one of the major inputs for a subsequent Citizen Forum in Berlin, Germany.As one component of the EU project, REAL-DEAL, the authors conducted a Group Delphi involving experts from economics and consumer research. Group Delphi processes represent participatory formats aimed at providing a more accurate, fair, and complete representation of expert judgments regarding a specific topic. During the Delphi process in Berlin, twelve experts, representing different schools of economic thought, were asked to assess and evaluate economic instruments and measures to implement the Green Deal objectives with a focus on transport, housing, nutrition, and overarching economic issues related to climate protection. The results of the Delphi revealed a large diversity among the experts, in particular on the issue of state interventions into the economy. However, there was broad consensus on rejecting subsidies that encourage non-sustainable practices, and on recommending effective carbon pricing. The outcome of the Delphi was used as information for a subsequent Citizen Forum with randomly selected citizens</w:t>
      </w:r>
    </w:p>
    <w:p>
      <w:pPr/>
      <w:r>
        <w:rPr>
          <w:b/>
        </w:rPr>
        <w:t>POSSIBLE 2025:</w:t>
      </w:r>
      <w:r>
        <w:t xml:space="preserve"> Freshwater restoration effects on biodiversity and ecosystem services: a Delphi survey — https://doi.org/10.1111/rec.70119</w:t>
      </w:r>
    </w:p>
    <w:p>
      <w:pPr/>
      <w:r>
        <w:rPr>
          <w:b/>
        </w:rPr>
        <w:t>Shared claim-specific concepts:</w:t>
      </w:r>
      <w:r>
        <w:t xml:space="preserve"> delphi, expert, use, methods; EU scope visible. This is a provisional connection, not an outcome finding.</w:t>
      </w:r>
    </w:p>
    <w:p>
      <w:pPr>
        <w:pStyle w:val="SourceNote"/>
      </w:pPr>
      <w:r>
        <w:rPr>
          <w:b/>
        </w:rPr>
        <w:t>Available abstract (not full text):</w:t>
      </w:r>
      <w:r>
        <w:t xml:space="preserve"> Abstract Introduction Freshwater ecosystem restoration is vital for halting biodiversity loss, enhancing resilience, and securing ecosystem services amid climate and land use change. With major initiatives like the United Nations Decade on Ecosystem Restoration and the European Union's Nature Restoration Regulation gaining momentum, identifying multifunctional restoration strategies is increasingly important. Objectives This study examines which restoration measures in rivers, peatlands, and other wetlands deliver consistent benefits for both biodiversity and ecosystem services—key goals under EU restoration policies. Methods A structured Delphi survey was conducted with European experts in ecological restoration and ecosystem services. Restoration measures were compiled from scientific and gray literature, categorized into standardized types, and screened for data gaps. Measures with limited evidence were prioritized for expert evaluation. Experts assessed the expected effects of each measure on biodiversity and 18 ecosystem services through two survey rounds. Results Most restoration measures—especially hydrological and morphological interventions in rivers and vegetation‐based actions in peatlands—were expected to strongly benefit biodiversity. Many also enhanced multiple ecosystem services, with river interventions such as restoring natural flow, channel structure, and habi</w:t>
      </w:r>
    </w:p>
    <w:p>
      <w:pPr/>
      <w:r>
        <w:rPr>
          <w:b/>
        </w:rPr>
        <w:t>POSSIBLE 2025:</w:t>
      </w:r>
      <w:r>
        <w:t xml:space="preserve"> An Eco‐Social Policy Mix for 1.5°C Lifestyles: A Multi‐Country Policy Delphi Analysis — https://doi.org/10.1111/rego.12655</w:t>
      </w:r>
    </w:p>
    <w:p>
      <w:pPr/>
      <w:r>
        <w:rPr>
          <w:b/>
        </w:rPr>
        <w:t>Shared claim-specific concepts:</w:t>
      </w:r>
      <w:r>
        <w:t xml:space="preserve"> reduction, delphi, about, approach; EU scope visible. This is a provisional connection, not an outcome finding.</w:t>
      </w:r>
    </w:p>
    <w:p>
      <w:pPr>
        <w:pStyle w:val="SourceNote"/>
      </w:pPr>
      <w:r>
        <w:rPr>
          <w:b/>
        </w:rPr>
        <w:t>Available abstract (not full text):</w:t>
      </w:r>
      <w:r>
        <w:t xml:space="preserve"> ABSTRACT Bridging the gap between welfare and climate policies is essential for simultaneously pursuing increased well‐being and reduced carbon emissions. This study uses a policy Delphi approach, involving experts and stakeholders from five European countries: Germany, Hungary, Latvia, Spain, and Sweden, to assess the perceived desirability and feasibility of six eco‐social policies for enabling 1.5°C lifestyles. The results show that eco‐social policies are challenged by current growth and work paradigms, which transcend welfare‐regime‐related, ideological, social, and institutional rationales. Of the selected policies, stakeholders found low‐efficiency housing retrofits the most desirable, but income caps the least desirable. Worktime reduction, job guarantees, and income ceilings raise deep concerns over work, motivation, and consumption. However, universal basic services, free public transport, and public renovation raise concerns about service efficiency, innovation incentives, and welfare entitlement. Stakeholders agreed that eco‐social policies are desirable and feasible, but only when combined in a way that balances social and environmental impacts. They believe it might be easier to address challenges in understanding and implementing these policies if they were part of a broader, coordinated approach at a supranational level, rather than isolated, single‐issue polici</w:t>
      </w:r>
    </w:p>
    <w:p>
      <w:pPr/>
      <w:r>
        <w:rPr>
          <w:b/>
        </w:rPr>
        <w:t>POSSIBLE 2024:</w:t>
      </w:r>
      <w:r>
        <w:t xml:space="preserve"> Factors Influencing Greenhouse Gas Reduction Measures in European Ports: Implications for Sustainable Investing — https://doi.org/10.3390/jrfm17080329</w:t>
      </w:r>
    </w:p>
    <w:p>
      <w:pPr/>
      <w:r>
        <w:rPr>
          <w:b/>
        </w:rPr>
        <w:t>Shared claim-specific concepts:</w:t>
      </w:r>
      <w:r>
        <w:t xml:space="preserve"> reduction, greenhouse, gas, used, methods; EU scope visible. This is a provisional connection, not an outcome finding.</w:t>
      </w:r>
    </w:p>
    <w:p>
      <w:pPr>
        <w:pStyle w:val="SourceNote"/>
      </w:pPr>
      <w:r>
        <w:rPr>
          <w:b/>
        </w:rPr>
        <w:t>Available abstract (not full text):</w:t>
      </w:r>
      <w:r>
        <w:t xml:space="preserve"> European Union cargo and container ports are under pressure to reduce GHG emissions and achieve carbon neutrality by 2050, as mandated by the European Commission. The pace of progress varies among ports. This study examined the characteristics influencing GHG reduction measures in European cargo and container ports and their implications for sustainable investing. The methods used in this study, such as linear regression models to analyze predictive variables, can be applied in sustainable investing to assess which factors most strongly predict a company’s environmental, social, and governance performance. Using linear regression models to analyze data from the 33 busiest European ports, we identified five predictive variables: port size, cargo mix, surrounding population density, access to the sea, and the economic wealth of the host country. Our findings revealed that the port size significantly correlates with the adoption of measures to reduce scope 1, 2, and 3 emissions. This study underscores the importance of contextual and operational factors in evaluating sustainability efforts across sectors. The results contribute to drawing parallels with the field of sustainable investing within finance. This offers valuable insights for sustainable investing, emphasizing the importance of considering various contextual and operational factors when evaluating the sustainability eff</w:t>
      </w:r>
    </w:p>
    <w:p>
      <w:pPr/>
      <w:r>
        <w:rPr>
          <w:b/>
        </w:rPr>
        <w:t>POSSIBLE 2024:</w:t>
      </w:r>
      <w:r>
        <w:t xml:space="preserve"> Greenhouse gas emission reduction potential in road tunnels – Can we reach the European Union goals with existing materials and technologies? — https://doi.org/10.1016/j.tust.2024.106011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To achieve the European Uniońs climate goals, the Norwegian transport sector has committed to decrease the Greenhouse gas (GHG) emissions by 2030. For infrastructure projects, the GHG emissions from construction must be reduced by 40 %, while the emissions from maintenance must be cut by 50%. This paper investigates how realistic the GHG emission reduction goals are, if available low carbon materials and technologies are fully adopted. To examine this, we have chosen a typical Norwegian road tunnel from which two carbon emission scenarios are presented. While tunnels represent a specific subset of road infrastructure, this study showcases that implementing sustainable practices in drill and blast tunnel construction can align with the European Union’s ambitious 2030 targets. Besides this, the findings can assist stakeholders to get advice on the environmental impacts of tunnel designs.</w:t>
      </w:r>
    </w:p>
    <w:p>
      <w:pPr/>
      <w:r>
        <w:rPr>
          <w:b/>
        </w:rPr>
        <w:t>POSSIBLE 2024:</w:t>
      </w:r>
      <w:r>
        <w:t xml:space="preserve"> Evolution and Impact of the European Union's Energy Policy: From Fossil Fuels to Renewable Energy and Greenhouse Gas Emissions Reduction — https://doi.org/10.35808/ersj/3352</w:t>
      </w:r>
    </w:p>
    <w:p>
      <w:pPr/>
      <w:r>
        <w:rPr>
          <w:b/>
        </w:rPr>
        <w:t>Shared claim-specific concepts:</w:t>
      </w:r>
      <w:r>
        <w:t xml:space="preserve"> reduction, greenhouse, gas, emission, further, approach; EU scope visible. This is a provisional connection, not an outcome finding.</w:t>
      </w:r>
    </w:p>
    <w:p>
      <w:pPr>
        <w:pStyle w:val="SourceNote"/>
      </w:pPr>
      <w:r>
        <w:rPr>
          <w:b/>
        </w:rPr>
        <w:t>Available abstract (not full text):</w:t>
      </w:r>
      <w:r>
        <w:t xml:space="preserve"> Purpose: This scientific work focuses on analyzing the energy transformation in the European Union (EU) from 2000 to 2021, considering the shift from fossil fuels to renewable energy sources and strategies for reducing greenhouse gas emissions.The research aims to understand how the EU's energy policy has influenced the structure of energy production and consumption, as well as the emission of greenhouse gases in its member states, with particular emphasis on key initiatives such as the Kyoto Protocol, the 2020 climate and energy package, and the European Green Deal.Design/methodology/approach: Utilizing a comprehensive dataset and a variety of research methods, this work provides empirical insights into the effects of the EU's energy policy.The analysis examines the impact of implemented initiatives and regulations on the energy mix, noting an increase in the share of renewable energy and a decrease in GHG emissions.Findings: The study revealed that these initiatives and regulations have contributed to a significant change in the energy mix, marking an increase in renewable energy's share and a decline in GHG emissions.However, the research also uncovers challenges and disparities in achieving these goals among different member states.Practical implications: This work makes a significant contribution to the discussion on the efficiency and future directions of the EU's energy </w:t>
      </w:r>
    </w:p>
    <w:p>
      <w:pPr>
        <w:pStyle w:val="Heading2"/>
      </w:pPr>
      <w:r>
        <w:t>854.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2021:</w:t>
      </w:r>
      <w:r>
        <w:t xml:space="preserve"> Assessing the Impact of Water Efficiency Policies on Qatar’s Electricity and Water Sectors — https://doi.org/10.3390/en14144348</w:t>
      </w:r>
    </w:p>
    <w:p>
      <w:pPr/>
      <w:r>
        <w:rPr>
          <w:b/>
        </w:rPr>
        <w:t>Shared claim-specific concepts:</w:t>
      </w:r>
      <w:r>
        <w:t xml:space="preserve"> different, water, policies, scarcity; EU scope not established. This is a provisional connection, not an outcome finding.</w:t>
      </w:r>
    </w:p>
    <w:p>
      <w:pPr>
        <w:pStyle w:val="SourceNote"/>
      </w:pPr>
      <w:r>
        <w:rPr>
          <w:b/>
        </w:rPr>
        <w:t>Available abstract (not full text):</w:t>
      </w:r>
      <w:r>
        <w:t xml:space="preserve"> Water and electricity have a unique relationship in the modern world as one requires the other in a complex system of networks to supply the utility to the customers. This energy–water interaction is especially peculiar in the Gulf Cooperation Council, where there are limited water resources, but extremely high use rates. Qatar provides a unique case in terms of extreme water scarcity and excessive water use. To understand the intricate network, this paper establishes an updated and comprehensive qualitative model of the water system in the country with the help of a water balance and system dynamics (causal loop diagram) methodology. Regression estimates are then used to estimate future water and energy consumption in addition to carbon dioxide emissions until the year 2050. Finally, system dynamics (stock and flow diagram) is used to determine the supply impacts of efficiency policies including limiting of groundwater abstraction to only 50 million m3, reduction of water consumption in the household, commercial and industrial sector by 10%, and gradual increase in the share of reverse osmosis (RO)-produced desalinated water to 50% in order to assess the supply volume, electricity consumption and CO2 emissions. The efficient use of water in different sectors of the economy results in a combined saving of 1222 GWh (8.1%) or 594,000 tons CO2. Furthermore, by moving to membrane-b</w:t>
      </w:r>
    </w:p>
    <w:p>
      <w:pPr/>
      <w:r>
        <w:rPr>
          <w:b/>
        </w:rPr>
        <w:t>POSSIBLE 2020:</w:t>
      </w:r>
      <w:r>
        <w:t xml:space="preserve"> A review of climate-change impact and adaptation studies for the water sector in Thailand — https://doi.org/10.1088/1748-9326/abce80</w:t>
      </w:r>
    </w:p>
    <w:p>
      <w:pPr/>
      <w:r>
        <w:rPr>
          <w:b/>
        </w:rPr>
        <w:t>Shared claim-specific concepts:</w:t>
      </w:r>
      <w:r>
        <w:t xml:space="preserve"> several, water; EU scope not established. This is a provisional connection, not an outcome finding.</w:t>
      </w:r>
    </w:p>
    <w:p>
      <w:pPr>
        <w:pStyle w:val="SourceNote"/>
      </w:pPr>
      <w:r>
        <w:rPr>
          <w:b/>
        </w:rPr>
        <w:t>Available abstract (not full text):</w:t>
      </w:r>
      <w:r>
        <w:t xml:space="preserve"> Abstract Thailand plays a central economic and policy-making role in Southeast Asia. Although climate change adaptation is being mainstreamed in Thailand, a well-organized overview of the impacts of climate change and potential adaptation measures has been unavailable to date. Here we present a comprehensive review of climate-change impact studies that focused on the Thai water sector, based on a literature review of six sub-sectors: riverine hydrology, sediment erosion, coastal erosion, forest hydrology, agricultural hydrology, and urban hydrology. Our review examined the long-term availability of observational data, historical changes, projected changes in key variables, and the availability of economic assessments and their implications for adaptation actions. Although some basic hydrometeorological variables have been well monitored, specific historical changes due to climate change have seldom been detected. Furthermore, although numerous future projections have been proposed, the likely changes due to climate change remain unclear due to a general lack of systematic multi-model and multi-scenario assessments and limited spatiotemporal coverage of the study area. Several gaps in the research were identified, and ten research recommendations are presented. While the information contained herein contributes to state-of-the-art knowledge on the impact of climate change on the</w:t>
      </w:r>
    </w:p>
    <w:p>
      <w:pPr/>
      <w:r>
        <w:rPr>
          <w:b/>
        </w:rPr>
        <w:t>POSSIBLE 2019:</w:t>
      </w:r>
      <w:r>
        <w:t xml:space="preserve"> Evaluation of software to construct genetic linkage maps in plants — https://doi.org/10.11606/d.11.2019.tde-28082019-142400</w:t>
      </w:r>
    </w:p>
    <w:p>
      <w:pPr/>
      <w:r>
        <w:rPr>
          <w:b/>
        </w:rPr>
        <w:t>Shared claim-specific concepts:</w:t>
      </w:r>
      <w:r>
        <w:t xml:space="preserve"> several, evaluate, different; EU scope not established. This is a provisional connection, not an outcome finding.</w:t>
      </w:r>
    </w:p>
    <w:p>
      <w:pPr>
        <w:pStyle w:val="SourceNote"/>
      </w:pPr>
      <w:r>
        <w:rPr>
          <w:b/>
        </w:rPr>
        <w:t>Available abstract (not full text):</w:t>
      </w:r>
      <w:r>
        <w:t xml:space="preserve"> Evaluation of software to construct genetic linkage maps in plantsGenetic maps are useful tools in breeding programs and evolutionary studies.Since the publication of the first map, several concepts have been proposed and implemented in various mapping software.Each software presents different characteristics for the construction of maps.For example, aspects such as availability of source code, licenses, tutorials, and operating system need to be considered.There are also important points related to the statistical methods employed.In this context, the users' choice can often be a complicated task.The objectives here were: i) to present the main software with free licenses developed in recent years; ii) construct linkage maps using these software and, iii) evaluate them from the point of view of users.The software considered were: OneMap, Lep-MAP, HighMap, Lep-MAP2, Flipper, Lep-MAP3, ASMap, and GUSMap.This work can guide researchers about the free tools available to construct genetic maps.</w:t>
      </w:r>
    </w:p>
    <w:p>
      <w:pPr/>
      <w:r>
        <w:rPr>
          <w:b/>
        </w:rPr>
        <w:t>POSSIBLE 2019:</w:t>
      </w:r>
      <w:r>
        <w:t xml:space="preserve"> Evaluation of a constructed wetland for wastewater treatment: Addressing emerging organic contaminants and antibiotic resistant bacteria — https://doi.org/10.1016/j.nbt.2019.05.006</w:t>
      </w:r>
    </w:p>
    <w:p>
      <w:pPr/>
      <w:r>
        <w:rPr>
          <w:b/>
        </w:rPr>
        <w:t>Shared claim-specific concepts:</w:t>
      </w:r>
      <w:r>
        <w:t xml:space="preserve"> several, constructed, evaluate, different, water; EU scope not established. This is a provisional connection, not an outcome finding.</w:t>
      </w:r>
    </w:p>
    <w:p>
      <w:pPr>
        <w:pStyle w:val="SourceNote"/>
      </w:pPr>
      <w:r>
        <w:rPr>
          <w:b/>
        </w:rPr>
        <w:t>Available abstract (not full text):</w:t>
      </w:r>
      <w:r>
        <w:t xml:space="preserve"> The occurrence of emerging organic contaminants (EOCs) in wastewaters and the inability of the conventional wastewater treatments plants to deal with them have been pointed out several times over the last few years. As a result, remnants of those compounds released into the aquatic environment present a potential risk for public health. Constructed wetlands (CWs) have been proposed as environmentally friendly, low-cost alternative systems with satisfactory results for different types of contaminants. This study aimed to evaluate the efficiency of a CW system, planted with the halophyte Juncus acutus, to eliminate bisphenol A (BPA) and two antibiotics, namely ciprofloxacin (CIP) and sulfamethoxazole (SMX) under different operating conditions. The behavior of Escherichia coli and enterococcal populations in terms of changes in their resistance profile for the selected antibiotics and the abundance of two resistance genes (qnrA and sul1) were also examined. BPA and CIP were significantly removed by the CW, with an overall removal of 76.2% and 93.9% respectively and with the plants playing a vital role. In contrast, SMX was not significantly eliminated. Moreover, fluctuations in the antibiotic resistance profile of bacteria were observed. Treatment processes affected the response of the two selected bacterial indicators, depending on the conditions employed in each case. Furthermor</w:t>
      </w:r>
    </w:p>
    <w:p>
      <w:pPr/>
      <w:r>
        <w:rPr>
          <w:b/>
        </w:rPr>
        <w:t>POSSIBLE 2018:</w:t>
      </w:r>
      <w:r>
        <w:t xml:space="preserve"> Cross-Sectoral Analysis of Water Usage in Thailand Using Input–Output Model — https://doi.org/10.4186/ej.2018.22.6.93</w:t>
      </w:r>
    </w:p>
    <w:p>
      <w:pPr/>
      <w:r>
        <w:rPr>
          <w:b/>
        </w:rPr>
        <w:t>Shared claim-specific concepts:</w:t>
      </w:r>
      <w:r>
        <w:t xml:space="preserve"> several, constructed, water, policies; EU scope not established. This is a provisional connection, not an outcome finding.</w:t>
      </w:r>
    </w:p>
    <w:p>
      <w:pPr>
        <w:pStyle w:val="SourceNote"/>
      </w:pPr>
      <w:r>
        <w:rPr>
          <w:b/>
        </w:rPr>
        <w:t>Available abstract (not full text):</w:t>
      </w:r>
      <w:r>
        <w:t xml:space="preserve"> Thailand currently ranks third among the most water-intensive countries in the world.The percentage shares of water demand in the country's agriculture, manufacturing, and service sectors, which are major economic sectors, are 75%, 3%, and 5%, respectively.With the continuous growth of the economy, the demand for water is steadily rising, while the expansion of water supply remains constrained by several factors and the water supply is also affected by climate change.This study uses the input-output model to examine the relationship between water usage and the economic system in Thailand in 2010.The constructed input-output model is the integration of the Leontief inverse matrix, the matrix of water usage, and the details of the gross domestic product (GDP).The model indicates the linkage between GDP expansion and water demand in both direct and indirect usage.The computation result obtained from the model indicates that the agricultural sector is the major water user, with its ratio of direct water use being the highest.The manufacturing sector records the highest ratio of indirect water use, which is influenced by its supply chain comprising the agriculture and service sectors.This model and its results may serve as the main foundation for the design of economic and environmental policies oriented toward optimizing water demand and supply.The model can also be extended and en</w:t>
      </w:r>
    </w:p>
    <w:p>
      <w:pPr/>
      <w:r>
        <w:rPr>
          <w:b/>
        </w:rPr>
        <w:t>POSSIBLE 2018:</w:t>
      </w:r>
      <w:r>
        <w:t xml:space="preserve"> Fostering Cross-Sector Collaboration to Promote Innovation in the Water Sector — https://doi.org/10.3390/su10114154</w:t>
      </w:r>
    </w:p>
    <w:p>
      <w:pPr/>
      <w:r>
        <w:rPr>
          <w:b/>
        </w:rPr>
        <w:t>Shared claim-specific concepts:</w:t>
      </w:r>
      <w:r>
        <w:t xml:space="preserve"> water, policies; EU scope visible. This is a provisional connection, not an outcome finding.</w:t>
      </w:r>
    </w:p>
    <w:p>
      <w:pPr>
        <w:pStyle w:val="SourceNote"/>
      </w:pPr>
      <w:r>
        <w:rPr>
          <w:b/>
        </w:rPr>
        <w:t>Available abstract (not full text):</w:t>
      </w:r>
      <w:r>
        <w:t xml:space="preserve"> Ongoing global climate change, growing population and the intensification of economic activities, increase pressure on water resources, a situation many see as a water governance crisis. Water-related issues are becoming a limiting factor for sustainable economic growth and require a collaborative and interdisciplinary approach, to foster innovative solutions. This paper provides an evidence-based contribution to understanding Triple Helix Model (THM) relations and the path to innovation policy in the water sector. The analysis focuses on the interaction between university–industry–government, with specific reference to the Murcia region in Southeast Spain. This region combines a chronic shortage of water and a leading role for agriculture. Starting from the experience of a researcher, working for the General Water Council of the Murcia Region, this paper is based on both desk research and in-depth personal interviews with representatives of THM actors. In addition, a questionnaire was forwarded to all those companies in charge of providing water services in the Murcia region. The study has found that stakeholders are not fully cooperative in seeking innovation. The main challenges are the renewal of water-related facilities and the improvement of remote control systems, denitrification and desalination technologies and achieving better energy efficiency. To this aim, THM appro</w:t>
      </w:r>
    </w:p>
    <w:p>
      <w:pPr/>
      <w:r>
        <w:rPr>
          <w:b/>
        </w:rPr>
        <w:t>POSSIBLE 2017:</w:t>
      </w:r>
      <w:r>
        <w:t xml:space="preserve"> Constructed Wetlands for Water Treatment: New Developments — https://doi.org/10.3390/w9060397</w:t>
      </w:r>
    </w:p>
    <w:p>
      <w:pPr/>
      <w:r>
        <w:rPr>
          <w:b/>
        </w:rPr>
        <w:t>Shared claim-specific concepts:</w:t>
      </w:r>
      <w:r>
        <w:t xml:space="preserve"> constructed, different, water; EU scope not established. This is a provisional connection, not an outcome finding.</w:t>
      </w:r>
    </w:p>
    <w:p>
      <w:pPr>
        <w:pStyle w:val="SourceNote"/>
      </w:pPr>
      <w:r>
        <w:rPr>
          <w:b/>
        </w:rPr>
        <w:t>Available abstract (not full text):</w:t>
      </w:r>
      <w:r>
        <w:t xml:space="preserve"> Constructed wetlands (CWs) are currently regarded as established eco-technologies to treat water pollution. Although considered near-natural systems, they are totally engineered solutions for which research has been actively developed over the past decades. This paper provides a brief meta-analysis on the latest scientific publications in the field and an overview of the special issue focused on the new developments in the use of CWs for water treatment. The selected papers cover a wide range of relevant developments in the field, including the use of different CW system designs, the capacity to treat different types of pollutants, and studies aiming at getting a better understanding of the treatment processes in CWs.</w:t>
      </w:r>
    </w:p>
    <w:p>
      <w:pPr/>
      <w:r>
        <w:rPr>
          <w:b/>
        </w:rPr>
        <w:t>POSSIBLE 2017:</w:t>
      </w:r>
      <w:r>
        <w:t xml:space="preserve"> Improved Efficiency of Constructed Wetlands for Oily Water Treatment with Aid of Microbubbles — https://doi.org/10.3303/cet1757090</w:t>
      </w:r>
    </w:p>
    <w:p>
      <w:pPr/>
      <w:r>
        <w:rPr>
          <w:b/>
        </w:rPr>
        <w:t>Shared claim-specific concepts:</w:t>
      </w:r>
      <w:r>
        <w:t xml:space="preserve"> several, constructed, water; EU scope not established. This is a provisional connection, not an outcome finding.</w:t>
      </w:r>
    </w:p>
    <w:p>
      <w:pPr>
        <w:pStyle w:val="SourceNote"/>
      </w:pPr>
      <w:r>
        <w:rPr>
          <w:b/>
        </w:rPr>
        <w:t>Available abstract (not full text):</w:t>
      </w:r>
      <w:r>
        <w:t xml:space="preserve"> The industrial sector has adopted practices for minimize the impacts of large water use on water resources. Among these practices, the treatment of effluents is the most important because ensures that wastewater will be properly disposed and allows its reuse. The constant use of oil in industry causes a significant generation of oily effluents which leads to the need for effective treatment for this type of pollutant. Constructed wetlands (CWs) are systems created for the purpose of treating anthropogenic such as municipal or industrial wastewater. CWs are a cost-effective and technically feasible approach to treating wastewater and runoff for several reasons like low expenses (build, operation and maintenance), operation and maintenance periodic only, on-site labor and water reuse and recycling facilitation. The extremely adaptable sizing of constructed wetlands allows modifications to improve this treatment efficiency. For oily wastewater treatment, CWs filled with floating macrophytes can receive microbubbles nozzles in order to improve the system, increasing the drag of oil to the surface and the supply of oxygen to the aerobic microorganisms. In this work, the increase of the efficiency of oily wastewater treatment in constructed wetlands by addition of microbubbles was evaluated. Computational fluid dynamics (CFD) simulations in the software ANSYS to validate the fluid dy</w:t>
      </w:r>
    </w:p>
    <w:p>
      <w:pPr>
        <w:pStyle w:val="Heading2"/>
      </w:pPr>
      <w:r>
        <w:t>855.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2024:</w:t>
      </w:r>
      <w:r>
        <w:t xml:space="preserve"> For whom do site-specific art structures provide territorial services? The case of European peripheral areas — https://doi.org/10.1080/14702029.2024.2315844</w:t>
      </w:r>
    </w:p>
    <w:p>
      <w:pPr/>
      <w:r>
        <w:rPr>
          <w:b/>
        </w:rPr>
        <w:t>Shared claim-specific concepts:</w:t>
      </w:r>
      <w:r>
        <w:t xml:space="preserve"> specific, peripheral, island, local; EU scope visible. This is a provisional connection, not an outcome finding.</w:t>
      </w:r>
    </w:p>
    <w:p>
      <w:pPr>
        <w:pStyle w:val="SourceNote"/>
      </w:pPr>
      <w:r>
        <w:rPr>
          <w:b/>
        </w:rPr>
        <w:t>Available abstract (not full text):</w:t>
      </w:r>
      <w:r>
        <w:t xml:space="preserve"> What type of site-specific outdoor art structure is more likely to induce and catalyze artistic territorial services and for whom are these services intended for? Answering this question will help the understanding of territorial impacts of such art projects in European peripheric areas. This article is based on the analysis of a European database on 128 site-specific outdoor visual art structures informed by 36 distinct criteria like accessibility, location, institutional statuses and funding, initiator and audiences, site-specificness criteria, etc. A typology, produced by the statistical analysis of this database, shows that three main intelligible categories dominate site-specific art initiatives: ‘art-washing sculpture parks’, ‘territorial art of peripheries’ and ‘eco-artistic front of art projects’. They all have different kinds of specific interactions, sometimes critical, with the local territory. They act differently as artistic territorial services (ATS) providers. ATS in Spain (Cesar Manrique artworks in Lanzarote Island) show how art is transformed into mass-tourism attraction; in France the Forêt d’ Art Contemporain in Nouvelle-Aquitaine and in Greece, the Vovousa Festival in Epirus, show how art can reinforce territorial identity and environmental commitment, but with very mixed benefits to the local economy.</w:t>
      </w:r>
    </w:p>
    <w:p>
      <w:pPr/>
      <w:r>
        <w:rPr>
          <w:b/>
        </w:rPr>
        <w:t>POSSIBLE 2024:</w:t>
      </w:r>
      <w:r>
        <w:t xml:space="preserve"> Active Labour Market Policies and Youth Employment in European Peripheries — https://doi.org/10.17645/pag.7958</w:t>
      </w:r>
    </w:p>
    <w:p>
      <w:pPr/>
      <w:r>
        <w:rPr>
          <w:b/>
        </w:rPr>
        <w:t>Shared claim-specific concepts:</w:t>
      </w:r>
      <w:r>
        <w:t xml:space="preserve"> implemented, peripheral, emphasis; EU scope visible. This is a provisional connection, not an outcome finding.</w:t>
      </w:r>
    </w:p>
    <w:p>
      <w:pPr>
        <w:pStyle w:val="SourceNote"/>
      </w:pPr>
      <w:r>
        <w:rPr>
          <w:b/>
        </w:rPr>
        <w:t>Available abstract (not full text):</w:t>
      </w:r>
      <w:r>
        <w:t xml:space="preserve"> This thematic issue discusses the design, implementation, and impact of youth-oriented active labour market policies in Europe, with a particular emphasis on its peripheries. The need to address territorialised, youth-oriented active labour market policies is pressing for several reasons. For one, the whole socioeconomic paradigm is undergoing fundamental changes due to the dual transition (digital and green) that is expected to have an impact on the rural/urban divide. Moreover, at the subnational level, youth unemployment in certain regions is a more pressing problem than suggested by existing studies, which have mostly focused on the national level. This implies that closer inspection of the subnational level, in general, and the peripheral regions, in particular, will reveal more marked cross-national differences. This thematic issue offers a point of departure for the suggested territorialised approach to the study of how active labour market policies for young people are formulated and implemented, and which effects they have on their target groups.</w:t>
      </w:r>
    </w:p>
    <w:p>
      <w:pPr/>
      <w:r>
        <w:rPr>
          <w:b/>
        </w:rPr>
        <w:t>POSSIBLE 2024:</w:t>
      </w:r>
      <w:r>
        <w:t xml:space="preserve"> European statecraft in the Pacific Islands — https://doi.org/10.4324/9781003496441-11</w:t>
      </w:r>
    </w:p>
    <w:p>
      <w:pPr/>
      <w:r>
        <w:rPr>
          <w:b/>
        </w:rPr>
        <w:t>Shared claim-specific concepts:</w:t>
      </w:r>
      <w:r>
        <w:t xml:space="preserve"> island, region, potential; EU scope visible. This is a provisional connection, not an outcome finding.</w:t>
      </w:r>
    </w:p>
    <w:p>
      <w:pPr>
        <w:pStyle w:val="SourceNote"/>
      </w:pPr>
      <w:r>
        <w:rPr>
          <w:b/>
        </w:rPr>
        <w:t>Available abstract (not full text):</w:t>
      </w:r>
      <w:r>
        <w:t xml:space="preserve"> This chapter analyses the European Union, France, Germany, and the United Kingdom statecraft in the Pacific Islands region. Like other partners, Europe has gained a sudden interest in the ‘Indo-Pacific’ as part of the emerging geostrategic competition between the United States and China – – portraying Europe as a ‘mediator’ to prevent conflict. European countries have historically had colonial relationships with many Pacific Island states, but in the last few decades, their statecraft has waned to the point of invisibility. Until very recently, only France was actively deploying statecraft within and through its territories, French Polynesia, New Caledonia, and Wallis and Futuna. But with geopolitical competition, Europe has begun deploying tools of statecraft in the region again: through visits and the establishment of Special Envoys. This chapter analyses the intention and effectiveness of such statecraft, and the potential implications for the Pacific Islands region.</w:t>
      </w:r>
    </w:p>
    <w:p>
      <w:pPr/>
      <w:r>
        <w:rPr>
          <w:b/>
        </w:rPr>
        <w:t>POSSIBLE 2023:</w:t>
      </w:r>
      <w:r>
        <w:t xml:space="preserve"> European Academy of Neurology/Peripheral Nerve Society Guideline on diagnosis and treatment of Guillain–Barré syndrome — https://doi.org/10.1111/ene.16073</w:t>
      </w:r>
    </w:p>
    <w:p>
      <w:pPr/>
      <w:r>
        <w:rPr>
          <w:b/>
        </w:rPr>
        <w:t>Shared claim-specific concepts:</w:t>
      </w:r>
      <w:r>
        <w:t xml:space="preserve"> specific, peripheral; EU scope visible. This is a provisional connection, not an outcome finding.</w:t>
      </w:r>
    </w:p>
    <w:p>
      <w:pPr>
        <w:pStyle w:val="SourceNote"/>
      </w:pPr>
      <w:r>
        <w:rPr>
          <w:b/>
        </w:rPr>
        <w:t>Available abstract (not full text):</w:t>
      </w:r>
      <w:r>
        <w:t xml:space="preserve"> Guillain-Barré syndrome (GBS) is an acute polyradiculoneuropathy. Symptoms may vary greatly in presentation and severity. Besides weakness and sensory disturbances, patients may have cranial nerve involvement, respiratory insufficiency, autonomic dysfunction and pain. To develop an evidence-based guideline for the diagnosis and treatment of GBS, using Grading of Recommendations, Assessment, Development and Evaluation (GRADE) methodology a Task Force (TF) of the European Academy of Neurology (EAN) and the Peripheral Nerve Society (PNS) constructed 14 Population/Intervention/Comparison/Outcome questions (PICOs) covering diagnosis, treatment and prognosis of GBS, which guided the literature search. Data were extracted and summarised in GRADE Summaries of Findings (for treatment PICOs) or Evidence Tables (for diagnostic and prognostic PICOs). Statements were prepared according to GRADE Evidence-to-Decision (EtD) frameworks. For the six intervention PICOs, evidence-based recommendations are made. For other PICOs, good practice points (GPPs) are formulated. For diagnosis, the principal GPPs are: GBS is more likely if there is a history of recent diarrhoea or respiratory infection; CSF examination is valuable, particularly when the diagnosis is less certain; electrodiagnostic testing is advised to support the diagnosis; testing for anti-ganglioside antibodies is of limited clinical va</w:t>
      </w:r>
    </w:p>
    <w:p>
      <w:pPr/>
      <w:r>
        <w:rPr>
          <w:b/>
        </w:rPr>
        <w:t>POSSIBLE 2023:</w:t>
      </w:r>
      <w:r>
        <w:t xml:space="preserve"> Rethinking regional attractiveness in the Balearic Islands region of Spain — https://doi.org/10.1787/47bf5ec1-en</w:t>
      </w:r>
    </w:p>
    <w:p>
      <w:pPr/>
      <w:r>
        <w:rPr>
          <w:b/>
        </w:rPr>
        <w:t>Shared claim-specific concepts:</w:t>
      </w:r>
      <w:r>
        <w:t xml:space="preserve"> region, sustainable, environment; EU scope visible. This is a provisional connection, not an outcome finding.</w:t>
      </w:r>
    </w:p>
    <w:p>
      <w:pPr>
        <w:pStyle w:val="SourceNote"/>
      </w:pPr>
      <w:r>
        <w:rPr>
          <w:b/>
        </w:rPr>
        <w:t>Available abstract (not full text):</w:t>
      </w:r>
      <w:r>
        <w:t xml:space="preserve"> The impact of the COVID-19 crisis, compounded by the consequences of Russia’s war of aggression against Ukraine and existing megatrends (e.g. climate change, globalisation, digitalisation and demographic change), continue to produce asymmetric effects within and between countries and regions, with the scope and scale depending on their unique characteristics. The OECD’s work on rethinking regional attractiveness policies in the new global environment, is undertaken with the support of the European Commission (DG REGIO) and is a priority activity of the Regional Development Policy Committee (RDPC). Working closely with 15 regions in 5 OECD member countries (Ireland, Italy, Portugal, Spain and Sweden), it aims to help regional and national policy-makers to better understand the position of regions in an evolving global context, including emerging challenges and opportunities, and identify the policy levers at their disposal to enhance the attractiveness of regions to the key international target groups of investors (including exporters), talent, and visitors. In doing so, it seeks to support regions transition towards new territorial development policies that promote inclusive, sustainable, and resilient development, while enhancing regional attractiveness.</w:t>
      </w:r>
    </w:p>
    <w:p>
      <w:pPr/>
      <w:r>
        <w:rPr>
          <w:b/>
        </w:rPr>
        <w:t>POSSIBLE 2022:</w:t>
      </w:r>
      <w:r>
        <w:t xml:space="preserve"> International Open Innovation Strategies of Firms in European Peripheral Regions — https://doi.org/10.3390/joitmc8010007</w:t>
      </w:r>
    </w:p>
    <w:p>
      <w:pPr/>
      <w:r>
        <w:rPr>
          <w:b/>
        </w:rPr>
        <w:t>Shared claim-specific concepts:</w:t>
      </w:r>
      <w:r>
        <w:t xml:space="preserve"> peripheral, local, used; EU scope visible. This is a provisional connection, not an outcome finding.</w:t>
      </w:r>
    </w:p>
    <w:p>
      <w:pPr>
        <w:pStyle w:val="SourceNote"/>
      </w:pPr>
      <w:r>
        <w:rPr>
          <w:b/>
        </w:rPr>
        <w:t>Available abstract (not full text):</w:t>
      </w:r>
      <w:r>
        <w:t xml:space="preserve"> The involvement of companies in different open innovation activities, through knowledge outputs and inputs, has become increasingly important for the success of companies.However, the existing literature on open innovation is scarce concerning the internationalization process of companies.The internationalization of companies is fundamental in the continuous search to increase the performance of companies externally.The objective of the present research is to explain the strategic processes in the internationalization of companies located in peripheral regions at the time of the COVID-19 pandemic from the perspective of dynamic capabilities.The sample used for this research is composed of seven Portuguese companies.The methodology of qualitative nature is exploratory and uses a case study approach.Regarding the foremost modes of operation in international markets and strategies, we find that (1) companies have partnerships with local distributors or appoint exclusive importers/distributors, and (2) companies prefer to place their products in the market through their brand, "co-branded" projects with retailers, or "private label" projects.Of the seven companies under study, six use a standardization strategy, and one opts for a configuration-coordination strategy.Our findings clarified the literature on export and internationalization strategies in a peripheral country, allowing</w:t>
      </w:r>
    </w:p>
    <w:p>
      <w:pPr/>
      <w:r>
        <w:rPr>
          <w:b/>
        </w:rPr>
        <w:t>POSSIBLE 2021:</w:t>
      </w:r>
      <w:r>
        <w:t xml:space="preserve"> The winter urban heat island: Impacts on cold-related mortality in a highly urbanized European region for present and future climate — https://doi.org/10.1016/j.envint.2021.106530</w:t>
      </w:r>
    </w:p>
    <w:p>
      <w:pPr/>
      <w:r>
        <w:rPr>
          <w:b/>
        </w:rPr>
        <w:t>Shared claim-specific concepts:</w:t>
      </w:r>
      <w:r>
        <w:t xml:space="preserve"> island, region, potential, environment; EU scope visible. This is a provisional connection, not an outcome finding.</w:t>
      </w:r>
    </w:p>
    <w:p>
      <w:pPr>
        <w:pStyle w:val="SourceNote"/>
      </w:pPr>
      <w:r>
        <w:rPr>
          <w:b/>
        </w:rPr>
        <w:t>Available abstract (not full text):</w:t>
      </w:r>
      <w:r>
        <w:t xml:space="preserve"> Exposure to heat has a range of potential negative impacts on human health; hot weather may exacerbate cardiovascular and respiratory illness or lead to heat stroke and death. Urban populations are at increased risk due to the Urban Heat Island (UHI) effect (higher urban temperatures compared with rural ones). This has led to extensive investigation of the summertime UHI and its effects, whereas far less research focuses on the wintertime UHI. Exposure to low temperature also leads to a range of illnesses, and in fact, in the UK, annual cold-related mortality outweighs heat-related mortality. It is not clearly understood to what extent the wintertime UHI may protect against cold related mortality. In this study we quantify the UHI intensity in wintertime for a heavily urbanized UK region (West Midlands, including Birmingham) using a regional weather model, and for the first time, use a health impact assessment (HIA) to estimate the associated impact on cold-related mortality. We show that the population-weighted mean winter UHI intensity was +2.3 °C in Birmingham city center, and comparable with that of summer. Our results suggest a potential protective effect of the wintertime UHI, equivalent to 266 cold-related deaths avoided (~15% of total cold-related mortality over ~11 weeks). When including the impacts of climate change, our results suggest that the number of heat-related</w:t>
      </w:r>
    </w:p>
    <w:p>
      <w:pPr/>
      <w:r>
        <w:rPr>
          <w:b/>
        </w:rPr>
        <w:t>POSSIBLE 2020:</w:t>
      </w:r>
      <w:r>
        <w:t xml:space="preserve"> The EBRD, fail forward neoliberalism and the construction of the European periphery — https://doi.org/10.1177/1035304620916652</w:t>
      </w:r>
    </w:p>
    <w:p>
      <w:pPr/>
      <w:r>
        <w:rPr>
          <w:b/>
        </w:rPr>
        <w:t>Shared claim-specific concepts:</w:t>
      </w:r>
      <w:r>
        <w:t xml:space="preserve"> peripheral, region, external, environment; EU scope visible. This is a provisional connection, not an outcome finding.</w:t>
      </w:r>
    </w:p>
    <w:p>
      <w:pPr>
        <w:pStyle w:val="SourceNote"/>
      </w:pPr>
      <w:r>
        <w:rPr>
          <w:b/>
        </w:rPr>
        <w:t>Available abstract (not full text):</w:t>
      </w:r>
      <w:r>
        <w:t xml:space="preserve"> Abstract The European Bank for Reconstruction and Development is an institution, a set of programmes and policies designed to mark a number of important reforms not just in the post-Soviet space but in the wider European political economy. It is committed to developing a competitive business environment, foreign investment and private sector activity in the post-communist space. The European Bank for Reconstruction and Development is considered to be a key inter-state mechanism enabling member states to negotiate post-communist reforms. The paper reorients analysis of the European Bank for Reconstruction and Development, claiming that existing framings of the role of the EBRD ignore its tangible neoliberalising pressures. It argues that the EBRD works to fundamentally restructure states in the post-communist space in three ways: (1) the configuration of an ‘appropriately’ neoliberal economic space, (2) the construction of subaltern subjectivities in the regional space, and (3) the persistent dominance of expert knowledge and policy practice external to the state. This restructuring is intended to further neoliberalism in the economic space of the region. By uncoupling the European Bank for Reconstruction and Development from a state centric analysis, the paper reveals how the technical aspects of the European Bank for Reconstruction and Development activities configure particul</w:t>
      </w:r>
    </w:p>
    <w:p>
      <w:pPr/>
      <w:r>
        <w:rPr>
          <w:b/>
        </w:rPr>
        <w:t>POSSIBLE 2020:</w:t>
      </w:r>
      <w:r>
        <w:t xml:space="preserve"> RENEWABLE ENERGY PROJECTS ON ISOLATED ISLANDS IN EUROPE: A POLICY REVIEW — https://doi.org/10.32479/ijeep.9683</w:t>
      </w:r>
    </w:p>
    <w:p>
      <w:pPr/>
      <w:r>
        <w:rPr>
          <w:b/>
        </w:rPr>
        <w:t>Shared claim-specific concepts:</w:t>
      </w:r>
      <w:r>
        <w:t xml:space="preserve"> specific, island, local; EU scope visible. This is a provisional connection, not an outcome finding.</w:t>
      </w:r>
    </w:p>
    <w:p>
      <w:pPr>
        <w:pStyle w:val="SourceNote"/>
      </w:pPr>
      <w:r>
        <w:rPr>
          <w:b/>
        </w:rPr>
        <w:t>Available abstract (not full text):</w:t>
      </w:r>
      <w:r>
        <w:t xml:space="preserve"> Island territories that are not connected to the mainland grid have some peculiarities derived from their high level of isolation. For this reason, they are the subject of specific regulation in various European countries under the EU, national and local regulation. In order to deal with the high cost of energy on their territories, the lack of grid stability and the lack of autonomy, many initiatives that promote the introduction of energy self-sufficiency in isolated insular locations have emerged. The present paper is a policy review regarding islands non-interconnected with the mainland grid. The focus is on the key policy issues for the promotion of renewable energy as well as the outcomes of these policies in Greece, Portugal, Spain and France. A discussion of the unified price system, the creation of local markets and the special regulation for energy storage and the demand side management systems are some of the policy proposals cocluded from the present review. In order to overcome all the discussed barriers an approach that reaches across different governance levels with a special focus on the peculiarities of the island systems is needed.Keywords: Isolated electricity systems, Energy policies, Regulatory barriers, Islands, Southern Europe, ReviewJEL Classifications: Q4, Q42, O13DOI: https://doi.org/10.32479/ijeep.9683</w:t>
      </w:r>
    </w:p>
    <w:p>
      <w:pPr/>
      <w:r>
        <w:rPr>
          <w:b/>
        </w:rPr>
        <w:t>POSSIBLE 2019:</w:t>
      </w:r>
      <w:r>
        <w:t xml:space="preserve"> Follow-up of patients after revascularisation for peripheral arterial diseases: a consensus document from the European Society of Cardiology Working Group on Aorta and Peripheral Vascular Diseases and the European Society for Vascular Surgery — https://doi.org/10.1177/2047487319846999</w:t>
      </w:r>
    </w:p>
    <w:p>
      <w:pPr/>
      <w:r>
        <w:rPr>
          <w:b/>
        </w:rPr>
        <w:t>Shared claim-specific concepts:</w:t>
      </w:r>
      <w:r>
        <w:t xml:space="preserve"> specific, peripheral, local; EU scope visible. This is a provisional connection, not an outcome finding.</w:t>
      </w:r>
    </w:p>
    <w:p>
      <w:pPr>
        <w:pStyle w:val="SourceNote"/>
      </w:pPr>
      <w:r>
        <w:rPr>
          <w:b/>
        </w:rPr>
        <w:t>Available abstract (not full text):</w:t>
      </w:r>
      <w:r>
        <w:t xml:space="preserve"> Peripheral arterial diseases comprise different clinical presentations, from cerebrovascular disease down to lower extremity artery disease, from subclinical to disabling symptoms and events. According to clinical presentation, the patient's general condition, anatomical location and extension of lesions, revascularisation may be needed in addition to best medical treatment. The 2017 European Society of Cardiology guidelines in collaboration with the European Society for Vascular Surgery have addressed the indications for revascularisation. While most cases are amenable to either endovascular or surgical revascularisation, maintaining long-term patency is often challenging. Early and late procedural complications, but also local and remote recurrences frequently lead to revascularisation failure. The rationale for surveillance is to propose the accurate implementation of preventive strategies to avoid other cardiovascular events and disease progression and avoid recurrence of symptoms and the need for redo revascularisation. Combined with vascular history and physical examination, duplex ultrasound scanning is the pivotal imaging technique for identifying revascularisation failures. Other non-invasive examinations (ankle and toe brachial index, computed tomography scan, magnetic resonance imaging) at regular intervals can optimise surveillance in specific settings. Currently, o</w:t>
      </w:r>
    </w:p>
    <w:p>
      <w:pPr>
        <w:pStyle w:val="Heading2"/>
      </w:pPr>
      <w:r>
        <w:t>856.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r>
        <w:rPr>
          <w:b/>
        </w:rPr>
        <w:t>POSSIBLE 2018:</w:t>
      </w:r>
      <w:r>
        <w:t xml:space="preserve"> Decoupling energy use and economic growth: Counter evidence from structural effects and embodied energy in trade — https://doi.org/10.1016/j.apenergy.2018.01.044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economic growth from energy consumption is a wide spread attempt to decarbonize economic activities and increase energy security. Almost all members of the European Union have decoupled the two since 2005 as measured by a steady decline in energy intensity, the ratio of final energy consumption and gross domestic product. Economic growth, energy efficiency and structural changes have all contributed to changes in energy intensity of economic activities at the national level. In this article, the authors analyze to what extent decoupling can be attributed to each of these three factors and in particular structural effects, namely deindustrialization and tertiarization, which shifts energy consumption abroad and re-imports it as embodied energy in products. We quantify the effects of structural changes, economic growth and energy efficiency measures as well as embodied energy in trade at the level of economic activities. The methodological approach combines decomposition and input-output analysis to address boundary cases where monetary trade surpluses meet energy trade deficits. Switzerland provides a case in point with the added hurdle of low data availability per economic activity over time. The results show that the share of embodied energy in imports has reached 81% of final energy consumption in economic activities. A comparison of energy intensities with and wit</w:t>
      </w:r>
    </w:p>
    <w:p>
      <w:pPr/>
      <w:r>
        <w:rPr>
          <w:b/>
        </w:rPr>
        <w:t>POSSIBLE 2016:</w:t>
      </w:r>
      <w:r>
        <w:t xml:space="preserve"> Frequency effects and structural change - the Afrikaans preterite — https://doi.org/10.5774/45-0-207</w:t>
      </w:r>
    </w:p>
    <w:p>
      <w:pPr/>
      <w:r>
        <w:rPr>
          <w:b/>
        </w:rPr>
        <w:t>Shared claim-specific concepts:</w:t>
      </w:r>
      <w:r>
        <w:t xml:space="preserve"> structural, article; EU scope not established. This is a provisional connection, not an outcome finding.</w:t>
      </w:r>
    </w:p>
    <w:p>
      <w:pPr>
        <w:pStyle w:val="SourceNote"/>
      </w:pPr>
      <w:r>
        <w:rPr>
          <w:b/>
        </w:rPr>
        <w:t>Available abstract (not full text):</w:t>
      </w:r>
      <w:r>
        <w:t xml:space="preserve"> According to emergent grammar and exemplar theory in cognitive linguistics, the frequency of an item affects its behaviour in terms of structural change. In this article, I illustrate how high frequency items, such as preterital modal auxiliaries and copulas in Afrikaans, resist regularising with the rest of the Afrikaans verbal system. Items with a moderately high frequency can resist change for a time, but succumb to it eventually, such as mog (“might”) and wis (“knew”). While the course of change can also be affected by other factors, such as het (“have”) and had (“had”), and dink (“think”) and gedink/dag/dog (“thought”) show, the data in diachronic Afrikaans corpora from 1911 to 2010 confirm that high frequency items resist structural change to a large extent, while low frequency items do not. This links with the cognitive representation of language and language processing, and illustrates how the use of language shapes the structure of language.</w:t>
      </w:r>
    </w:p>
    <w:p>
      <w:pPr/>
      <w:r>
        <w:rPr>
          <w:b/>
        </w:rPr>
        <w:t>POSSIBLE 2016:</w:t>
      </w:r>
      <w:r>
        <w:t xml:space="preserve"> Comparative Susceptibility and Differential Effects on the Two European Courts: A Study of Grasstops Mobilizations around Religion — https://doi.org/10.1093/ojlr/rww050</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‘Grasstops mobilizations’ in the context of the European Court of Human Rights and the Court of Justice of the European Union refers to legal and political mobilization carried out by cause lawyers, NGOs, religious, secularist and humanist organizations, political figures and national governments, and by transnational networks which may develop within and between the above groups, depending on their stakes in a given issue. In the domain of religion, such grasstops mobilizations may seek to influence what religion-related issues get placed on a court’s agenda and the climate within which the Court takes its decisions on the latter; they are forces at the European and transnational levels potentially influencing the Court’s engagements with and ultimate handling of religion-related cases. This article draws on interviews carried out with various actors engaged with or impacted by mobilizations around the European courts to yield special insight into who mobilizes, for what reasons and to what effects, and into the conditions under which particular political, religious, or NGO actors are influential. Based upon the latter research as well as examination of certain structural differences between the two courts rendering them differently ‘open’ to various pressures, this contribution considers the comparative susceptibility of the two courts to such mobilizations.</w:t>
      </w:r>
    </w:p>
    <w:p>
      <w:pPr/>
      <w:r>
        <w:rPr>
          <w:b/>
        </w:rPr>
        <w:t>POSSIBLE 2016:</w:t>
      </w:r>
      <w:r>
        <w:t xml:space="preserve"> The new ambitions for 2014-2020 European structural and investment funds evaluation: pouring water in a leaking container? — https://openalex.org/W2552820326</w:t>
      </w:r>
    </w:p>
    <w:p>
      <w:pPr/>
      <w:r>
        <w:rPr>
          <w:b/>
        </w:rPr>
        <w:t>Shared claim-specific concepts:</w:t>
      </w:r>
      <w:r>
        <w:t xml:space="preserve"> structural, foreseen, article; EU scope visible. This is a provisional connection, not an outcome finding.</w:t>
      </w:r>
    </w:p>
    <w:p>
      <w:pPr>
        <w:pStyle w:val="SourceNote"/>
      </w:pPr>
      <w:r>
        <w:rPr>
          <w:b/>
        </w:rPr>
        <w:t>Available abstract (not full text):</w:t>
      </w:r>
      <w:r>
        <w:t xml:space="preserve"> One of the recurring criticisms that have been levied to EU Cohesion policy has been its inability to prove its effectiveness and value for money. These criticisms, and the parallel growing pressures to reduce the resources assigned to the policy in recent rounds of budget negotiations, have led to the introduction of changes in the regulatory obligations attached to funding. In the 2014-2020 regulations, efforts to improve the policy’s effectiveness have primarily related to a set of new obligations intended to improve the results-orientation of programme design and implementation, and to a strengthening of the purposefulness of evaluation activities, including through a shift from evaluating implementation to appraising impacts. This article focuses on the latter theme. It reviews the main evaluation obligations foreseen by the Common Provisions Regulations (CPR) and the change in evaluation focus advocated by DG REGIO, the preparation of Evaluation Plans in selected EU programmes and these plans’ coverage, focus, objectives and resources. The article concludes with some reflections on the challenges that the new regulatory framework entails for managing authorities. It argues that the new CPR and Commission guidance notes are addressing past weaknesses by adding new demands to old ones without having sufficiently addressed the problems behind the partly ineffectual responses</w:t>
      </w:r>
    </w:p>
    <w:p>
      <w:pPr>
        <w:pStyle w:val="Heading2"/>
      </w:pPr>
      <w:r>
        <w:t>857.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four, countries, during;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Play therapy in children with autism: Its role, implications, and limitations — https://doi.org/10.5409/wjcp.v12.i1.1</w:t>
      </w:r>
    </w:p>
    <w:p>
      <w:pPr/>
      <w:r>
        <w:rPr>
          <w:b/>
        </w:rPr>
        <w:t>Shared claim-specific concepts:</w:t>
      </w:r>
      <w:r>
        <w:t xml:space="preserve"> limitations, implications, different; EU scope not established. This is a provisional connection, not an outcome finding.</w:t>
      </w:r>
    </w:p>
    <w:p>
      <w:pPr>
        <w:pStyle w:val="SourceNote"/>
      </w:pPr>
      <w:r>
        <w:rPr>
          <w:b/>
        </w:rPr>
        <w:t>Available abstract (not full text):</w:t>
      </w:r>
      <w:r>
        <w:t xml:space="preserve"> Play is a pleasurable physical or mental activity that enhances the child's skills involving negotiation abilities, problem-solving, manual dexterity, sharing, decision-making, and working in a group. Play affects all the brain's areas, structures, and functions. Children with autism have adaptive behavior, adaptive response, and social interaction limitations. This review explores the different applications of play therapy in helping children with autism disorder. Play is usually significantly impaired in children with autism. Play therapy is mainly intended to help children to honor their unique mental abilities and developmental levels. The main aim of play therapy is to prevent or solve psychosocial difficulties and achieve optimal child-healthy growth and development. Play therapy helps children with autism to engage in play activities of their interest and choice to express themselves in the most comfortable ways. It changes their way of self-expression from unwanted behaviors to more non-injurious expressive behavior using toys or activities of their choice as their words. Play therapy also helps those children to experience feeling out various interaction styles. Every child with autism is unique and responds differently. Therefore, different types of intervention, like play therapy, could fit the differences in children with autism. Proper evaluation of the child is ma</w:t>
      </w:r>
    </w:p>
    <w:p>
      <w:pPr/>
      <w:r>
        <w:rPr>
          <w:b/>
        </w:rPr>
        <w:t>POSSIBLE 2023:</w:t>
      </w:r>
      <w:r>
        <w:t xml:space="preserve"> Implications of COVID-19 policies on the sustainable corporate practices of European firms — https://doi.org/10.1108/k-07-2022-1014</w:t>
      </w:r>
    </w:p>
    <w:p>
      <w:pPr/>
      <w:r>
        <w:rPr>
          <w:b/>
        </w:rPr>
        <w:t>Shared claim-specific concepts:</w:t>
      </w:r>
      <w:r>
        <w:t xml:space="preserve"> implications, firms, during, period; EU scope visible. This is a provisional connection, not an outcome finding.</w:t>
      </w:r>
    </w:p>
    <w:p>
      <w:pPr>
        <w:pStyle w:val="SourceNote"/>
      </w:pPr>
      <w:r>
        <w:rPr>
          <w:b/>
        </w:rPr>
        <w:t>Available abstract (not full text):</w:t>
      </w:r>
      <w:r>
        <w:t xml:space="preserve"> Purpose This study aims to analyze how mixes of COVID-19 policy responses are shaping the context in which companies will compete in the following years, defining how the crisis might impact firms’ ability to keep their commitments to sustainable practices. Design/methodology/approach European country-performance data for the years 2019 and 2020 were grouped into indicators of macro sustainability, then cross-analyzed against the policies adopted during the period (also grouped based on their impacts on sustainability pillars), using correlations, factor analysis and clustering. Findings The influence of traditional sustainability determinants was reframed according to the novel context shaped by the policy responses to the pandemic crisis. The social and digitalization aspects gained the most relevance and appeared interconnected, with digitalization of employment attaining overall more traction. Moreover, changes in the leadership within sustainability domains were observed for each identified country-cluster, due to newly implemented emergency policies. In fact, environmental innovation, digitalization and social support policies appeared to be the main variables to be impacted by the intensity of the policy efforts. Practical implications Businesses monitoring the developments of sustainability policies closely, will observe novel trends in technological applications. Socia</w:t>
      </w:r>
    </w:p>
    <w:p>
      <w:pPr/>
      <w:r>
        <w:rPr>
          <w:b/>
        </w:rPr>
        <w:t>POSSIBLE 2023:</w:t>
      </w:r>
      <w:r>
        <w:t xml:space="preserve"> Women in CEO duality and firm performance in Europe — https://doi.org/10.1007/s10997-023-09669-6</w:t>
      </w:r>
    </w:p>
    <w:p>
      <w:pPr/>
      <w:r>
        <w:rPr>
          <w:b/>
        </w:rPr>
        <w:t>Shared claim-specific concepts:</w:t>
      </w:r>
      <w:r>
        <w:t xml:space="preserve"> implications, sample, firms, countries, period; EU scope visible. This is a provisional connection, not an outcome finding.</w:t>
      </w:r>
    </w:p>
    <w:p>
      <w:pPr>
        <w:pStyle w:val="SourceNote"/>
      </w:pPr>
      <w:r>
        <w:rPr>
          <w:b/>
        </w:rPr>
        <w:t>Available abstract (not full text):</w:t>
      </w:r>
      <w:r>
        <w:t xml:space="preserve"> Abstract This paper investigates gender dimensions in the relationship between CEO duality and firm performance, combining feminist theories and stewardship arguments. Using a large sample of listed firms from 23 European countries in the 2014–2020 period, we have found that CEO duality has a positive effect on corporate performance when a woman holds both the roles of CEO and board chair. These findings highlight the ‘bright side’ of women in governance, suggesting the presence of women in double leadership positions can amplify benefits and/or limits costs related to CEO duality. Having a woman in CEO-chair leadership could optimize a firm’s use of its resources and more effectively contribute to improving performance. Directions for future research could include a better understanding of women in leadership in the organizational domain. Our results have a number of managerial and political implications.</w:t>
      </w:r>
    </w:p>
    <w:p>
      <w:pPr/>
      <w:r>
        <w:rPr>
          <w:b/>
        </w:rPr>
        <w:t>POSSIBLE 2022:</w:t>
      </w:r>
      <w:r>
        <w:t xml:space="preserve"> The implications of globalization on COVID-19 vaccination in Europe — https://doi.org/10.1038/s41598-022-21493-w</w:t>
      </w:r>
    </w:p>
    <w:p>
      <w:pPr/>
      <w:r>
        <w:rPr>
          <w:b/>
        </w:rPr>
        <w:t>Shared claim-specific concepts:</w:t>
      </w:r>
      <w:r>
        <w:t xml:space="preserve"> implications, countries, lack, period, international; EU scope visible. This is a provisional connection, not an outcome finding.</w:t>
      </w:r>
    </w:p>
    <w:p>
      <w:pPr>
        <w:pStyle w:val="SourceNote"/>
      </w:pPr>
      <w:r>
        <w:rPr>
          <w:b/>
        </w:rPr>
        <w:t>Available abstract (not full text):</w:t>
      </w:r>
      <w:r>
        <w:t xml:space="preserve"> Although globalization has left its mark on economic dynamism, causing conditionalities among various aspects (market openness, production networks, technological and information developments, migratory flows, international cooperation, humanitarian support, etc.), the less pleasant side of it should not be omitted, i.e. the emergence of the framework for the faster diffusion of epidemiological diseases. Thus, with the onset of the SARS-CoV-2 virus, its widespread circulation is a serious challenge for the provision of efficient solutions to combat it, especially in countries with fragile health systems, poor institutional quality and lack of resources. In this paper we aim to investigate the implications of globalization on the COVID-19 vaccination of the population. The period under analysis is January 1, 2021-January 1, 2022, using montly data, and the object of our study are 48 European states. To capture the relationship between globalization and the vaccination rate, we applied regression models, including a number of factors that may influence the progress of vaccination. In order to test the robustness of the results, the two-stage least squares (2SLS) regressions was used. The regression models developed underlined that globalization impacts the degree of vaccination. More globalized economies are more competitive in COVID-19 management, and the significance of this ef</w:t>
      </w:r>
    </w:p>
    <w:p>
      <w:pPr/>
      <w:r>
        <w:rPr>
          <w:b/>
        </w:rPr>
        <w:t>POSSIBLE 2022:</w:t>
      </w:r>
      <w:r>
        <w:t xml:space="preserve"> Firms’ distance to the European productivity frontier — https://doi.org/10.1007/s40821-022-00207-2</w:t>
      </w:r>
    </w:p>
    <w:p>
      <w:pPr/>
      <w:r>
        <w:rPr>
          <w:b/>
        </w:rPr>
        <w:t>Shared claim-specific concepts:</w:t>
      </w:r>
      <w:r>
        <w:t xml:space="preserve"> firms, other, period; EU scope visible. This is a provisional connection, not an outcome finding.</w:t>
      </w:r>
    </w:p>
    <w:p>
      <w:pPr>
        <w:pStyle w:val="SourceNote"/>
      </w:pPr>
      <w:r>
        <w:rPr>
          <w:b/>
        </w:rPr>
        <w:t>Available abstract (not full text):</w:t>
      </w:r>
      <w:r>
        <w:t xml:space="preserve"> Abstract In this article we explore the factors contributing to reduce the distance of laggard firms to the European frontier, focusing on institutional factors. To characterize Total Factor Productivity frontier firms within industries for the European Union we use firm level data from AMADEUS for the period 2003–2014. Our findings provide evidence on the importance of governance quality and easiness in getting credit in explaining the distance of laggard firms to the European productivity frontier. We also find that other factors at the country level -tertiary education, R&amp;D stock, and trade openness- and at the firm level -size, age, and capital-intensity- influence the distance of laggards to the frontier. In addition, we examine the role of the Great Recession in moderating the contribution of all these factors to reduce firms’ distance to the European productivity frontier.</w:t>
      </w:r>
    </w:p>
    <w:p>
      <w:pPr/>
      <w:r>
        <w:rPr>
          <w:b/>
        </w:rPr>
        <w:t>POSSIBLE 2022:</w:t>
      </w:r>
      <w:r>
        <w:t xml:space="preserve"> International Open Innovation Strategies of Firms in European Peripheral Regions — https://doi.org/10.3390/joitmc8010007</w:t>
      </w:r>
    </w:p>
    <w:p>
      <w:pPr/>
      <w:r>
        <w:rPr>
          <w:b/>
        </w:rPr>
        <w:t>Shared claim-specific concepts:</w:t>
      </w:r>
      <w:r>
        <w:t xml:space="preserve"> sample, composed, firms, international, different; EU scope visible. This is a provisional connection, not an outcome finding.</w:t>
      </w:r>
    </w:p>
    <w:p>
      <w:pPr>
        <w:pStyle w:val="SourceNote"/>
      </w:pPr>
      <w:r>
        <w:rPr>
          <w:b/>
        </w:rPr>
        <w:t>Available abstract (not full text):</w:t>
      </w:r>
      <w:r>
        <w:t xml:space="preserve"> The involvement of companies in different open innovation activities, through knowledge outputs and inputs, has become increasingly important for the success of companies.However, the existing literature on open innovation is scarce concerning the internationalization process of companies.The internationalization of companies is fundamental in the continuous search to increase the performance of companies externally.The objective of the present research is to explain the strategic processes in the internationalization of companies located in peripheral regions at the time of the COVID-19 pandemic from the perspective of dynamic capabilities.The sample used for this research is composed of seven Portuguese companies.The methodology of qualitative nature is exploratory and uses a case study approach.Regarding the foremost modes of operation in international markets and strategies, we find that (1) companies have partnerships with local distributors or appoint exclusive importers/distributors, and (2) companies prefer to place their products in the market through their brand, "co-branded" projects with retailers, or "private label" projects.Of the seven companies under study, six use a standardization strategy, and one opts for a configuration-coordination strategy.Our findings clarified the literature on export and internationalization strategies in a peripheral country, allowing</w:t>
      </w:r>
    </w:p>
    <w:p>
      <w:pPr/>
      <w:r>
        <w:rPr>
          <w:b/>
        </w:rPr>
        <w:t>POSSIBLE 2021:</w:t>
      </w:r>
      <w:r>
        <w:t xml:space="preserve"> Economic implications of a connected and automated mobility in Europe — https://doi.org/10.1016/j.retrec.2021.101072</w:t>
      </w:r>
    </w:p>
    <w:p>
      <w:pPr/>
      <w:r>
        <w:rPr>
          <w:b/>
        </w:rPr>
        <w:t>Shared claim-specific concepts:</w:t>
      </w:r>
      <w:r>
        <w:t xml:space="preserve"> implications, other, different; EU scope visible. This is a provisional connection, not an outcome finding.</w:t>
      </w:r>
    </w:p>
    <w:p>
      <w:pPr>
        <w:pStyle w:val="SourceNote"/>
      </w:pPr>
      <w:r>
        <w:rPr>
          <w:b/>
        </w:rPr>
        <w:t>Available abstract (not full text):</w:t>
      </w:r>
      <w:r>
        <w:t xml:space="preserve"> Connected and Automated Mobility will disrupt the road transport sector which has remained substantially unchanged since the vehicle became mass produced in the first half of the twentieth century. Given the central role of mobility for our society and economy, the implications of a transformation in the transport sector will not be limited to transport but will regard many other aspects of our society. The aim of this paper is to analyse the possible future socio-economic implications of such a disruption in the road transport sector. It builds upon a set of future road transport scenarios and aims to identify the main impacts in different economic sectors mostly from a qualitative perspective. Results show that the deployment of Connected and Automated Vehicles could provide profitable opportunities for sectors like automotive, electronics and software, telecommunication, data services, digital media and freight transport; but other sectors including insurance and maintenance and repair are identified as businesses that might suffer revenue decreases in the future. In all scenarios, the policy implications of the transformation can be strong, which implies that the evolution of the transport system has to be carefully monitored in order to promptly cope with possible future effects.</w:t>
      </w:r>
    </w:p>
    <w:p>
      <w:pPr/>
      <w:r>
        <w:rPr>
          <w:b/>
        </w:rPr>
        <w:t>POSSIBLE 2021:</w:t>
      </w:r>
      <w:r>
        <w:t xml:space="preserve"> Implications of COVID-19 lockdowns on surface passenger mobility and related CO2 emission changes in Europe — https://doi.org/10.1016/j.apenergy.2021.117396</w:t>
      </w:r>
    </w:p>
    <w:p>
      <w:pPr/>
      <w:r>
        <w:rPr>
          <w:b/>
        </w:rPr>
        <w:t>Shared claim-specific concepts:</w:t>
      </w:r>
      <w:r>
        <w:t xml:space="preserve"> implications, countries, during, period; EU scope visible. This is a provisional connection, not an outcome finding.</w:t>
      </w:r>
    </w:p>
    <w:p>
      <w:pPr>
        <w:pStyle w:val="SourceNote"/>
      </w:pPr>
      <w:r>
        <w:rPr>
          <w:b/>
        </w:rPr>
        <w:t>Available abstract (not full text):</w:t>
      </w:r>
      <w:r>
        <w:t xml:space="preserve"> The coronavirus pandemic has severely affected our daily lives, with direct consequences on passenger transport. This in turn has strongly impacted the energy demand of the transport sector and associated CO2 emissions. We analyse near real-time passenger mobility and related emission trends in Europe between 21 January and 21 September 2020. We compiled a dataset of country-, sector- and lockdown- specific values, representing daily activity changes in private, public, and active passenger transport. In the aggregate, surface passenger transport emissions fell by 11.2% corresponding to 40.3 MtCO2 in Europe. This decline was predominantly due to the reduction of private passenger transport in five European countries (France, Germany, Italy, Spain, and the UK). During the first lockdown in April 2020, CO2 emissions from surface passenger transport declined by 50% in Europe, resulting in a 7.1% reduction in total CO2 emissions. After April 2020, private passenger travel recovered rapidly, while public passenger flows remained low. Solely prompted by the private sector, a rebound in total emissions and surface passenger transport emissions of 1.5% and 10.7%, respectively, was estimated at the end of the study period. The resulting situation of increased private and decreased public passenger transport is in contradiction to major climate goals, and without reversing these trends, </w:t>
      </w:r>
    </w:p>
    <w:p>
      <w:pPr>
        <w:pStyle w:val="Heading2"/>
      </w:pPr>
      <w:r>
        <w:t>858.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r>
        <w:rPr>
          <w:b/>
        </w:rPr>
        <w:t>POSSIBLE 2021:</w:t>
      </w:r>
      <w:r>
        <w:t xml:space="preserve"> The impacts of the electricity demand pattern on electricity system cost and the electricity supply mix: A comprehensive modeling analysis for Europe — https://doi.org/10.1016/j.energy.2021.121329</w:t>
      </w:r>
    </w:p>
    <w:p>
      <w:pPr/>
      <w:r>
        <w:rPr>
          <w:b/>
        </w:rPr>
        <w:t>Shared claim-specific concepts:</w:t>
      </w:r>
      <w:r>
        <w:t xml:space="preserve"> show, compared; EU scope visible. This is a provisional connection, not an outcome finding.</w:t>
      </w:r>
    </w:p>
    <w:p>
      <w:pPr>
        <w:pStyle w:val="SourceNote"/>
      </w:pPr>
      <w:r>
        <w:rPr>
          <w:b/>
        </w:rPr>
        <w:t>Available abstract (not full text):</w:t>
      </w:r>
      <w:r>
        <w:t xml:space="preserve"> Energy system models for long-term planning are widely used to explore the future electricity system. Typically, to represent the future electricity demand in these models, historical demand profiles are used directly or scaled up linearly. Although the volume change for the electricity demand is considered, the potential change of the demand pattern is ignored. Meanwhile, the future electricity demand pattern is highly uncertain due to various factors, including climate change, e-mobility, electric heating, and electric cooling. We use a techno-economic cost optimization model to investigate a stylized case and assess the effects on system cost and electricity supply mix of assuming different demand patterns for the models. Our results show that differences in diurnal demand patterns affect the system cost by less than 3%. Similarly, demand profiles with a flat seasonal variation or a winter peak result in only minor changes in system cost, as compared to the present demand profile. Demand profiles with a summer peak may display a system cost increase of up to 8%, whereas the electricity supply mix may differ by a factor of two. A more detailed case study is conducted for Europe and the results are consistent with the findings from the stylized case.</w:t>
      </w:r>
    </w:p>
    <w:p>
      <w:pPr/>
      <w:r>
        <w:rPr>
          <w:b/>
        </w:rPr>
        <w:t>POSSIBLE 2018:</w:t>
      </w:r>
      <w:r>
        <w:t xml:space="preserve"> Future agricultural phosphorus demand according to the shared socioeconomic pathways — https://doi.org/10.1016/j.gloenvcha.2018.03.007</w:t>
      </w:r>
    </w:p>
    <w:p>
      <w:pPr/>
      <w:r>
        <w:rPr>
          <w:b/>
        </w:rPr>
        <w:t>Shared claim-specific concepts:</w:t>
      </w:r>
      <w:r>
        <w:t xml:space="preserve"> stark, contrast; EU scope not established. This is a provisional connection, not an outcome finding.</w:t>
      </w:r>
    </w:p>
    <w:p>
      <w:pPr>
        <w:pStyle w:val="SourceNote"/>
      </w:pPr>
      <w:r>
        <w:rPr>
          <w:b/>
        </w:rPr>
        <w:t>Available abstract (not full text):</w:t>
      </w:r>
      <w:r>
        <w:t xml:space="preserve"> A spatially explicit, two-pool soil phosphorus (P) model was used to analyze cropland P dynamics and fertilizer demand based on future crop production as projected in the shared socioeconomic pathways (SSPs). The model was initialized with historical data on P inputs and uptake, which governed the soil P accumulation up to present day. In contrast to existing scenario studies, the model accounts for both soil characteristics relevant to P retention and changing land use. At the global scale, crop uptake and the fraction of the applied P fertilizer that is directly taken up by plant roots govern the P quantities present in the soil. Despite the differences in the storylines among the SSPs, the quantitative implementation results in estimates for crop production and P inputs that are quite similar, which contrasts with the stark divergence in terms of population and incomes. In addition to global fertilizer P inputs in croplands increasing from 14.5 Tg P yr−1 in 2005 to 22–27 Tg P yr−1 in 2050, this study also estimates that 4–12 Tg P yr−1 would be needed in 2050 in global intensively managed grasslands to maintain fertility. Our new model approach can pinpoint the contribution of area expansion and crop yield improvement toward the total production, whereby the latter is shown to contribute 100% to 69%, depending on the scenario.</w:t>
      </w:r>
    </w:p>
    <w:p>
      <w:pPr/>
      <w:r>
        <w:rPr>
          <w:b/>
        </w:rPr>
        <w:t>POSSIBLE 2016:</w:t>
      </w:r>
      <w:r>
        <w:t xml:space="preserve"> Right-Wing Extremism and Terrorism in Europe: Current Developments and Issues for the Future — https://openalex.org/W2994049625</w:t>
      </w:r>
    </w:p>
    <w:p>
      <w:pPr/>
      <w:r>
        <w:rPr>
          <w:b/>
        </w:rPr>
        <w:t>Shared claim-specific concepts:</w:t>
      </w:r>
      <w:r>
        <w:t xml:space="preserve"> stark, contrast, white, show, almost, compared; EU scope visible. This is a provisional connection, not an outcome finding.</w:t>
      </w:r>
    </w:p>
    <w:p>
      <w:pPr>
        <w:pStyle w:val="SourceNote"/>
      </w:pPr>
      <w:r>
        <w:rPr>
          <w:b/>
        </w:rPr>
        <w:t>Available abstract (not full text):</w:t>
      </w:r>
      <w:r>
        <w:t xml:space="preserve"> Europe has experienced a revival of groups, networks, and incidents in recent years, with a surge of anti-immigration and Islamophobic violence, as well as anti-government attacks and assaults on political opponents, ethnic minorities, and homosexuals. Although not as significant as in Europe, the United States has also seen an upsurge in political violence considered to be right-wing extremist in nature (for example, supremacist, neo-Nazi, racist, or anti-government sovereign citizen). For the international audience, only a few of these incidents gained broad media attention; attacks are seen mostly as isolated events when compared with other attacks, such as those by Islamist terrorists. In Germany, a terrorist group calling itself the National Socialist Underground was discovered in 2011. Despite having assassinated at least 10 people and committed 2 bombings over the course of almost 14 years, it had gone undetected. That same year, Anders Behring Breivik killed 77 people in a bomb attack in Oslo and a mass shooting in Ut0ya, Norway. In the United States, supremacist Michael Page shot and killed six people and wounded four others in an attack against a Wisconsin Sikh temple in August 2012. Only one day after Charles Kurzman had argued in the New York Times that terrorism might be the most severe security threat in the United States, Dylann Roof killed nine people in his sho</w:t>
      </w:r>
    </w:p>
    <w:p>
      <w:pPr>
        <w:pStyle w:val="Heading2"/>
      </w:pPr>
      <w:r>
        <w:t>859.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r>
        <w:rPr>
          <w:b/>
        </w:rPr>
        <w:t>POSSIBLE 2023:</w:t>
      </w:r>
      <w:r>
        <w:t xml:space="preserve"> Developing a Marine Energy Workforce Pipeline — https://doi.org/10.23919/oceans52994.2023.10336954</w:t>
      </w:r>
    </w:p>
    <w:p>
      <w:pPr/>
      <w:r>
        <w:rPr>
          <w:b/>
        </w:rPr>
        <w:t>Shared claim-specific concepts:</w:t>
      </w:r>
      <w:r>
        <w:t xml:space="preserve"> marine, energy, resources; EU scope not established. This is a provisional connection, not an outcome finding.</w:t>
      </w:r>
    </w:p>
    <w:p>
      <w:pPr>
        <w:pStyle w:val="SourceNote"/>
      </w:pPr>
      <w:r>
        <w:rPr>
          <w:b/>
        </w:rPr>
        <w:t>Available abstract (not full text):</w:t>
      </w:r>
      <w:r>
        <w:t xml:space="preserve"> Marine Energy is a nascent, but growing industry and will need a strong workforce to be successful. This paper examines the resources and programs needed to achieve the industry's goals.</w:t>
      </w:r>
    </w:p>
    <w:p>
      <w:pPr/>
      <w:r>
        <w:rPr>
          <w:b/>
        </w:rPr>
        <w:t>POSSIBLE 2023:</w:t>
      </w:r>
      <w:r>
        <w:t xml:space="preserve"> Energy Justice Framework for Marine Energy: Considerations from PacWave — https://doi.org/10.2172/2352468</w:t>
      </w:r>
    </w:p>
    <w:p>
      <w:pPr/>
      <w:r>
        <w:rPr>
          <w:b/>
        </w:rPr>
        <w:t>Shared claim-specific concepts:</w:t>
      </w:r>
      <w:r>
        <w:t xml:space="preserve"> marine, energy, two; EU scope not established. This is a provisional connection, not an outcome finding.</w:t>
      </w:r>
    </w:p>
    <w:p>
      <w:pPr>
        <w:pStyle w:val="SourceNote"/>
      </w:pPr>
      <w:r>
        <w:rPr>
          <w:b/>
        </w:rPr>
        <w:t>Available abstract (not full text):</w:t>
      </w:r>
      <w:r>
        <w:t xml:space="preserve">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pPr/>
      <w:r>
        <w:rPr>
          <w:b/>
        </w:rPr>
        <w:t>POSSIBLE 2023:</w:t>
      </w:r>
      <w:r>
        <w:t xml:space="preserve"> Planning the Installation of Marine Renewable Energies in Portugal - a tool for decision making — https://doi.org/10.1088/1742-6596/2626/1/012074</w:t>
      </w:r>
    </w:p>
    <w:p>
      <w:pPr/>
      <w:r>
        <w:rPr>
          <w:b/>
        </w:rPr>
        <w:t>Shared claim-specific concepts:</w:t>
      </w:r>
      <w:r>
        <w:t xml:space="preserve"> marine, energy, play, role, system; EU scope visible. This is a provisional connection, not an outcome finding.</w:t>
      </w:r>
    </w:p>
    <w:p>
      <w:pPr>
        <w:pStyle w:val="SourceNote"/>
      </w:pPr>
      <w:r>
        <w:rPr>
          <w:b/>
        </w:rPr>
        <w:t>Available abstract (not full text):</w:t>
      </w:r>
      <w:r>
        <w:t xml:space="preserve"> Abstract In the latest years, the European governments have developed and published the goals for their countries in terms of energy and climate as requested by the European Commission - The National Energy and Climate Plans (NECPs). In this sense, an intense activity on the planning of the installation of renewable energy systems took place in each Member State in order to meet the goals established on the NECPs. Following the recent energy crisis and the urgency to transform Europe’s energy system in Europe, the NECPs are also being adapted to this situation and the installation of renewable energy systems assumed an even higher relevance. In this sense, offshore wind, due to its characteristics – high wind resource, less occupation issues and others – will play a key role in the future energy mix. This work proposed the development and application of a holistic planning methodology considering the available offshore renewable resource, restrictions to the installation of marine energy systems and economic indicators, which resulted in a techno-economic platform – MarinePlan, developed in the scope of a National funded project – OffshorePlan</w:t>
      </w:r>
    </w:p>
    <w:p>
      <w:pPr/>
      <w:r>
        <w:rPr>
          <w:b/>
        </w:rPr>
        <w:t>POSSIBLE 2023:</w:t>
      </w:r>
      <w:r>
        <w:t xml:space="preserve"> The role of the marine research infrastructures in the European marine observation landscape: present and future perspectives — https://doi.org/10.3389/fmars.2023.1047251</w:t>
      </w:r>
    </w:p>
    <w:p>
      <w:pPr/>
      <w:r>
        <w:rPr>
          <w:b/>
        </w:rPr>
        <w:t>Shared claim-specific concepts:</w:t>
      </w:r>
      <w:r>
        <w:t xml:space="preserve"> marine, play, significant, role, long-term, system; EU scope visible. This is a provisional connection, not an outcome finding.</w:t>
      </w:r>
    </w:p>
    <w:p>
      <w:pPr>
        <w:pStyle w:val="SourceNote"/>
      </w:pPr>
      <w:r>
        <w:rPr>
          <w:b/>
        </w:rPr>
        <w:t>Available abstract (not full text):</w:t>
      </w:r>
      <w:r>
        <w:t xml:space="preserve"> The ocean regulates the exchange, storage of carbon dioxide, plays a key role in global control of Earth climate and life, absorbs most of the heat excess from greenhouse gas emissions and provides a remarkable number of resources for the human being. Most of the geo-hazards occur in oceanic areas. Thus, high-quality systematic observations are necessary tools for improving our understanding, and subsequent assimilation to provide early warning systems. A holistic scientific approach for the understanding of the ocean’s interrelated processes requires coordinated and complementary monitoring and observation programmes. Research Infrastructures (RIs) are large-scale facilities that provide resources and services for the scientific communities to conduct high-level research and foster innovation. RIs benefit from strong governance and multi-annual funding from their member states with operational life spans in decades. RIs promote knowledge, outreach and education to public, private, and policy stakeholders, and they play a key role in enabling and developing research in all scientific domains and currently represent a growing share of coordinated investment in research, and also in providing essential observations to operational services such as Copernicus. They are strategically important for Europe to lead a global movement towards a data-driven, interconnected, open digital t</w:t>
      </w:r>
    </w:p>
    <w:p>
      <w:pPr/>
      <w:r>
        <w:rPr>
          <w:b/>
        </w:rPr>
        <w:t>POSSIBLE 2022:</w:t>
      </w:r>
      <w:r>
        <w:t xml:space="preserve"> Economic feasibility of marine renewable energy: Review — https://doi.org/10.3389/fmars.2022.988513</w:t>
      </w:r>
    </w:p>
    <w:p>
      <w:pPr/>
      <w:r>
        <w:rPr>
          <w:b/>
        </w:rPr>
        <w:t>Shared claim-specific concepts:</w:t>
      </w:r>
      <w:r>
        <w:t xml:space="preserve"> marine, energy, technology, different; EU scope visible. This is a provisional connection, not an outcome finding.</w:t>
      </w:r>
    </w:p>
    <w:p>
      <w:pPr>
        <w:pStyle w:val="SourceNote"/>
      </w:pPr>
      <w:r>
        <w:rPr>
          <w:b/>
        </w:rPr>
        <w:t>Available abstract (not full text):</w:t>
      </w:r>
      <w:r>
        <w:t xml:space="preserve"> This paper aims to comprehensively review the economic feasibility of Marine Renewable Energy. Five major continents are at different development stages of implementing MREs commercialization; Europe is in the most advanced, while Africa is at the initial stage. The Levelized Cost of Energy is usually used to make decisions and measure the plant’s economic feasibility. Literature suggests that MRE technology is still costly, and many emerging countries are sensitive to the income and use of MRE. Among various types of MREs, wind energy is the most feasible for many countries. Offshore wave energy is still at the pre-commercialization stage for many developing countries. Tidal energy plants can be economically viable depending on a reduction in investment cost and high capacity factors. Most of the world’s tidal flows have too low a speed to operate a turbine of commercial size for ocean thermal energy. In conclusion, the factors hindering MRE development are pointed out, and future challenges are discussed.</w:t>
      </w:r>
    </w:p>
    <w:p>
      <w:pPr/>
      <w:r>
        <w:rPr>
          <w:b/>
        </w:rPr>
        <w:t>POSSIBLE 2021:</w:t>
      </w:r>
      <w:r>
        <w:t xml:space="preserve"> The Essentials of Marine Biotechnology — https://doi.org/10.3389/fmars.2021.629629</w:t>
      </w:r>
    </w:p>
    <w:p>
      <w:pPr/>
      <w:r>
        <w:rPr>
          <w:b/>
        </w:rPr>
        <w:t>Shared claim-specific concepts:</w:t>
      </w:r>
      <w:r>
        <w:t xml:space="preserve"> marine, energy, resources, field, technology; EU scope visible. This is a provisional connection, not an outcome finding.</w:t>
      </w:r>
    </w:p>
    <w:p>
      <w:pPr>
        <w:pStyle w:val="SourceNote"/>
      </w:pPr>
      <w:r>
        <w:rPr>
          <w:b/>
        </w:rPr>
        <w:t>Available abstract (not full text):</w:t>
      </w:r>
      <w:r>
        <w:t xml:space="preserve"> Coastal countries have traditionally relied on the existing marine resources (e.g., fishing, food, transport, recreation, and tourism) as well as tried to support new economic endeavors (ocean energy, desalination for water supply, and seabed mining). Modern societies and lifestyle resulted in an increased demand for dietary diversity, better health and well-being, new biomedicines, natural cosmeceuticals, environmental conservation, and sustainable energy sources. These societal needs stimulated the interest of researchers on the diverse and underexplored marine environments as promising and sustainable sources of biomolecules and biomass, and they are addressed by the emerging field of marine (blue) biotechnology. Blue biotechnology provides opportunities for a wide range of initiatives of commercial interest for the pharmaceutical, biomedical, cosmetic, nutraceutical, food, feed, agricultural, and related industries. This article synthesizes the essence, opportunities, responsibilities, and challenges encountered in marine biotechnology and outlines the attainment and valorization of directly derived or bio-inspired products from marine organisms. First, the concept of bioeconomy is introduced. Then, the diversity of marine bioresources including an overview of the most prominent marine organisms and their potential for biotechnological uses are described. This is followed b</w:t>
      </w:r>
    </w:p>
    <w:p>
      <w:pPr/>
      <w:r>
        <w:rPr>
          <w:b/>
        </w:rPr>
        <w:t>POSSIBLE 2021:</w:t>
      </w:r>
      <w:r>
        <w:t xml:space="preserve"> Marine Energy in the United States: An Overview of Opportunities — https://doi.org/10.2172/1766861</w:t>
      </w:r>
    </w:p>
    <w:p>
      <w:pPr/>
      <w:r>
        <w:rPr>
          <w:b/>
        </w:rPr>
        <w:t>Shared claim-specific concepts:</w:t>
      </w:r>
      <w:r>
        <w:t xml:space="preserve"> marine, energy, resources, performed, technology; EU scope not established. This is a provisional connection, not an outcome finding.</w:t>
      </w:r>
    </w:p>
    <w:p>
      <w:pPr>
        <w:pStyle w:val="SourceNote"/>
      </w:pPr>
      <w:r>
        <w:rPr>
          <w:b/>
        </w:rPr>
        <w:t>Available abstract (not full text):</w:t>
      </w:r>
      <w:r>
        <w:t xml:space="preserve"> This report provides a concise and consolidated overview of the Unites States’ marine energy resources . The results reported herein are primarily based on U.S. Department of Energy (DOE)-funded marine energy resource assessments in the following technology areas: wave, tidal currents, ocean currents, ocean thermal gradients, and river currents. This report also incorporates recent updates and refinements to the U.S. wave and tidal resource assessments performed by the national labs. Many of these refinements were undertaken to address feedback from the National Research Council’s evaluation of the original resource assessments (National Research Council 2013). Further, this report refines the analysis that has been published to date by identifying the marine energy resources available in each U.S. state or region to the extent practical. In short, this report summarizes the best available data on U.S. marine energy resources at the state, regional, and national scales.</w:t>
      </w:r>
    </w:p>
    <w:p>
      <w:pPr/>
      <w:r>
        <w:rPr>
          <w:b/>
        </w:rPr>
        <w:t>POSSIBLE 2021:</w:t>
      </w:r>
      <w:r>
        <w:t xml:space="preserve"> Legal and Political Barriers and Enablers to the Deployment of Marine Renewable Energy — https://doi.org/10.3390/en14164896</w:t>
      </w:r>
    </w:p>
    <w:p>
      <w:pPr/>
      <w:r>
        <w:rPr>
          <w:b/>
        </w:rPr>
        <w:t>Shared claim-specific concepts:</w:t>
      </w:r>
      <w:r>
        <w:t xml:space="preserve"> marine, energy, performed, technology, current; EU scope visible. This is a provisional connection, not an outcome finding.</w:t>
      </w:r>
    </w:p>
    <w:p>
      <w:pPr>
        <w:pStyle w:val="SourceNote"/>
      </w:pPr>
      <w:r>
        <w:rPr>
          <w:b/>
        </w:rPr>
        <w:t>Available abstract (not full text):</w:t>
      </w:r>
      <w:r>
        <w:t xml:space="preserve"> Ocean energy is a promising source of clean renewable energy, with clear development targets set by the European Commission. However, the ocean energy sector faces non-technological challenges and opportunities that are frequently overlooked in deployment plans. The present study aimed to provide a critical evaluation of the ocean energy sector’s legal, institutional, and political frameworks with an identification and analysis of both barriers and enabling features for the deployment of ocean energy. In the first stage, a literature review on the current political and regulatory frameworks of a set of European countries was carried out, setting the basis for the main challenges and enabling factors faced by the sector. Secondly, a critical analysis of the main non-technological barriers and enablers was performed, which was supported by questionnaires sent to regulators, technology developers, and test-site managers. This questionnaire allowed us to collect and integrate the views, perceptions, and personal experiences of the main stakeholders of the ocean energy sector in the analysis. The most relevant insights were collected to guide future policy instruments, supports, and consenting measures in a more informed and effective manner and to help accelerate the development of the sector.</w:t>
      </w:r>
    </w:p>
    <w:p>
      <w:pPr/>
      <w:r>
        <w:rPr>
          <w:b/>
        </w:rPr>
        <w:t>POSSIBLE 2021:</w:t>
      </w:r>
      <w:r>
        <w:t xml:space="preserve"> A Decision Support Tool for Long-Term Planning of Marine Operations in Ocean Energy Projects — https://doi.org/10.3390/jmse9080810</w:t>
      </w:r>
    </w:p>
    <w:p>
      <w:pPr/>
      <w:r>
        <w:rPr>
          <w:b/>
        </w:rPr>
        <w:t>Shared claim-specific concepts:</w:t>
      </w:r>
      <w:r>
        <w:t xml:space="preserve"> marine, energy, long-term, performed; EU scope not established. This is a provisional connection, not an outcome finding.</w:t>
      </w:r>
    </w:p>
    <w:p>
      <w:pPr>
        <w:pStyle w:val="SourceNote"/>
      </w:pPr>
      <w:r>
        <w:rPr>
          <w:b/>
        </w:rPr>
        <w:t>Available abstract (not full text):</w:t>
      </w:r>
      <w:r>
        <w:t xml:space="preserve"> Ocean energy is a relevant source of clean renewable energy, and as it is still facing challenges related to its above grid-parity costs, tariffs intended to support in a structured and coherent way are of great relevance and potential impact. The logistics and marine operations required for installing and maintaining these systems are major cost drivers of marine renewable energy projects. Planning the logistics of marine energy projects is a highly complex and intertwined process, and to date, limited advances have been made in the development of decision support tools suitable for ocean energy farm design. The present paper describes the methodology of a novel, opensource, logistic and marine operation planning tool, integrated within DTOceanPlus suite of design tools, and responsible for producing logistic solutions comprised of optimal selections of vessels, port terminals, equipment, as well as operation plans, for ocean energy projects. Infrastructure selection logistic functions were developed to select vessels, ports, and equipment for specific projects. A statistical weather window model was developed to estimate operation delays due to weather. A vessel charter rate modeling approach, based on an in-house vessel database and industry experience, is described in detail. The overall operation assumptions and underlying operating principles of the statistical weather wi</w:t>
      </w:r>
    </w:p>
    <w:p>
      <w:pPr/>
      <w:r>
        <w:rPr>
          <w:b/>
        </w:rPr>
        <w:t>POSSIBLE 2021:</w:t>
      </w:r>
      <w:r>
        <w:t xml:space="preserve"> Biological Consequences of Marine Energy Development on Marine Animals — https://doi.org/10.3390/en14248460</w:t>
      </w:r>
    </w:p>
    <w:p>
      <w:pPr/>
      <w:r>
        <w:rPr>
          <w:b/>
        </w:rPr>
        <w:t>Shared claim-specific concepts:</w:t>
      </w:r>
      <w:r>
        <w:t xml:space="preserve"> marine, energy, system; EU scope not established. This is a provisional connection, not an outcome finding.</w:t>
      </w:r>
    </w:p>
    <w:p>
      <w:pPr>
        <w:pStyle w:val="SourceNote"/>
      </w:pPr>
      <w:r>
        <w:rPr>
          <w:b/>
        </w:rPr>
        <w:t>Available abstract (not full text):</w:t>
      </w:r>
      <w:r>
        <w:t xml:space="preserve"> Marine energy devices harness power from attributes of ocean water to form a sustainable energy source. Knowledge gaps remain about whether marine energy systems can affect the environment, adding another threat to animal populations and habitats already under pressure from climate change and anthropogenic activities. To date, potential environmental effects have been studied under the scope of stressor–receptor interactions, where moving parts of, or emissions from, a system could harm the animals, habitats, and natural processes. While crucial for understanding effects and identifying knowledge gaps, this approach misses a holistic view of what animals may experience in the presence of marine energy systems. We look at six biological consequences and forces that drive the health of an animal population and the effects expected from marine energy development: success of early life stages; changes in competitive capabilities; growth and survival based on food availability; susceptibility to predators; injury or death; and reproductive success. We use case studies to develop this approach, focusing on a variety of marine animals. An approximate level of risk is assigned for each interaction based on the biological consequences. This work highlights the need to examine the effects of marine energy development on animal populations within their natural habitats.</w:t>
      </w:r>
    </w:p>
    <w:p>
      <w:pPr>
        <w:pStyle w:val="Heading2"/>
      </w:pPr>
      <w:r>
        <w:t>860.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2024:</w:t>
      </w:r>
      <w:r>
        <w:t xml:space="preserve"> Evaluating a research methodology workshop among postgraduate students using Kirkpatrick’s model — https://doi.org/10.4103/jehp.jehp_1026_23</w:t>
      </w:r>
    </w:p>
    <w:p>
      <w:pPr/>
      <w:r>
        <w:rPr>
          <w:b/>
        </w:rPr>
        <w:t>Shared claim-specific concepts:</w:t>
      </w:r>
      <w:r>
        <w:t xml:space="preserve"> workshop, methodology, used; EU scope not established. This is a provisional connection, not an outcome finding.</w:t>
      </w:r>
    </w:p>
    <w:p>
      <w:pPr>
        <w:pStyle w:val="SourceNote"/>
      </w:pPr>
      <w:r>
        <w:rPr>
          <w:b/>
        </w:rPr>
        <w:t>Available abstract (not full text):</w:t>
      </w:r>
      <w:r>
        <w:t xml:space="preserve"> BACKGROUND: In this era of evidence-based medicine, only systematic research can help in providing judicious and precise healthcare to individual patients based on updated knowledge and skills. However, many medical professionals do not feel competent and confident enough to conduct research. One of the reasons could be the lack of a research-based curriculum in undergraduate courses. The National Medical Council has also stressed the need for formal training in research methodology for healthcare professionals. The research methodology workshops help to familiarize the participants with basic, clinical, and translational research required to impart optimum patient care. The objective of our study was to evaluate a research methodology workshop conducted for postgraduate students by assessing the participant’s knowledge, feedback, and expected impact using Kirkpatrick’s evaluation model. MATERIALS AND METHODS: A quasi-experimental, single-group study was conducted among 132 first-year postgraduate students. The four levels of Kirkpatrick’s model were applied for evaluation. Feedback forms, scores of the pretest and posttest, quality of the research proposal drafted by the postgraduates for their thesis, and finally successful submission of the research proposal were the components used to evaluate the four levels of outcome of Kirkpatrick’s model. STATISTICAL ANALYSIS: Data col</w:t>
      </w:r>
    </w:p>
    <w:p>
      <w:pPr/>
      <w:r>
        <w:rPr>
          <w:b/>
        </w:rPr>
        <w:t>POSSIBLE 2023:</w:t>
      </w:r>
      <w:r>
        <w:t xml:space="preserve"> Chemistry Workshop in Brazilian High School using the Three Pedagogical Moments Methodology — https://doi.org/10.14571/brajets.v16.n1.59-70</w:t>
      </w:r>
    </w:p>
    <w:p>
      <w:pPr/>
      <w:r>
        <w:rPr>
          <w:b/>
        </w:rPr>
        <w:t>Shared claim-specific concepts:</w:t>
      </w:r>
      <w:r>
        <w:t xml:space="preserve"> workshop, methodology, showed; EU scope not established. This is a provisional connection, not an outcome finding.</w:t>
      </w:r>
    </w:p>
    <w:p>
      <w:pPr>
        <w:pStyle w:val="SourceNote"/>
      </w:pPr>
      <w:r>
        <w:rPr>
          <w:b/>
        </w:rPr>
        <w:t>Available abstract (not full text):</w:t>
      </w:r>
      <w:r>
        <w:t xml:space="preserve"> This paper deals with the importance of educational methodologies which enable linear and propaedeutic education to be eliminated, while problematization and dialogicity are stimulated. It describes a study that focuses on the evaluation of Three Pedagogical Moments (3 PMs) with planned and implemented activities in the workshop "Coarse salt bath and the study of solutions", which was carried out with high school students in chemistry classes. Workshops are developed and carried out as the result of a partnership between a university and a high school in Pelotas, a city located in southern Brazil. The production of the empirical material was based on students’ responses to a questionnaire and notes in a field diary performed by the team. Results of the content analysis showed the learning potential offered by the thematic workshop related with daily lives and chemistry teaching to students and it was observed as differentiated and alternative methodology from traditional classroom classes. Due to obtained results in the activities developed at thematic chemistry workshop organized and based in the 3 PMs, the Project have continued with the elaboration and development of other workshops that are available on the project website.</w:t>
      </w:r>
    </w:p>
    <w:p>
      <w:pPr/>
      <w:r>
        <w:rPr>
          <w:b/>
        </w:rPr>
        <w:t>POSSIBLE 2022:</w:t>
      </w:r>
      <w:r>
        <w:t xml:space="preserve"> Use of New Approach Methodologies (NAMs) in regulatory decisions for chemical safety: Report from an EPAA Deep Dive Workshop — https://doi.org/10.1016/j.yrtph.2022.105261</w:t>
      </w:r>
    </w:p>
    <w:p>
      <w:pPr/>
      <w:r>
        <w:rPr>
          <w:b/>
        </w:rPr>
        <w:t>Shared claim-specific concepts:</w:t>
      </w:r>
      <w:r>
        <w:t xml:space="preserve"> workshop, used, method; EU scope visible. This is a provisional connection, not an outcome finding.</w:t>
      </w:r>
    </w:p>
    <w:p>
      <w:pPr>
        <w:pStyle w:val="SourceNote"/>
      </w:pPr>
      <w:r>
        <w:rPr>
          <w:b/>
        </w:rPr>
        <w:t>Available abstract (not full text):</w:t>
      </w:r>
      <w:r>
        <w:t xml:space="preserve"> New Approach Methodologies (NAMs) are considered to include any in vitro, in silico or chemistry-based method, as well as the strategies to implement them, that may provide information that could inform chemical safety assessment. Current chemical legislation in the European Union is limited in its acceptance of the widespread use of NAMs. The European Partnership for Alternative Approaches to Animal Testing (EPAA) therefore convened a 'Deep Dive Workshop' to explore the use of NAMs in chemical safety assessment, the aim of which was to support regulatory decisions, whilst intending to protect human health. The workshop recognised that NAMs are currently used in many industrial sectors, with some considered as fit for regulatory purpose. Moreover, the workshop identified key discussion points that can be addressed to increase the use and regulatory acceptance of NAMs. These are based on the changes needed in frameworks for regulatory requirements and the essential needs in education, training and greater stakeholder engagement as well the gaps in the scientific basis of NAMs.</w:t>
      </w:r>
    </w:p>
    <w:p>
      <w:pPr/>
      <w:r>
        <w:rPr>
          <w:b/>
        </w:rPr>
        <w:t>POSSIBLE 2021:</w:t>
      </w:r>
      <w:r>
        <w:t xml:space="preserve"> A 2021 Online Workshop for the Review of Two Modules on Methodology for Using English as a Medium of Instruction in Rwanda: Opportunities and Challenges — https://doi.org/10.33422/ejte.v3i4.554</w:t>
      </w:r>
    </w:p>
    <w:p>
      <w:pPr/>
      <w:r>
        <w:rPr>
          <w:b/>
        </w:rPr>
        <w:t>Shared claim-specific concepts:</w:t>
      </w:r>
      <w:r>
        <w:t xml:space="preserve"> workshop, methodology, used, showed; EU scope not established. This is a provisional connection, not an outcome finding.</w:t>
      </w:r>
    </w:p>
    <w:p>
      <w:pPr>
        <w:pStyle w:val="SourceNote"/>
      </w:pPr>
      <w:r>
        <w:rPr>
          <w:b/>
        </w:rPr>
        <w:t>Available abstract (not full text):</w:t>
      </w:r>
      <w:r>
        <w:t xml:space="preserve"> Since the outbreak of the COVID-19 pandemic in Wuhan in China and its rapid spread around the globe, people’s life and work styles have changed. Governments have installed and implemented lockdowns, social distancing, and stay home preventive measures that have forced most people to work from their homes. Research units and higher learning institutions were not spared as well. International conferences that were to take place in 2020 were turned into virtual presentations and until recently nothing has changed. To handle the crisis, the University of Rwanda also thought of transforming its work ethos. In this regard a two-phase online workshop was held in January and February 2021 to review two modules produced during a face-to face workshop in October 2021. These were modules on methodologies to help pre-primary, primary and lower secondary school teachers to effectively deliver their subject content through English, the medium of instruction, and promote learners’ proficiency in this language. As this online review was the first virtual workshop experience of the kind for most participants, the researchers decided to investigate the opportunities it offered them and the challenges faced. Theories on online work and of quantitative and qualitative research paradigms were used. The research tools were a questionnaire and observations. Graphs were utilised and emerging themes gr</w:t>
      </w:r>
    </w:p>
    <w:p>
      <w:pPr/>
      <w:r>
        <w:rPr>
          <w:b/>
        </w:rPr>
        <w:t>POSSIBLE 2021:</w:t>
      </w:r>
      <w:r>
        <w:t xml:space="preserve"> Workshop methodology design: Innovation-oriented participatory processes for sustainability — https://doi.org/10.1016/j.annals.2021.103251</w:t>
      </w:r>
    </w:p>
    <w:p>
      <w:pPr/>
      <w:r>
        <w:rPr>
          <w:b/>
        </w:rPr>
        <w:t>Shared claim-specific concepts:</w:t>
      </w:r>
      <w:r>
        <w:t xml:space="preserve"> workshop, methodology, used, structures; EU scope not established. This is a provisional connection, not an outcome finding.</w:t>
      </w:r>
    </w:p>
    <w:p>
      <w:pPr>
        <w:pStyle w:val="SourceNote"/>
      </w:pPr>
      <w:r>
        <w:rPr>
          <w:b/>
        </w:rPr>
        <w:t>Available abstract (not full text):</w:t>
      </w:r>
      <w:r>
        <w:t xml:space="preserve"> Workshop methodologies based on overarching knowledge structures are necessary for a shift of the tourism sector towards sustainability. We adopted a participatory action research approach and designed a workshop methodology based on the main tenets and tools of the theory of change, design thinking, and sustainable business models. We tested this methodology within a project initiated by a destination management organisation to promote innovation during the covid-19 crisis and used the results to identify improvements and recommendations for future applications. Although further tests are needed, the study proved that the developed methodology has great potential for promoting the systemic change, creativity, collaboration, empathy, and empowerment that are necessary for a sustainability shift.</w:t>
      </w:r>
    </w:p>
    <w:p>
      <w:pPr/>
      <w:r>
        <w:rPr>
          <w:b/>
        </w:rPr>
        <w:t>POSSIBLE 2020:</w:t>
      </w:r>
      <w:r>
        <w:t xml:space="preserve"> Reflection of Using Buddhist Cognitive Process Activities in the Workshop of Research Methodology Course — https://openalex.org/W3093503066</w:t>
      </w:r>
    </w:p>
    <w:p>
      <w:pPr/>
      <w:r>
        <w:rPr>
          <w:b/>
        </w:rPr>
        <w:t>Shared claim-specific concepts:</w:t>
      </w:r>
      <w:r>
        <w:t xml:space="preserve"> workshop, methodology, used, showed, cognitive; EU scope not established. This is a provisional connection, not an outcome finding.</w:t>
      </w:r>
    </w:p>
    <w:p>
      <w:pPr>
        <w:pStyle w:val="SourceNote"/>
      </w:pPr>
      <w:r>
        <w:rPr>
          <w:b/>
        </w:rPr>
        <w:t>Available abstract (not full text):</w:t>
      </w:r>
      <w:r>
        <w:t xml:space="preserve"> The purpose of this research was to study reflection of using Buddhist cognitive process activities in the workshop of research methodology course. Classroom action research and qualitative research were used. The target group was graduate students in psychology of life and death program, Faculty of Humanities, Mahachulalongkornrajavidyalaya University. Research tools were observation form and questionnaires. Qualitative data from 18 key informants was analyzed by using content analysis and analytic induction. Results indicated that reflection of using Buddhist cognitive process activities in the workshop of research methodology course showed in 4 aspects consisted of; 1) Knowledge, students were knowledge about content of subject, 2) Learning Process, students have shown their interested in learning process and be happy with class activities, 3) Attitude, students have changed and showed positive attitudes on research methodology. They have shown inspiration to create their theses, 4) Skills and Experience, students practiced their skills on data collection, data analysis, and data presentation for research. They also reflected that Buddhist cognitive process activities in the workshop of research methodology can improve students in learning happily, inspirited and practiced skills of research. Therefore, these activities within the workshop were appropriate for applying furth</w:t>
      </w:r>
    </w:p>
    <w:p>
      <w:pPr>
        <w:pStyle w:val="Heading2"/>
      </w:pPr>
      <w:r>
        <w:t>861.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2025:</w:t>
      </w:r>
      <w:r>
        <w:t xml:space="preserve"> AI in Strategic Foresight — https://doi.org/10.1787/aa573076-en</w:t>
      </w:r>
    </w:p>
    <w:p>
      <w:pPr/>
      <w:r>
        <w:rPr>
          <w:b/>
        </w:rPr>
        <w:t>Shared claim-specific concepts:</w:t>
      </w:r>
      <w:r>
        <w:t xml:space="preserve"> foresight, strategic, society; EU scope not established. This is a provisional connection, not an outcome finding.</w:t>
      </w:r>
    </w:p>
    <w:p>
      <w:pPr>
        <w:pStyle w:val="SourceNote"/>
      </w:pPr>
      <w:r>
        <w:rPr>
          <w:b/>
        </w:rPr>
        <w:t>Available abstract (not full text):</w:t>
      </w:r>
      <w:r>
        <w:t xml:space="preserve"> AI in Strategic Foresight: Reshaping Anticipatory Governance examines how artificial intelligence is moving from experimentation to practical application in the field of strategic foresight. Developed jointly by the OECD and the World Economic Forum, the publication draws on a global survey of 167 practitioners across government, business, academia and civil society to capture a field in rapid transition.The findings show that most foresight professionals are already using AI to scan for signals of change, analyse large datasets and support scenario development, with many reporting significant time savings and expanded analytical capacity. A smaller but growing group is also experimenting with AI as a creative or analytical partner in systems mapping and scenario design.Yet the report also underscores persistent challenges: concerns about reliability, transparency and bias; gaps in technical skills; and uneven access to tools, particularly in the public sector where data security constraints and unclear guidelines can limit adoption. These issues raise important questions about how to ensure AI strengthens rather than distorts foresight practice.</w:t>
      </w:r>
    </w:p>
    <w:p>
      <w:pPr/>
      <w:r>
        <w:rPr>
          <w:b/>
        </w:rPr>
        <w:t>POSSIBLE 2025:</w:t>
      </w:r>
      <w:r>
        <w:t xml:space="preserve"> SOCIO-ECONOMIC PREREQUISITES FOR DECENTRALIZATION OF STRATEGIC MANAGEMENT IN THE RESTAURANT BUSINESS: THE ROLE OF PERSONAL BRAND AND FORESIGHT — https://doi.org/10.32782/business-navigator.83-54</w:t>
      </w:r>
    </w:p>
    <w:p>
      <w:pPr/>
      <w:r>
        <w:rPr>
          <w:b/>
        </w:rPr>
        <w:t>Shared claim-specific concepts:</w:t>
      </w:r>
      <w:r>
        <w:t xml:space="preserve"> foresight, system, strategic, directions; EU scope not established. This is a provisional connection, not an outcome finding.</w:t>
      </w:r>
    </w:p>
    <w:p>
      <w:pPr>
        <w:pStyle w:val="SourceNote"/>
      </w:pPr>
      <w:r>
        <w:rPr>
          <w:b/>
        </w:rPr>
        <w:t>Available abstract (not full text):</w:t>
      </w:r>
      <w:r>
        <w:t xml:space="preserve"> The article touches upon the issue the socio-economic prerequisites for the decentralization of strategic management in the restaurant business in the context of modern economic transformation and increasing instability of the external environment. It is determined that the decentralization of management is a key factor in increasing the adaptability, innovation and social responsibility of HoReCa enterprises. Special attention is paid to determining the role of the restaurant brand as a communicative and strategic tool that reflects the values of the organization, forms consumer trust and transmits social meanings, turning the brand into an element of cultural capital. It is proven that branding in a decentralized management system goes beyond the marketing function and becomes an integrating factor in building a sustainable development strategy. The methodological basis of the study is the foresight approach, which allows you to predict possible scenarios for the development of the restaurant business and adapt management decisions to rapid environmental changes. Within the framework of the foresight analysis, the main decentralized management practices (holacracy, turquoise organization, agile, lean management) were identified, the analysis of the “gray rhinos” of the restaurant industry – foreseeable, but often ignored risks, as well as an extended analysis of the external </w:t>
      </w:r>
    </w:p>
    <w:p>
      <w:pPr/>
      <w:r>
        <w:rPr>
          <w:b/>
        </w:rPr>
        <w:t>POSSIBLE 2024:</w:t>
      </w:r>
      <w:r>
        <w:t xml:space="preserve"> Innovations and inspirations of EU strategic foresight methods — https://doi.org/10.3724/j.issn.1671-4342.20240107</w:t>
      </w:r>
    </w:p>
    <w:p>
      <w:pPr/>
      <w:r>
        <w:rPr>
          <w:b/>
        </w:rPr>
        <w:t>Shared claim-specific concepts:</w:t>
      </w:r>
      <w:r>
        <w:t xml:space="preserve"> foresight, system, strategic, directions, innovative, technological; EU scope visible. This is a provisional connection, not an outcome finding.</w:t>
      </w:r>
    </w:p>
    <w:p>
      <w:pPr>
        <w:pStyle w:val="SourceNote"/>
      </w:pPr>
      <w:r>
        <w:rPr>
          <w:b/>
        </w:rPr>
        <w:t>Available abstract (not full text):</w:t>
      </w:r>
      <w:r>
        <w:t xml:space="preserve"> In the face of complex and diversified future scenarios, strategic foresight has become a powerful tool to support decision-making. Through in-depth study of EU strategic foresight research results, this paper summarizes the EU's innovative practices in strategic foresight, and elaborates in detail on the strategic foresight methodology system of the EU, with horizon scan, megatrends hub, and scenario exploration system as its backbone tools, as well as its optimization design in specific methods and processes. Combined with the future-oriented development trend of strategic research methodology and the EU's innovative practice in strategic foresight methodology, furthermore, it provides a summary of the development characteristics and advantages of the EU's strategic foresight research methodology trends and directions, with a goal of providing inspiration for China's scientific and technological strategic research, policy research tools and methodological.</w:t>
      </w:r>
    </w:p>
    <w:p>
      <w:pPr/>
      <w:r>
        <w:rPr>
          <w:b/>
        </w:rPr>
        <w:t>POSSIBLE 2023:</w:t>
      </w:r>
      <w:r>
        <w:t xml:space="preserve"> Foresight (prevision) of development of the tourist system in Ukraine — https://doi.org/10.21511/ppm.21(4).2023.52</w:t>
      </w:r>
    </w:p>
    <w:p>
      <w:pPr/>
      <w:r>
        <w:rPr>
          <w:b/>
        </w:rPr>
        <w:t>Shared claim-specific concepts:</w:t>
      </w:r>
      <w:r>
        <w:t xml:space="preserve"> foresight, system, strategic, directions, economy; EU scope not established. This is a provisional connection, not an outcome finding.</w:t>
      </w:r>
    </w:p>
    <w:p>
      <w:pPr>
        <w:pStyle w:val="SourceNote"/>
      </w:pPr>
      <w:r>
        <w:rPr>
          <w:b/>
        </w:rPr>
        <w:t>Available abstract (not full text):</w:t>
      </w:r>
      <w:r>
        <w:t xml:space="preserve"> Considering the war in Ukraine, it will be necessary to restore the tourism system. The use of foresight as a means of predicting the future will ensure the formation of conditions for its development. The study aims to assess the functioning of the tourism system in Ukraine under martial law and to develop foresight scenarios for its development. The analysis of the main economic indicators of tourism and hotel entities during the war period indicates potential opportunities (a stable or growing trend). The volume of tax revenues to the state budget in 2023 increased by 15.6%. 2023 hotels’ KPIs (RevPAR, ADR, Occupancy) for the main destinations compared to the same period in 2022 increased by 206.0%, 66.0%, and 44.0%, respectively. The study scans the horizon within which the factors affecting the development of the tourism system are determined and assesses the levels of their potential impact and probability of occurrence. The BANI method is used to identify possible α- and β-scenarios of development, and the matrix method is used to interpret the strategic development directions. Industry factors are combined into four groups: development trends, the state of the market, technologies, innovations, and professional competence of staff. Thus, α- (optimistic) and β- (pessimistic) development scenarios future states in the tourism development. A prognostic vision of the future </w:t>
      </w:r>
    </w:p>
    <w:p>
      <w:pPr/>
      <w:r>
        <w:rPr>
          <w:b/>
        </w:rPr>
        <w:t>POSSIBLE 2023:</w:t>
      </w:r>
      <w:r>
        <w:t xml:space="preserve"> Foresight as a tool for implementing the directions of new industrialization — https://doi.org/10.26425/1816-4277-2023-2-48-56</w:t>
      </w:r>
    </w:p>
    <w:p>
      <w:pPr/>
      <w:r>
        <w:rPr>
          <w:b/>
        </w:rPr>
        <w:t>Shared claim-specific concepts:</w:t>
      </w:r>
      <w:r>
        <w:t xml:space="preserve"> foresight, directions, innovative; EU scope not established. This is a provisional connection, not an outcome finding.</w:t>
      </w:r>
    </w:p>
    <w:p>
      <w:pPr>
        <w:pStyle w:val="SourceNote"/>
      </w:pPr>
      <w:r>
        <w:rPr>
          <w:b/>
        </w:rPr>
        <w:t>Available abstract (not full text):</w:t>
      </w:r>
      <w:r>
        <w:t xml:space="preserve"> The subjectof the study is the process of reindustrialization in the old industrial region, where the main development resources are preserved, but the activity level of innovative processes is insufficient. The purposeof the study is the possibility of applying foresight methods in the implementation of neoindustrialization projects in the region. The methodologyincludes a monographic study of the industrialization processes dynamics, a comparative analysis of procedures for changing the structure of industrial production, and a foresight conducting methodology. The main resultof the study is the substantiation of the choice of the most effective method of applying foresight, as well as the construction of a reindustrialization roadmap on the example of the Voronezh region. The application of these results is possible in other territorial entities (region, municipal unit) involved in the implementation of foresight projects for the development of industry. Prospects:research development - creation of a model methodology for the use of foresights in the implementation of large-scale complex projects at the regional level. Conclusions:the use of foresight in determining the prospects for the revival of the high-tech industry will help to increase the efficiency of decisions to attract resources to the development of priority benchmark, industrial production.</w:t>
      </w:r>
    </w:p>
    <w:p>
      <w:pPr/>
      <w:r>
        <w:rPr>
          <w:b/>
        </w:rPr>
        <w:t>POSSIBLE 2022:</w:t>
      </w:r>
      <w:r>
        <w:t xml:space="preserve"> Education as a System: The Content of the Foresight Methodology — https://doi.org/10.25205/2541-7517-2022-20-2-68-78</w:t>
      </w:r>
    </w:p>
    <w:p>
      <w:pPr/>
      <w:r>
        <w:rPr>
          <w:b/>
        </w:rPr>
        <w:t>Shared claim-specific concepts:</w:t>
      </w:r>
      <w:r>
        <w:t xml:space="preserve"> foresight, system, society; EU scope not established. This is a provisional connection, not an outcome finding.</w:t>
      </w:r>
    </w:p>
    <w:p>
      <w:pPr>
        <w:pStyle w:val="SourceNote"/>
      </w:pPr>
      <w:r>
        <w:rPr>
          <w:b/>
        </w:rPr>
        <w:t>Available abstract (not full text):</w:t>
      </w:r>
      <w:r>
        <w:t xml:space="preserve"> The article reveals the substantive aspects of the Foresight methodology of social forecasting of the devel­opment of the education system as a complex, dynamic, open system from the point of view of a systematic approach. It is assumed that the education system is a central social institution, which, being associated with the transmission of knowledge, has to, in order to form a holistic personality of human beings, also support its own systemic complexity, as well as correspond to the complexity of the entire structure of society. The paper emphasizes some substantive difficulties in the work of experts in the framework of Foresight studies, as well as the need to take into account the value aspect when predicting the education of the future.</w:t>
      </w:r>
    </w:p>
    <w:p>
      <w:pPr/>
      <w:r>
        <w:rPr>
          <w:b/>
        </w:rPr>
        <w:t>POSSIBLE 2022:</w:t>
      </w:r>
      <w:r>
        <w:t xml:space="preserve"> Foresight as a Strategic Management Tool in the ICT Industry — https://doi.org/10.32983/2222-4459-2022-10-225-230</w:t>
      </w:r>
    </w:p>
    <w:p>
      <w:pPr/>
      <w:r>
        <w:rPr>
          <w:b/>
        </w:rPr>
        <w:t>Shared claim-specific concepts:</w:t>
      </w:r>
      <w:r>
        <w:t xml:space="preserve"> foresight, system, expert, strategic, innovative, identification; EU scope not established. This is a provisional connection, not an outcome finding.</w:t>
      </w:r>
    </w:p>
    <w:p>
      <w:pPr>
        <w:pStyle w:val="SourceNote"/>
      </w:pPr>
      <w:r>
        <w:rPr>
          <w:b/>
        </w:rPr>
        <w:t>Available abstract (not full text):</w:t>
      </w:r>
      <w:r>
        <w:t xml:space="preserve"> Foresight, as one of the most effective tools of strategic management, logically fits into the system of strategizing, which determines the relevance and actuality of the presented study. The desire to exchange traditions and management practices, along with consideration of scale, also contribute to the development of strategic management, in particular, foresight management. The purpose of the publication is to identify the essence of the available foresight studies and the possibilities of introducing their results in practice, in particular at the enterprises of the ICT industry. To achieve the purpose, general and special methods were used, such as methods of system analysis, analysis and synthesis, empirical methods of comparison and generalization, case method. The task is set as follows: studying the practice of application of foresight methodology in the ICT industry. The article considers the content and features of foresight as a tool of strategic management of enterprise development used to ensure their competitiveness. The purpose of the practical application of foresight is the implementation of strategic long-term forecasting, which is formed on the basis of expert opinions, analyses of factors, identification of stakeholders, displaying alternative trends in the development of enterprise, allowing to form development scenarios and implement the chosen strategy. </w:t>
      </w:r>
    </w:p>
    <w:p>
      <w:pPr/>
      <w:r>
        <w:rPr>
          <w:b/>
        </w:rPr>
        <w:t>POSSIBLE 2022:</w:t>
      </w:r>
      <w:r>
        <w:t xml:space="preserve"> Exploring future research and innovation directions for a sustainable blue economy — https://doi.org/10.1016/j.marpol.2022.105433</w:t>
      </w:r>
    </w:p>
    <w:p>
      <w:pPr/>
      <w:r>
        <w:rPr>
          <w:b/>
        </w:rPr>
        <w:t>Shared claim-specific concepts:</w:t>
      </w:r>
      <w:r>
        <w:t xml:space="preserve"> foresight, strategic, directions, innovative, economy; EU scope visible. This is a provisional connection, not an outcome finding.</w:t>
      </w:r>
    </w:p>
    <w:p>
      <w:pPr>
        <w:pStyle w:val="SourceNote"/>
      </w:pPr>
      <w:r>
        <w:rPr>
          <w:b/>
        </w:rPr>
        <w:t>Available abstract (not full text):</w:t>
      </w:r>
      <w:r>
        <w:t xml:space="preserve"> The blue economy integrates commercial, research and innovation activities across diverse industrial sectors. Achieving a sustainable blue economy requires unlocking the potential of science and innovation to develop innovative ocean sustainability solutions. This study explores the role of foresight in co-creating alternative, preferred futures for a sustainable blue economy looking towards 2030 and in establishing an interdisciplinary dialogue about research and innovation opportunities to achieve these futures. To this end, a foresight exercise is conducted with marine scientists and researchers in 6 countries in Europe. The exercise is designed in three stages: scanning, scenario-building and strategic orientation, and uses a combination of foresight methods to encourage creative thinking and exploration. The scenarios developed in the study describe alternative future worlds built on the establishment of self-sustaining communities and engaged societies; the diffusion of digitalisation and growth of blue biotechnologies; booming ecosystem services and open and collaborative research infrastructures that impact different sectors of the blue economy. A portfolio of research and innovation areas is developed that aims to inspire new research directions in four domains: (i) integrated ocean management tools; (ii) closed loop, circular polyculture systems; (iii) co-creation of </w:t>
      </w:r>
    </w:p>
    <w:p>
      <w:pPr/>
      <w:r>
        <w:rPr>
          <w:b/>
        </w:rPr>
        <w:t>POSSIBLE 2021:</w:t>
      </w:r>
      <w:r>
        <w:t xml:space="preserve"> On the Application of Foresight in Education for Sustainable Development — https://doi.org/10.21209/2658-7114-2021-16-4-55-64</w:t>
      </w:r>
    </w:p>
    <w:p>
      <w:pPr/>
      <w:r>
        <w:rPr>
          <w:b/>
        </w:rPr>
        <w:t>Shared claim-specific concepts:</w:t>
      </w:r>
      <w:r>
        <w:t xml:space="preserve"> foresight, system, directions, innovative, technological; EU scope not established. This is a provisional connection, not an outcome finding.</w:t>
      </w:r>
    </w:p>
    <w:p>
      <w:pPr>
        <w:pStyle w:val="SourceNote"/>
      </w:pPr>
      <w:r>
        <w:rPr>
          <w:b/>
        </w:rPr>
        <w:t>Available abstract (not full text):</w:t>
      </w:r>
      <w:r>
        <w:t xml:space="preserve"> Education is the most important mechanism for achieving the Sustainable Development Goals (SDGs). One of the methodological difficulties in the implementation of education for sustainable development (ESD) is associated with its proactive, predictive nature. In this regard, when designing ESD, it seems appropriate to use technologies of futurology, particularly, the technology of foresight. The article considers the main features of foresight and examples of its application in Russian education. The results of the foresight session on the design of ESD as an innovative pedagogical system and the development of a “roadmap” for the implementation of ESD in the Russian Federation for the period until 2030 are presented. 14 experts took part in this work (21 % are with D. Sc. degree, 50 % are with Ph. D. degree; average teaching experience is 17,4 years, including 12,6 years in the field of ESD). During the STEEPV analysis, we identified the main social, technological, economic, environmental, political, and value-based factors that will affect both the education system in general and ESD in particular. The SWOT analysis allowed us to determine the characteristic features of ESD, regarding its strengths and weaknesses, opportunities, and threats. In the brainstorming mode, the main elements of the ESD roadmap for the next 10 years (trends, technologies, formats / social practices, </w:t>
      </w:r>
    </w:p>
    <w:p>
      <w:pPr/>
      <w:r>
        <w:rPr>
          <w:b/>
        </w:rPr>
        <w:t>POSSIBLE 2021:</w:t>
      </w:r>
      <w:r>
        <w:t xml:space="preserve"> FORESIGHT IN THE SYSTEM OF STRATEGIC PUBLIC SECURITY MANAGEMENT OF THE COUNTRY — https://doi.org/10.32689/2618-0065-2021-3(9)-87-101</w:t>
      </w:r>
    </w:p>
    <w:p>
      <w:pPr/>
      <w:r>
        <w:rPr>
          <w:b/>
        </w:rPr>
        <w:t>Shared claim-specific concepts:</w:t>
      </w:r>
      <w:r>
        <w:t xml:space="preserve"> foresight, system, strategic, innovative, technological; EU scope not established. This is a provisional connection, not an outcome finding.</w:t>
      </w:r>
    </w:p>
    <w:p>
      <w:pPr>
        <w:pStyle w:val="SourceNote"/>
      </w:pPr>
      <w:r>
        <w:rPr>
          <w:b/>
        </w:rPr>
        <w:t>Available abstract (not full text):</w:t>
      </w:r>
      <w:r>
        <w:t xml:space="preserve"> The article analyzes the innovative form of foresight forecasting. The author substantiates that foresight in the system of strategic management of public security of the country is a process of creative assessment, which applies the available knowledge and forecast analysis to the potential future development of the public security system. In the article of implementation of such process can occur and be implemented within the body of state power or external organization of the management system. The author notes that foresight is the most effective technology that can detect emerging trends in the early stages and predict possible scenarios for future problems. This technology gives the state the opportunity to "play ahead", thereby acting proactively, rather than eliminating the effects of new crises. The author determined that foresight in the public safety system is carried out in three stages: At the first stage, promising trends in scientific and technological development in the field of public safety, which are classified by clusters. They cover various areas (personnel, logistical, financial, innovative, organizational and other public security) and are interdisciplinary. In the second stage, trends are analyzed to form "pictures of the future" based on them, and current topics for building scenarios and concepts of development are identified. At the third stage, on th</w:t>
      </w:r>
    </w:p>
    <w:p>
      <w:pPr>
        <w:pStyle w:val="Heading2"/>
      </w:pPr>
      <w:r>
        <w:t>862.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2021:</w:t>
      </w:r>
      <w:r>
        <w:t xml:space="preserve"> The European Social Fund Supports the Reintegration of the Long-term Unemployed Individuals Aged 50+ Into the Labor Market - A Comparison of the Federal States in Austria — https://doi.org/10.2478/ngoe-2021-0012</w:t>
      </w:r>
    </w:p>
    <w:p>
      <w:pPr/>
      <w:r>
        <w:rPr>
          <w:b/>
        </w:rPr>
        <w:t>Shared claim-specific concepts:</w:t>
      </w:r>
      <w:r>
        <w:t xml:space="preserve"> recent, number, unemployed, four, aged; EU scope visible. This is a provisional connection, not an outcome finding.</w:t>
      </w:r>
    </w:p>
    <w:p>
      <w:pPr>
        <w:pStyle w:val="SourceNote"/>
      </w:pPr>
      <w:r>
        <w:rPr>
          <w:b/>
        </w:rPr>
        <w:t>Available abstract (not full text):</w:t>
      </w:r>
      <w:r>
        <w:t xml:space="preserve">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pPr/>
      <w:r>
        <w:rPr>
          <w:b/>
        </w:rPr>
        <w:t>POSSIBLE 2021:</w:t>
      </w:r>
      <w:r>
        <w:t xml:space="preserve"> Initial Upper Palaeolithic humans in Europe had recent Neanderthal ancestry — https://doi.org/10.1038/s41586-021-03335-3</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Abstract Modern humans appeared in Europe by at least 45,000 years ago1–5, but the extent of their interactions with Neanderthals, who disappeared by about 40,000 years ago6, and their relationship to the broader expansion of modern humans outside Africa are poorly understood. Here we present genome-wide data from three individuals dated to between 45,930 and 42,580 years ago from Bacho Kiro Cave, Bulgaria1,2. They are the earliest Late Pleistocene modern humans known to have been recovered in Europe so far, and were found in association with an Initial Upper Palaeolithic artefact assemblage. Unlike two previously studied individuals of similar ages from Romania7 and Siberia8 who did not contribute detectably to later populations, these individuals are more closely related to present-day and ancient populations in East Asia and the Americas than to later west Eurasian populations. This indicates that they belonged to a modern human migration into Europe that was not previously known from the genetic record, and provides evidence that there was at least some continuity between the earliest modern humans in Europe and later people in Eurasia. Moreover, we find that all three individuals had Neanderthal ancestors a few generations back in their family history, confirming that the first European modern humans mixed with Neanderthals and suggesting that such mixing could have been c</w:t>
      </w:r>
    </w:p>
    <w:p>
      <w:pPr/>
      <w:r>
        <w:rPr>
          <w:b/>
        </w:rPr>
        <w:t>POSSIBLE 2020:</w:t>
      </w:r>
      <w:r>
        <w:t xml:space="preserve"> Bitten or struck by dog: A rising number of fatalities in Europe, 1995–2016 — https://doi.org/10.1016/j.forsciint.2020.110592</w:t>
      </w:r>
    </w:p>
    <w:p>
      <w:pPr/>
      <w:r>
        <w:rPr>
          <w:b/>
        </w:rPr>
        <w:t>Shared claim-specific concepts:</w:t>
      </w:r>
      <w:r>
        <w:t xml:space="preserve"> number, people, between; EU scope visible. This is a provisional connection, not an outcome finding.</w:t>
      </w:r>
    </w:p>
    <w:p>
      <w:pPr>
        <w:pStyle w:val="SourceNote"/>
      </w:pPr>
      <w:r>
        <w:rPr>
          <w:b/>
        </w:rPr>
        <w:t>Available abstract (not full text):</w:t>
      </w:r>
      <w:r>
        <w:t xml:space="preserve"> We analyzed fatal dog attacks in Europe 1995-2016 using official death cause data from Eurostat. The data comprised the number of fatalities assigned The International Statistical Classification of Diseases and Related Health Problems, Tenth Revision (ICD-10) code W54 "bitten or struck by dog", which includes deaths due to direct attacks but which excludes many complications following dog bites, such as rabies. In 2016, dogs killed 45 Europeans, which translates to an incidence of 0.009 per 100,000 inhabitants. This is comparable to estimates from the USA (0.011), and Canada (0.007), but higher than Australia (0.004). The number of European fatalities due to dog attacks increased significantly at a rate of several percent per year. This increase could not be explained by increases in the human or the dog populations. By taking all fatalities reported 1995-2016 into account, we investigated the effects of age, gender and geography. First, children, including infants, were common victims, but also middle-aged and the elderly, while people between ages 10 and 39 were rarely killed by dogs. Second, boys and men were overrepresented, but only in certain age groups and in certain parts of Europe. Third, there were large national and regional differences, both in the effects of gender and in incidences, which ranged from 0 to 0.045 per 100,000 inhabitants. This study of dog-related fa</w:t>
      </w:r>
    </w:p>
    <w:p>
      <w:pPr/>
      <w:r>
        <w:rPr>
          <w:b/>
        </w:rPr>
        <w:t>POSSIBLE 2019:</w:t>
      </w:r>
      <w:r>
        <w:t xml:space="preserve"> EVALUATION OF EUROPEAN SOCIAL FUND SUPPORT FOR THE EDUCATION OF THE UNEMPLOYED IN LATVIA — https://doi.org/10.17770/iss2018.4255</w:t>
      </w:r>
    </w:p>
    <w:p>
      <w:pPr/>
      <w:r>
        <w:rPr>
          <w:b/>
        </w:rPr>
        <w:t>Shared claim-specific concepts:</w:t>
      </w:r>
      <w:r>
        <w:t xml:space="preserve"> recent, number, unemployed, people; EU scope visible. This is a provisional connection, not an outcome finding.</w:t>
      </w:r>
    </w:p>
    <w:p>
      <w:pPr>
        <w:pStyle w:val="SourceNote"/>
      </w:pPr>
      <w:r>
        <w:rPr>
          <w:b/>
        </w:rPr>
        <w:t>Available abstract (not full text):</w:t>
      </w:r>
      <w:r>
        <w:t xml:space="preserve"> The unemployment rate in Latvia was continuing to decline in recent years, but it is still high, especially in the regions. In order to improve the existing skills and to master new skills of the unemployed, the European Social Fund's investments are used. The author of the paper is studying the support provided by the European Social Fund to the unemployed for raising their qualifications, which could help them to return to the labour market. The research aim is to investigate the active employment opportunities for unemployed people to take part and how it affects the return of the unemployed to the labour market. The result of the research study shows that the number of training programmes is large and varied. However, it has been concluded that improvements are needed in the implementation of the European Social Fund's co-funding in order to reduce the risk of its misuse.</w:t>
      </w:r>
    </w:p>
    <w:p>
      <w:pPr/>
      <w:r>
        <w:rPr>
          <w:b/>
        </w:rPr>
        <w:t>POSSIBLE 2019:</w:t>
      </w:r>
      <w:r>
        <w:t xml:space="preserve"> Inclusion of Unemployed People at Social Risk and Private Training Markets in Ireland, Portugal, and Spain — https://doi.org/10.1007/978-3-319-94532-3_108</w:t>
      </w:r>
    </w:p>
    <w:p>
      <w:pPr/>
      <w:r>
        <w:rPr>
          <w:b/>
        </w:rPr>
        <w:t>Shared claim-specific concepts:</w:t>
      </w:r>
      <w:r>
        <w:t xml:space="preserve"> unemployed, spain, people; EU scope visible. This is a provisional connection, not an outcome finding.</w:t>
      </w:r>
    </w:p>
    <w:p>
      <w:pPr>
        <w:pStyle w:val="SourceNote"/>
      </w:pPr>
      <w:r>
        <w:rPr>
          <w:b/>
        </w:rPr>
        <w:t>Available abstract (not full text):</w:t>
      </w:r>
      <w:r>
        <w:t xml:space="preserve"> Unavailable</w:t>
      </w:r>
    </w:p>
    <w:p>
      <w:pPr/>
      <w:r>
        <w:rPr>
          <w:b/>
        </w:rPr>
        <w:t>POSSIBLE 2018:</w:t>
      </w:r>
      <w:r>
        <w:t xml:space="preserve"> Social protection and activation for the unemployed — https://doi.org/10.4324/9781315198422-16</w:t>
      </w:r>
    </w:p>
    <w:p>
      <w:pPr/>
      <w:r>
        <w:rPr>
          <w:b/>
        </w:rPr>
        <w:t>Shared claim-specific concepts:</w:t>
      </w:r>
      <w:r>
        <w:t xml:space="preserve"> recent, number, unemployed, people; EU scope visible. This is a provisional connection, not an outcome finding.</w:t>
      </w:r>
    </w:p>
    <w:p>
      <w:pPr>
        <w:pStyle w:val="SourceNote"/>
      </w:pPr>
      <w:r>
        <w:rPr>
          <w:b/>
        </w:rPr>
        <w:t>Available abstract (not full text):</w:t>
      </w:r>
      <w:r>
        <w:t xml:space="preserve"> The importance of the level of social protection during unemployment, in terms of the willingness of the unemployed to take up work, is by no means uncontroversial. Activation for the unemployed has become increasingly important in recent years, both in Germany and in numerous other European countries. There are a number of different approaches and strategies regarding activation for the unemployed; primarily these focus either on material pressures and constraints, or on effective advice and support for the unemployed. The fundamentally existing starting points and strategies that play a role in the context of activation for the unemployed will be analyzed in a more differentiated fashion. A further approach in the activation for the unemployed is the intensive advice and guidance provided for unemployed people. The increased involvement of third parties already envisaged in the Job-AQTIV law is to contribute to expanding the capacity for employee placement and advice for the unemployed.</w:t>
      </w:r>
    </w:p>
    <w:p>
      <w:pPr/>
      <w:r>
        <w:rPr>
          <w:b/>
        </w:rPr>
        <w:t>POSSIBLE 2018:</w:t>
      </w:r>
      <w:r>
        <w:t xml:space="preserve"> Inclusion of Unemployed People at Social Risk and Private Training Markets in Ireland, Portugal, and Spain — https://doi.org/10.1007/978-3-319-49789-1_108-1</w:t>
      </w:r>
    </w:p>
    <w:p>
      <w:pPr/>
      <w:r>
        <w:rPr>
          <w:b/>
        </w:rPr>
        <w:t>Shared claim-specific concepts:</w:t>
      </w:r>
      <w:r>
        <w:t xml:space="preserve"> unemployed, spain, people; EU scope visible. This is a provisional connection, not an outcome finding.</w:t>
      </w:r>
    </w:p>
    <w:p>
      <w:pPr>
        <w:pStyle w:val="SourceNote"/>
      </w:pPr>
      <w:r>
        <w:rPr>
          <w:b/>
        </w:rPr>
        <w:t>Available abstract (not full text):</w:t>
      </w:r>
      <w:r>
        <w:t xml:space="preserve"> Unavailable</w:t>
      </w:r>
    </w:p>
    <w:p>
      <w:pPr/>
      <w:r>
        <w:rPr>
          <w:b/>
        </w:rPr>
        <w:t>POSSIBLE 2018:</w:t>
      </w:r>
      <w:r>
        <w:t xml:space="preserve"> Measles and human movement in Europe — https://doi.org/10.1093/jtm/tay091</w:t>
      </w:r>
    </w:p>
    <w:p>
      <w:pPr/>
      <w:r>
        <w:rPr>
          <w:b/>
        </w:rPr>
        <w:t>Shared claim-specific concepts:</w:t>
      </w:r>
      <w:r>
        <w:t xml:space="preserve"> recent, number, expected, between; EU scope visible. This is a provisional connection, not an outcome finding.</w:t>
      </w:r>
    </w:p>
    <w:p>
      <w:pPr>
        <w:pStyle w:val="SourceNote"/>
      </w:pPr>
      <w:r>
        <w:rPr>
          <w:b/>
        </w:rPr>
        <w:t>Available abstract (not full text):</w:t>
      </w:r>
      <w:r>
        <w:t xml:space="preserve"> To the Editor-in-Chief Many regions of the world where infectious diseases had ceased to be important public health issues have recently reported the resurgence of some emerging and re-emerging infectious diseases that were introduced by infected travellers. Human movement is playing an increasing role in the spread of communicable diseases, both at the international and national level and even between different districts within countries. The highest risk for global health is the indisputable fact that a traveller with an infectious disease can reach virtually any part of the world within 24 h. The current staggering volume, speed, and reach of travel are unprecedented, showing a virtually uninterrupted growth—from 25 million in 1950 to 278 million in 1980, 528 million in 1995, and 1087 million in 2013.1 International tourist arrivals worldwide are expected to increase by 3.3% per year from 2010 to 2030 to reach 1.8 billion by 2030, according to UNWTO’s long-term forecast Tourism Towards 2030.1 Therefore, travellers are not only at individual risk but also serve as means for introducing and disseminating diseases2 and as sentinel marker.3 Situations where a relatively small number of infected individuals travel to previously disease-free areas have been particularly critical in Europe. In such cases, the deterministic formulation of risk is not sufficient and hence the necessi</w:t>
      </w:r>
    </w:p>
    <w:p>
      <w:pPr/>
      <w:r>
        <w:rPr>
          <w:b/>
        </w:rPr>
        <w:t>POSSIBLE 2017:</w:t>
      </w:r>
      <w:r>
        <w:t xml:space="preserve"> Self-placement of the Unemployed in the Social Hierarchy. Evidence from European Countries — https://openalex.org/W2908493705</w:t>
      </w:r>
    </w:p>
    <w:p>
      <w:pPr/>
      <w:r>
        <w:rPr>
          <w:b/>
        </w:rPr>
        <w:t>Shared claim-specific concepts:</w:t>
      </w:r>
      <w:r>
        <w:t xml:space="preserve"> recent, unemployed, people; EU scope visible. This is a provisional connection, not an outcome finding.</w:t>
      </w:r>
    </w:p>
    <w:p>
      <w:pPr>
        <w:pStyle w:val="SourceNote"/>
      </w:pPr>
      <w:r>
        <w:rPr>
          <w:b/>
        </w:rPr>
        <w:t>Available abstract (not full text):</w:t>
      </w:r>
      <w:r>
        <w:t xml:space="preserve"> Unemployment has risen during the recent recession. However, the experience of unemployment varies considerably across European countries (Gallie 2013b). To study the \nunemployment experience in different European countries, a social exclusion approach was combined with a social stratification approach utilizing a measure of subjective social position which indicates how people perceive their relative position in the social hierarchy. In evaluating their social position people make comparisons within societal contexts. We hypothesize that the country-level economic and institutional context impacts the experience of unemployment, the way people interpret it, and thus affects the subjective social position of the unemployed. Our main goal was to study the impact of different macro-level economic and social characteristics on the subjective social position of the unemployed. We focused on a comparison of the subjective social position of unemployed persons against the remaining populations of 18 European countries using data from the International Social Survey Programme (ISSP) 2009 Social Inequality module.</w:t>
      </w:r>
    </w:p>
    <w:p>
      <w:pPr/>
      <w:r>
        <w:rPr>
          <w:b/>
        </w:rPr>
        <w:t>POSSIBLE 2017:</w:t>
      </w:r>
      <w:r>
        <w:t xml:space="preserve"> Extensive recent secondary contacts between four European white oak species — https://doi.org/10.1111/nph.14413</w:t>
      </w:r>
    </w:p>
    <w:p>
      <w:pPr/>
      <w:r>
        <w:rPr>
          <w:b/>
        </w:rPr>
        <w:t>Shared claim-specific concepts:</w:t>
      </w:r>
      <w:r>
        <w:t xml:space="preserve"> recent, four, between; EU scope visible. This is a provisional connection, not an outcome finding.</w:t>
      </w:r>
    </w:p>
    <w:p>
      <w:pPr>
        <w:pStyle w:val="SourceNote"/>
      </w:pPr>
      <w:r>
        <w:rPr>
          <w:b/>
        </w:rPr>
        <w:t>Available abstract (not full text):</w:t>
      </w:r>
      <w:r>
        <w:t xml:space="preserve"> Historical trajectories of tree species during the late Quaternary have been well reconstructed through genetic and palaeobotanical studies. However, many congeneric tree species are interfertile, and the timing and contribution of introgression to species divergence during their evolutionary history remains largely unknown. We quantified past and current gene flow events between four morphologically divergent oak species (Quercus petraea, Q. robur, Q. pyrenaica, Q. pubescens), by two independent inference methods: diffusion approximation to the joint frequency spectrum (∂a∂i) and approximate Bayesian computation (ABC). For each pair of species, alternative scenarios of speciation allowing gene flow over different timescales were evaluated. Analyses of 3524 single nucleotide polymorphisms (SNPs) randomly distributed in the genome, showed that these species evolved in complete isolation for most of their history, but recently came into secondary contact, probably facilitated by the most recent period of postglacial warming. We demonstrated that: there was sufficient genetic differentiation before secondary contact for the accumulation of barriers to gene flow; and current European white oak genomes are a mosaic of genes that have crossed species boundaries and genes impermeable to gene flow.</w:t>
      </w:r>
    </w:p>
    <w:p>
      <w:pPr>
        <w:pStyle w:val="Heading2"/>
      </w:pPr>
      <w:r>
        <w:t>863.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health, assessment, mortality, due, heat, cold;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r>
        <w:rPr>
          <w:b/>
        </w:rPr>
        <w:t>POSSIBLE 2023:</w:t>
      </w:r>
      <w:r>
        <w:t xml:space="preserve"> Integrated assessment modelling of degrowth scenarios for Australia — https://doi.org/10.1080/09535314.2023.2245544</w:t>
      </w:r>
    </w:p>
    <w:p>
      <w:pPr/>
      <w:r>
        <w:rPr>
          <w:b/>
        </w:rPr>
        <w:t>Shared claim-specific concepts:</w:t>
      </w:r>
      <w:r>
        <w:t xml:space="preserve"> integrated, assessment, climate; EU scope not established. This is a provisional connection, not an outcome finding.</w:t>
      </w:r>
    </w:p>
    <w:p>
      <w:pPr>
        <w:pStyle w:val="SourceNote"/>
      </w:pPr>
      <w:r>
        <w:rPr>
          <w:b/>
        </w:rPr>
        <w:t>Available abstract (not full text):</w:t>
      </w:r>
      <w:r>
        <w:t xml:space="preserve"> Empirical evidence increasingly indicates that to achieve sufficiently rapid decarbonisation, high-income economies may need to adopt degrowth policies, scaling down less-necessary forms of production and demand, in addition to rapid deployment of renewables. Calls have been made for degrowth climate mitigation scenarios. However, so far these have not been modelled within the established Integrated Assessment Models (IAMs) for future scenario analysis of the energy-economy-emission nexus, partly because the architecture of these IAMs has growth ‘baked in’. In this work, we modify one of the common IAMs – MESSAGEix – to make it compatible with degrowth scenarios. We simulate scenarios featuring low and negative growth in a high-income economy (Australia). We achieve this by detaching MESSAGEix from its monotonically growing utility function, and by formulating an alternative utility function based on non-monotonic preferences. The outcomes from such modified scenarios reflect some characteristics of degrowth futures, including reduced aggregate production and declining energy and emissions. However, further work is needed to explore other key degrowth features such as sectoral differentiation, redistribution, and provisioning system transformation.</w:t>
      </w:r>
    </w:p>
    <w:p>
      <w:pPr/>
      <w:r>
        <w:rPr>
          <w:b/>
        </w:rPr>
        <w:t>POSSIBLE 2022:</w:t>
      </w:r>
      <w:r>
        <w:t xml:space="preserve"> The health potential of urban water: Future scenarios on local risks and opportunities — https://doi.org/10.1016/j.cities.2022.103639</w:t>
      </w:r>
    </w:p>
    <w:p>
      <w:pPr/>
      <w:r>
        <w:rPr>
          <w:b/>
        </w:rPr>
        <w:t>Shared claim-specific concepts:</w:t>
      </w:r>
      <w:r>
        <w:t xml:space="preserve"> integrated, health, impacts, explores, population, climate; EU scope visible. This is a provisional connection, not an outcome finding.</w:t>
      </w:r>
    </w:p>
    <w:p>
      <w:pPr>
        <w:pStyle w:val="SourceNote"/>
      </w:pPr>
      <w:r>
        <w:rPr>
          <w:b/>
        </w:rPr>
        <w:t>Available abstract (not full text):</w:t>
      </w:r>
      <w:r>
        <w:t xml:space="preserve"> Although cities can be characterised as sources of economic, environmental and social challenges, they can also be part of the solution for healthy and sustainable societies. While most cities are situated close to water, whether inland waterways, lakes, or the sea, these blue spaces are not integrated into urban planning to their full potential and their public health impacts are not always recognised by planning authorities. Furthermore, cities face future challenges regarding climate change, socio-economic developments like tourism, urbanization, and rising social inequalities. The development of healthy blue spaces can support cities in their pursuit of ways to confront these challenges. Interdisciplinary and transdisciplinary analyses of the local impacts of these trends and promising interventions have been scarce to date. This study explores the use of such methodology by presenting experiences related to five European cities: Amsterdam, Barcelona, Plymouth, Tallinn and Thessaloniki, using an interactive and participative approach with local experts and stakeholders. Future scenarios have been developed based on the question: How can blue spaces contribute to a healthier city population, given the long term trends? The results highlight the importance of addressing the local context when seeking sustainable solutions for cities. The future scenarios deliver information t</w:t>
      </w:r>
    </w:p>
    <w:p>
      <w:pPr/>
      <w:r>
        <w:rPr>
          <w:b/>
        </w:rPr>
        <w:t>POSSIBLE 2021:</w:t>
      </w:r>
      <w:r>
        <w:t xml:space="preserve"> Tracking progress on health and climate change in Europe — https://doi.org/10.1016/s2468-2667(21)00207-3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Left unabated, climate change will have catastrophic effects on the health of present and future generations. Such effects are already seen in Europe, through more frequent and severe extreme weather events, alterations to water and food systems, and changes in the environmental suitability for infectious diseases. As one of the largest current and historical contributors to greenhouse gases and the largest provider of financing for climate change mitigation and adaptation, Europe's response is crucial, for both human health and the planet. To ensure that health and wellbeing are protected in this response it is essential to build the capacity to understand, monitor, and quantify health impacts of climate change and the health co-benefits of accelerated action. Responding to this need, the Lancet Countdown in Europe is established as a transdisciplinary research collaboration for monitoring progress on health and climate change in Europe. With the wealth of data and academic expertise available in Europe, the collaboration will develop region-specific indicators to address the main challenges and opportunities of Europe's response to climate change for health. The indicators produced by the collaboration will provide information to health and climate policy decision making, and will also contribute to the European Observatory on Climate and Health.</w:t>
      </w:r>
    </w:p>
    <w:p>
      <w:pPr/>
      <w:r>
        <w:rPr>
          <w:b/>
        </w:rPr>
        <w:t>POSSIBLE 2021:</w:t>
      </w:r>
      <w:r>
        <w:t xml:space="preserve"> The European Blueprint on Digital Transformation of Health and Care for the Ageing Society — https://doi.org/10.5334/ijic.icic20404</w:t>
      </w:r>
    </w:p>
    <w:p>
      <w:pPr/>
      <w:r>
        <w:rPr>
          <w:b/>
        </w:rPr>
        <w:t>Shared claim-specific concepts:</w:t>
      </w:r>
      <w:r>
        <w:t xml:space="preserve"> integrated, health, population; EU scope visible. This is a provisional connection, not an outcome finding.</w:t>
      </w:r>
    </w:p>
    <w:p>
      <w:pPr>
        <w:pStyle w:val="SourceNote"/>
      </w:pPr>
      <w:r>
        <w:rPr>
          <w:b/>
        </w:rPr>
        <w:t>Available abstract (not full text):</w:t>
      </w:r>
      <w:r>
        <w:t xml:space="preserve"> The European Blueprint on Digital Transformation of Health and Care for the Ageing Society, funded as part of the WE4AHA project under the European Commission's digital single market strategy, reflects a shared policy vision on how innovation can transform health and care provision in our ageing society. The Blueprint has centred its work on 12 personas, which were developed to enable the European Innovation Partnership on Active and Healthy Ageing (EIP on AHA) to envision realistic health and care needs of particular groups in society. The concept of “personas” was initially used by technology providers to enable the design of user-friendly solutions based on a deeper understanding of how a target user will interact with particular technologies . The Blueprint furthered this concept by developing an approach that encompasses the perspective of different actors, beginning with the perspective of the citizen or patient rather the industry representatives. The resulting persona profiles include not only their health and care needs at their particular life stage, but also their personal aspects such as family, interests and hobbies, and daily living, as well as behavioural characteristics, which have been found to affect both short- and long-term success with interventions directed toward managing a disease or adopting wellness . The Blueprint personas have already been successful</w:t>
      </w:r>
    </w:p>
    <w:p>
      <w:pPr/>
      <w:r>
        <w:rPr>
          <w:b/>
        </w:rPr>
        <w:t>POSSIBLE 2021:</w:t>
      </w:r>
      <w:r>
        <w:t xml:space="preserve"> Exploring the possibility space: taking stock of the diverse capabilities and gaps in integrated assessment models — https://doi.org/10.1088/1748-9326/abe5d8</w:t>
      </w:r>
    </w:p>
    <w:p>
      <w:pPr/>
      <w:r>
        <w:rPr>
          <w:b/>
        </w:rPr>
        <w:t>Shared claim-specific concepts:</w:t>
      </w:r>
      <w:r>
        <w:t xml:space="preserve"> integrated, assessment, due, climate; EU scope not established. This is a provisional connection, not an outcome finding.</w:t>
      </w:r>
    </w:p>
    <w:p>
      <w:pPr>
        <w:pStyle w:val="SourceNote"/>
      </w:pPr>
      <w:r>
        <w:rPr>
          <w:b/>
        </w:rPr>
        <w:t>Available abstract (not full text):</w:t>
      </w:r>
      <w:r>
        <w:t xml:space="preserve"> Abstract Integrated assessment models (IAMs) have emerged as key tools for building and assessing long term climate mitigation scenarios. Due to their central role in the recent IPCC assessments, and international climate policy analyses more generally, and the high uncertainties related to future projections, IAMs have been critically assessed by scholars from different fields receiving various critiques ranging from adequacy of their methods to how their results are used and communicated. Although IAMs are conceptually diverse and evolved in very different directions, they tend to be criticised under the umbrella of ‘IAMs’. Here we first briefly summarise the IAM landscape and how models differ from each other. We then proceed to discuss six prominent critiques emerging from the recent literature, reflect and respond to them in the light of IAM diversity and ongoing work and suggest ways forward. The six critiques relate to (a) representation of heterogeneous actors in the models, (b) modelling of technology diffusion and dynamics, (c) representation of capital markets, (d) energy-economy feedbacks, (e) policy scenarios, and (f) interpretation and use of model results.</w:t>
      </w:r>
    </w:p>
    <w:p>
      <w:pPr/>
      <w:r>
        <w:rPr>
          <w:b/>
        </w:rPr>
        <w:t>POSSIBLE 2021:</w:t>
      </w:r>
      <w:r>
        <w:t xml:space="preserve"> pyam: Analysis and visualisation of integrated assessment and macro-energy scenarios — https://doi.org/10.12688/openreseurope.13633.1</w:t>
      </w:r>
    </w:p>
    <w:p>
      <w:pPr/>
      <w:r>
        <w:rPr>
          <w:b/>
        </w:rPr>
        <w:t>Shared claim-specific concepts:</w:t>
      </w:r>
      <w:r>
        <w:t xml:space="preserve"> integrated, assessment, climate; EU scope not established. This is a provisional connection, not an outcome finding.</w:t>
      </w:r>
    </w:p>
    <w:p>
      <w:pPr>
        <w:pStyle w:val="SourceNote"/>
      </w:pPr>
      <w:r>
        <w:rPr>
          <w:b/>
        </w:rPr>
        <w:t>Available abstract (not full text):</w:t>
      </w:r>
      <w:r>
        <w:t xml:space="preserve"> The open-source Python package pyam provides a suite of features and methods for the analysis, validation and visualization of reference data and scenario results generated by integrated assessment models, macro-energy tools and other frameworks in the domain of energy transition, climate change mitigation and sustainable development. It bridges the gap between scenario processing and visualisation solutions that are "hard-wired" to specific modelling frameworks and generic data analysis or plotting packages. The package aims to facilitate reproducibility and reliability of scenario processing, validation and analysis by providing well-tested and documented methods for working with timeseries data in the context of climate policy and energy systems. It supports various data formats, including sub-annual resolution using continuous time representation and "representative timeslices". The pyam package can be useful for modelers generating scenario results using their own tools as well as researchers and analysts working with existing scenario ensembles such as those supporting the IPCC reports or produced in research projects. It is structured in a way that it can be applied irrespective of a user's domain expertise or level of Python knowledge, supporting experts as well as novice users. The code base is implemented following best practices of collaborative scientific-software d</w:t>
      </w:r>
    </w:p>
    <w:p>
      <w:pPr/>
      <w:r>
        <w:rPr>
          <w:b/>
        </w:rPr>
        <w:t>POSSIBLE 2020:</w:t>
      </w:r>
      <w:r>
        <w:t xml:space="preserve"> The Impact of Decarbonization Scenarios on Air Quality and Human Health in Poland—Analysis of Scenarios up to 2050 — https://doi.org/10.3390/atmos11111222</w:t>
      </w:r>
    </w:p>
    <w:p>
      <w:pPr/>
      <w:r>
        <w:rPr>
          <w:b/>
        </w:rPr>
        <w:t>Shared claim-specific concepts:</w:t>
      </w:r>
      <w:r>
        <w:t xml:space="preserve"> integrated, health, impacts, population, heat, three; EU scope visible. This is a provisional connection, not an outcome finding.</w:t>
      </w:r>
    </w:p>
    <w:p>
      <w:pPr>
        <w:pStyle w:val="SourceNote"/>
      </w:pPr>
      <w:r>
        <w:rPr>
          <w:b/>
        </w:rPr>
        <w:t>Available abstract (not full text):</w:t>
      </w:r>
      <w:r>
        <w:t xml:space="preserve"> Poland faces two great challenges in the field of environment and atmosphere protection: improving air quality, especially by reducing particulate matter (PM) emissions, and reducing relatively high greenhouse gas emissions. The aim of this research was to investigate how the fuel and technological transformations in the power, road transport, and household and tertiary sectors aimed at reducing carbon dioxide (CO2) emissions in Poland would affect air quality, human health, and the associated external costs. The study was conducted for 2050 while considering 2015 as the base year. Ambient PM2.5 (particles with a diameter of less than 2.5 µm) concentration was used as a proxy air quality indicator. The analysis was based on decarbonization scenarios developed within the REFLEX Project (Analysis of the European energy system under the aspects of flexibility and technological progress). The three scenarios of the REFLEX Project focused on the reduction of CO2 emissions up to 2050 from various sectors, mainly by the means of fuel and technological switches. This also led to the changes in the emission levels of pollutants that directly affect air quality, which were calculated with the use of fuel- and technology-specific emission factors. Next, for each emission scenario, ambient concentrations of PM2.5 and others pollutants were calculated with the use of the Polyphemus—an Euler</w:t>
      </w:r>
    </w:p>
    <w:p>
      <w:pPr/>
      <w:r>
        <w:rPr>
          <w:b/>
        </w:rPr>
        <w:t>POSSIBLE 2020:</w:t>
      </w:r>
      <w:r>
        <w:t xml:space="preserve"> Integrated assessment projections for the impact of innovation on CCS deployment in Europe — https://doi.org/10.1016/j.ijggc.2020.103133</w:t>
      </w:r>
    </w:p>
    <w:p>
      <w:pPr/>
      <w:r>
        <w:rPr>
          <w:b/>
        </w:rPr>
        <w:t>Shared claim-specific concepts:</w:t>
      </w:r>
      <w:r>
        <w:t xml:space="preserve"> integrated, assessment, climate; EU scope visible. This is a provisional connection, not an outcome finding.</w:t>
      </w:r>
    </w:p>
    <w:p>
      <w:pPr>
        <w:pStyle w:val="SourceNote"/>
      </w:pPr>
      <w:r>
        <w:rPr>
          <w:b/>
        </w:rPr>
        <w:t>Available abstract (not full text):</w:t>
      </w:r>
      <w:r>
        <w:t xml:space="preserve"> CCS is expected to play a sizeable role over the next several decades to drastically abate greenhouse gas emissions in the energy system by 2050. With the integrated assessment model TIAM-ECN we project how large its contribution could be in Europe in the power sector and industry, and analyze how this contribution may be affected by cost decline (driven by technological innovation) and ambitious greenhouse gas emission reduction targets. If Europe stays on track of achieving zero net emissions by mid-century, we find that CO2 capture activities in Europe may grow to a total amount of some 1700 MtCO2/yr in 2050. We project that by 2050 power plants equipped with CCS could contribute by approximately 25 % to total electricity generation, in competition with low-carbon alternatives such as nuclear energy and renewables like solar photovoltaic and wind power. CCS in association with the use of natural gas could account for about 35 % of energy use in industrial applications, while the use of biomass and coal combined with CCS could be employed for the production of hydrogen. We find that stringent climate policy measures constitute a bigger driver of broad CCS diffusion than CCS technology cost reductions. We project that under stringent climate policy targeting zero net emissions by 2050, a 30 % CCS capital cost reduction as a result of technological advancement could proffer Eur</w:t>
      </w:r>
    </w:p>
    <w:p>
      <w:pPr>
        <w:pStyle w:val="Heading2"/>
      </w:pPr>
      <w:r>
        <w:t>864.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2023:</w:t>
      </w:r>
      <w:r>
        <w:t xml:space="preserve"> The impact of extensive agricultural water drainage on the hydrology of the Kleine Nete watershed, Belgium — https://doi.org/10.1016/j.scitotenv.2023.163903</w:t>
      </w:r>
    </w:p>
    <w:p>
      <w:pPr/>
      <w:r>
        <w:rPr>
          <w:b/>
        </w:rPr>
        <w:t>Shared claim-specific concepts:</w:t>
      </w:r>
      <w:r>
        <w:t xml:space="preserve"> catchment, hydrology, soil, water, integrated, drainage; EU scope visible. This is a provisional connection, not an outcome finding.</w:t>
      </w:r>
    </w:p>
    <w:p>
      <w:pPr>
        <w:pStyle w:val="SourceNote"/>
      </w:pPr>
      <w:r>
        <w:rPr>
          <w:b/>
        </w:rPr>
        <w:t>Available abstract (not full text):</w:t>
      </w:r>
      <w:r>
        <w:t xml:space="preserve"> Agricultural water drainage can significantly lower groundwater levels and affect catchment hydrology. Therefore, building models with and without these features can indicate an adverse impact on the geohydrological process. Therefore, the standalone Soil Water Assessment Tool (SWAT+) model was initially developed to simulate streamflow at the Kleine Nete catchment outlet. Next, a physically based and spatially distributed groundwater module (gwflow) was integrated into the SWAT+ model and calibrated for stream discharge at the catchment outlet. Finally, the same model was calibrated for both streamflow and groundwater heads. These final model parameters are used to investigate the basin-wide hydrologic fluxes with and without including agricultural drainage systems in the model scheme. The result suggested that the standalone SWAT+ model poorly represented the stream discharge and attained low NSE values of 0.18 and 0.37 during the calibration and validation periods, respectively. Integrating the gwflow module to SWAT+ improved the model representation of stream discharge (NSE = 0.91 and 0.65 for calibration and validation periods, respectively) and groundwater heads. However, calibrating the model for only streamflow resulted in a high root mean square error (above 1 m) for groundwater head, and the seasonality is not captured. On the other hand, calibrating the coupled model</w:t>
      </w:r>
    </w:p>
    <w:p>
      <w:pPr/>
      <w:r>
        <w:rPr>
          <w:b/>
        </w:rPr>
        <w:t>POSSIBLE 2023:</w:t>
      </w:r>
      <w:r>
        <w:t xml:space="preserve"> A simple stacked ensemble machine learning model to predict naturalized catchment hydrology and allocation status — https://doi.org/10.48550/arxiv.2312.01649</w:t>
      </w:r>
    </w:p>
    <w:p>
      <w:pPr/>
      <w:r>
        <w:rPr>
          <w:b/>
        </w:rPr>
        <w:t>Shared claim-specific concepts:</w:t>
      </w:r>
      <w:r>
        <w:t xml:space="preserve"> probable, catchment, hydrology, water; EU scope not established. This is a provisional connection, not an outcome finding.</w:t>
      </w:r>
    </w:p>
    <w:p>
      <w:pPr>
        <w:pStyle w:val="SourceNote"/>
      </w:pPr>
      <w:r>
        <w:rPr>
          <w:b/>
        </w:rPr>
        <w:t>Available abstract (not full text):</w:t>
      </w:r>
      <w:r>
        <w:t xml:space="preserve"> New Zealand legislation requires that Regional Councils set limits for water resource usage to manage the effects of abstractions in over-allocated catchments. We propose a simple stacked ensemble machine learning model to predict the probable naturalized hydrology and allocation status across 317 anthropogenically stressed gauged catchments and across 18,612 ungauged river reaches in Otago. The training and testing of ensemble machine learning models provides unbiased results characterized as very good (R2 &gt; 0.8) to extremely good (R2 &gt; 0.9) when predicting naturalized mean annual low flow and Mean flow. Statistical 5-fold stacking identifies varying levels of risk for managing water-resource sustainability in over-allocated catchments; for example, at the respective 5th, 25th, 50th, 75th, and 95th percentiles the number of overallocated catchments are 73, 57, 44, 23, and 22. The proposed model can be applied to inform sustainable stream management in other regional catchments across New Zealand and worldwide.</w:t>
      </w:r>
    </w:p>
    <w:p>
      <w:pPr/>
      <w:r>
        <w:rPr>
          <w:b/>
        </w:rPr>
        <w:t>POSSIBLE 2023:</w:t>
      </w:r>
      <w:r>
        <w:t xml:space="preserve"> Recent advancements of landslide hydrology — https://doi.org/10.1002/wat2.1675</w:t>
      </w:r>
    </w:p>
    <w:p>
      <w:pPr/>
      <w:r>
        <w:rPr>
          <w:b/>
        </w:rPr>
        <w:t>Shared claim-specific concepts:</w:t>
      </w:r>
      <w:r>
        <w:t xml:space="preserve"> climate, hydrology, soil, water, drainage; EU scope not established. This is a provisional connection, not an outcome finding.</w:t>
      </w:r>
    </w:p>
    <w:p>
      <w:pPr>
        <w:pStyle w:val="SourceNote"/>
      </w:pPr>
      <w:r>
        <w:rPr>
          <w:b/>
        </w:rPr>
        <w:t>Available abstract (not full text):</w:t>
      </w:r>
      <w:r>
        <w:t xml:space="preserve"> Abstract Occurrence of rainfall‐induced landslides is increasing worldwide, owing to land use and climate changes. Although the connection between hydrology and rainfall‐induced landslides might seem obvious, hydrological processes have been only marginally considered in landslide research for decades. In 2016, an advanced review paper published in WIREs Water [Bogaard and Greco (2016), WIREs Water, 3(3), 439–459] pointed out several challenging issues for landslide hydrology research: considering large‐scale hydrological processes in the assessment of slope water balance; including antecedent hydrological information in landslide hazard assessment; understanding and quantifying the feedbacks between deformation and infiltration/drainage processes; overcoming the conceptual mismatch of soil mechanics models and hydrological models. While little progress has been made on the latter two issues, a variety of studies have been published, focusing on the role of hydrological processes in landslide initiation and prediction. The importance of the identification of the origin of water to understand the processes leading to landslide activation is largely acknowledged. Techniques and methodologies for the definition of landslide catchments and for the assessment of landslide water balance are progressing fast, often considering the hydraulic effect of vegetation. The use of hydrologica</w:t>
      </w:r>
    </w:p>
    <w:p>
      <w:pPr/>
      <w:r>
        <w:rPr>
          <w:b/>
        </w:rPr>
        <w:t>POSSIBLE 2022:</w:t>
      </w:r>
      <w:r>
        <w:t xml:space="preserve"> Mid-Holocene European climate revisited: New high-resolution regional climate model simulations using pollen-based land-cover — https://doi.org/10.1016/j.quascirev.2022.107431</w:t>
      </w:r>
    </w:p>
    <w:p>
      <w:pPr/>
      <w:r>
        <w:rPr>
          <w:b/>
        </w:rPr>
        <w:t>Shared claim-specific concepts:</w:t>
      </w:r>
      <w:r>
        <w:t xml:space="preserve"> probable, climate; EU scope visible. This is a provisional connection, not an outcome finding.</w:t>
      </w:r>
    </w:p>
    <w:p>
      <w:pPr>
        <w:pStyle w:val="SourceNote"/>
      </w:pPr>
      <w:r>
        <w:rPr>
          <w:b/>
        </w:rPr>
        <w:t>Available abstract (not full text):</w:t>
      </w:r>
      <w:r>
        <w:t xml:space="preserve"> Land-cover changes have a clear impact on local climates via biophysical effects. European land cover has been affected by human activities for at least 6000 years, but possibly longer. It is thus highly probable that humans altered climate before the industrial revolution (AD1750–1850). In this study, climate and vegetation 6000 years (6 ka) ago is investigated using one global climate model, two regional climate models, one dynamical vegetation model, pollen-based reconstruction of past vegetation cover using a model of the pollen-vegetation relationship and a statistical model for spatial interpolation of the reconstructed land cover. This approach enables us to study 6 ka climate with potential natural and reconstructed land cover, and to determine how differences in land cover impact upon simulated climate. The use of two regional climate models enables us to discuss the robustness of the results. This is the first experiment with two regional climate models of simulated palaeo-climate based on regional climate models. Different estimates of 6 ka vegetation are constructed: simulated potential vegetation and reconstructed vegetation. Potential vegetation is the natural climate-induced vegetation as simulated by a dynamical vegetation model driven by climate conditions from a climate model. Bayesian spatial model interpolated point estimates of pollen-based plant abundances</w:t>
      </w:r>
    </w:p>
    <w:p>
      <w:pPr/>
      <w:r>
        <w:rPr>
          <w:b/>
        </w:rPr>
        <w:t>POSSIBLE 2022:</w:t>
      </w:r>
      <w:r>
        <w:t xml:space="preserve"> A probabilistic climate change assessment for Europe — https://doi.org/10.1002/joc.7604</w:t>
      </w:r>
    </w:p>
    <w:p>
      <w:pPr/>
      <w:r>
        <w:rPr>
          <w:b/>
        </w:rPr>
        <w:t>Shared claim-specific concepts:</w:t>
      </w:r>
      <w:r>
        <w:t xml:space="preserve"> impacts, climate, four;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2022:</w:t>
      </w:r>
      <w:r>
        <w:t xml:space="preserve"> Impact of climate change on catchment nutrient dynamics: insights from around the world — https://doi.org/10.1139/er-2021-0109</w:t>
      </w:r>
    </w:p>
    <w:p>
      <w:pPr/>
      <w:r>
        <w:rPr>
          <w:b/>
        </w:rPr>
        <w:t>Shared claim-specific concepts:</w:t>
      </w:r>
      <w:r>
        <w:t xml:space="preserve"> impacts, climate, catchment, hydrology, water, areas; EU scope not established. This is a provisional connection, not an outcome finding.</w:t>
      </w:r>
    </w:p>
    <w:p>
      <w:pPr>
        <w:pStyle w:val="SourceNote"/>
      </w:pPr>
      <w:r>
        <w:rPr>
          <w:b/>
        </w:rPr>
        <w:t>Available abstract (not full text):</w:t>
      </w:r>
      <w:r>
        <w:t xml:space="preserve"> This study is a meta-analysis of global articles on hydrological nutrient dynamics to determine trends and consensus on: (1) the effects of climate change-induced hydrological and temperature drivers on nutrient dynamics and how these effects vary along the catchment continuum from land to river to lake; (2) the convergence of climate change impacts with other anthropogenic pressures (agriculture, urbanization) in nutrient dynamics; and (3) regional variability in the effects of climate change on nutrient dynamics and water-quality impairment across different climate zones. An innovative web crawler tool was employed to help critically synthesize the information in the literature. The literature suggests that climate change will impact nutrient dynamics around the globe and exacerbate contemporary water-quality challenges. Nutrient leaching and overland flow transport are projected to increase globally, promoted by extreme precipitation. Seasonal variations in streamflow are expected to emulate changing precipitation patterns, but the specific local impacts of climate change on hydrology and nutrient dynamics will vary both seasonally and regionally. Plant activity may reduce some of this load in nonagricultural soils if the expected increase in plant uptake of nutrients prompted by increased temperatures can compensate for greater nitrogen (N) and phosphorus (P) mineralization</w:t>
      </w:r>
    </w:p>
    <w:p>
      <w:pPr/>
      <w:r>
        <w:rPr>
          <w:b/>
        </w:rPr>
        <w:t>POSSIBLE 2021:</w:t>
      </w:r>
      <w:r>
        <w:t xml:space="preserve"> Economic impacts of tipping points in the climate system — https://doi.org/10.1073/pnas.2103081118</w:t>
      </w:r>
    </w:p>
    <w:p>
      <w:pPr/>
      <w:r>
        <w:rPr>
          <w:b/>
        </w:rPr>
        <w:t>Shared claim-specific concepts:</w:t>
      </w:r>
      <w:r>
        <w:t xml:space="preserve"> probable, impacts, climate, integrated; EU scope not established. This is a provisional connection, not an outcome finding.</w:t>
      </w:r>
    </w:p>
    <w:p>
      <w:pPr>
        <w:pStyle w:val="SourceNote"/>
      </w:pPr>
      <w:r>
        <w:rPr>
          <w:b/>
        </w:rPr>
        <w:t>Available abstract (not full text):</w:t>
      </w:r>
      <w:r>
        <w:t xml:space="preserve"> Climate scientists have long emphasized the importance of climate tipping points like thawing permafrost, ice sheet disintegration, and changes in atmospheric circulation. Yet, save for a few fragmented studies, climate economics has either ignored them or represented them in highly stylized ways. We provide unified estimates of the economic impacts of all eight climate tipping points covered in the economic literature so far using a meta-analytic integrated assessment model (IAM) with a modular structure. The model includes national-level climate damages from rising temperatures and sea levels for 180 countries, calibrated on detailed econometric evidence and simulation modeling. Collectively, climate tipping points increase the social cost of carbon (SCC) by ∼25% in our main specification. The distribution is positively skewed, however. We estimate an ∼10% chance of climate tipping points more than doubling the SCC. Accordingly, climate tipping points increase global economic risk. A spatial analysis shows that they increase economic losses almost everywhere. The tipping points with the largest effects are dissociation of ocean methane hydrates and thawing permafrost. Most of our numbers are probable underestimates, given that some tipping points, tipping point interactions, and impact channels have not been covered in the literature so far; however, our method of structural </w:t>
      </w:r>
    </w:p>
    <w:p>
      <w:pPr/>
      <w:r>
        <w:rPr>
          <w:b/>
        </w:rPr>
        <w:t>POSSIBLE 2021:</w:t>
      </w:r>
      <w:r>
        <w:t xml:space="preserve"> Climate service derived indicators to assess the impact of climate change on local river assimilative capacity — https://doi.org/10.1016/j.cliser.2021.100250</w:t>
      </w:r>
    </w:p>
    <w:p>
      <w:pPr/>
      <w:r>
        <w:rPr>
          <w:b/>
        </w:rPr>
        <w:t>Shared claim-specific concepts:</w:t>
      </w:r>
      <w:r>
        <w:t xml:space="preserve"> probable, climate, water; EU scope visible. This is a provisional connection, not an outcome finding.</w:t>
      </w:r>
    </w:p>
    <w:p>
      <w:pPr>
        <w:pStyle w:val="SourceNote"/>
      </w:pPr>
      <w:r>
        <w:rPr>
          <w:b/>
        </w:rPr>
        <w:t>Available abstract (not full text):</w:t>
      </w:r>
      <w:r>
        <w:t xml:space="preserve"> Continental climate services provide information on essential climate variables and indicators, which can further be used to address challenges at the local scale. Climate impact indicators are the core data for evaluating the change of the assimilative capacity of the river systems under future projection scenarios. Here, the indicators from the Copernicus pan-European climate service are used to develop and showcase a water management information service for the Asopos River, Greece. River flow indicators are incorporated in the estimation of emission limit values which serve as environmental pressure indicators, for the reference and two future periods (early- and mid-century). Assimilative capacity is evaluated for six heavy metals, namely Cr, Cd, Cu, Pb, Ni and Zn. Socioeconomic indicators are also utilized to incorporate changes of economic activities in the assessment. Results from the large ensemble of 209 scenarios, consisting of different global circulation, regional climatic and impact model combinations as well as industrial activity evolution, indicate that a decrease (up to 33% of 209 scenarios) of assimilative capacity is more probable than an increase (up to 18% of the scenarios) in a future climate. Local industrial activity evolution also has an effect on the uncertainty of the results for the early-century period. We conclude that although climate impact indi</w:t>
      </w:r>
    </w:p>
    <w:p>
      <w:pPr/>
      <w:r>
        <w:rPr>
          <w:b/>
        </w:rPr>
        <w:t>POSSIBLE 2020:</w:t>
      </w:r>
      <w:r>
        <w:t xml:space="preserve"> A Review of the Potential Climate Change Impacts and Adaptation Options for European Viticulture — https://doi.org/10.3390/app10093092</w:t>
      </w:r>
    </w:p>
    <w:p>
      <w:pPr/>
      <w:r>
        <w:rPr>
          <w:b/>
        </w:rPr>
        <w:t>Shared claim-specific concepts:</w:t>
      </w:r>
      <w:r>
        <w:t xml:space="preserve"> impacts, climate; EU scope visible. This is a provisional connection, not an outcome finding.</w:t>
      </w:r>
    </w:p>
    <w:p>
      <w:pPr>
        <w:pStyle w:val="SourceNote"/>
      </w:pPr>
      <w:r>
        <w:rPr>
          <w:b/>
        </w:rPr>
        <w:t>Available abstract (not full text):</w:t>
      </w:r>
      <w:r>
        <w:t xml:space="preserve"> Viticulture and winemaking are important socioeconomic sectors in many European regions. Climate plays a vital role in the terroir of a given wine region, as it strongly controls canopy microclimate, vine growth, vine physiology, yield, and berry composition, which together determine wine attributes and typicity. New challenges are, however, predicted to arise from climate change, as grapevine cultivation is deeply dependent on weather and climate conditions. Changes in viticultural suitability over the last decades, for viticulture in general or the use of specific varieties, have already been reported for many wine regions. Despite spatially heterogeneous impacts, climate change is anticipated to exacerbate these recent trends on suitability for wine production. These shifts may reshape the geographical distribution of wine regions, while wine typicity may also be threatened in most cases. Changing climates will thereby urge for the implementation of timely, suitable, and cost-effective adaptation strategies, which should also be thoroughly planned and tuned to local conditions for an effective risk reduction. Although the potential of the different adaptation options is not yet fully investigated, deserving further research activities, their adoption will be of utmost relevance to maintain the socioeconomic and environmental sustainability of the highly valued viticulture an</w:t>
      </w:r>
    </w:p>
    <w:p>
      <w:pPr>
        <w:pStyle w:val="Heading2"/>
      </w:pPr>
      <w:r>
        <w:t>865.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2023:</w:t>
      </w:r>
      <w:r>
        <w:t xml:space="preserve"> Short-term temperature variability in regional climate models in Europe — https://doi.org/10.5194/egusphere-egu23-9447</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While long-term changes in mean values and extremes of temperature have been analysed from all possible points of view, changes in temperature variability have received far less attention. Trends in variability are, however, important, among others because their interaction with trends in mean values determines the degree with which extremes would change. For a reliable estimation of future changes of variability, it is therefore crucial that climate models simulate its characteristics correctly. This contribution presents the analysis of 4 short-term (i.e. intra-seasonal) variability measures of daily mean temperature in outputs of regional climate models driven by a reanalysis. The utilized measures of variability are standard deviation, the range between the 90th and 10th quantile, one-day lagged temporal autocorrelation, and mean absolute value of day-to-day change. The ability of twelve regional climate models from Euro-CORDEX initiative driven by the ERA Interim reanalysis to simulate the temperature variability characteristics was examined over Europe for all climatological seasons in the period from 1989 to 2008. The temperature variability in the RCMs was validated against the driving ERA Interim reanalysis and station data from the ECA&amp;D.</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regional, climate, used, investigate, period;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2022:</w:t>
      </w:r>
      <w:r>
        <w:t xml:space="preserve"> Assessment of extreme winds over Europe in Regional Climate Models — https://doi.org/10.5194/ems2022-365</w:t>
      </w:r>
    </w:p>
    <w:p>
      <w:pPr/>
      <w:r>
        <w:rPr>
          <w:b/>
        </w:rPr>
        <w:t>Shared claim-specific concepts:</w:t>
      </w:r>
      <w:r>
        <w:t xml:space="preserve"> regional, climate, used, period; EU scope visible. This is a provisional connection, not an outcome finding.</w:t>
      </w:r>
    </w:p>
    <w:p>
      <w:pPr>
        <w:pStyle w:val="SourceNote"/>
      </w:pPr>
      <w:r>
        <w:rPr>
          <w:b/>
        </w:rPr>
        <w:t>Available abstract (not full text):</w:t>
      </w:r>
      <w:r>
        <w:t xml:space="preserve"> Every year, extreme wind events cause a great deal of financial losses across Europe. As such, the accurate projection of the changes in extreme winds will be invaluable for many industries, including insurance, construction, energy, and afforestation. Adaptation planning requires the estimation of how the magnitude and frequency of extreme events, such as extreme winds, will vary in the future. Extreme winds are examined in a selection of Euro-CORDEX downscalings. Since these include multiple downscalings of the same global climate models by different regional climate models, it is possible to intercompare how different models represent extreme winds. The peaks-over-threshold approach is used identify the extreme events based on the fitted Generalized Pareto Distributions (GPD), and maps of 30-year return winds for all locations over Europe are presented. Future changes in the frequency of extreme winds are assessed for Northern, Central, and Sothern Europe for three future periods, being the near, mid, and end of this century. The results show that the frequency of extreme wind events will increase from one period to the next over the 21st century in all three regions of Europe. The results of the recently published study will be presented in detail along with a brief overview of the statistical methods employed. Our ongoing work to create a comprehensive dataset of assessed </w:t>
      </w:r>
    </w:p>
    <w:p>
      <w:pPr/>
      <w:r>
        <w:rPr>
          <w:b/>
        </w:rPr>
        <w:t>POSSIBLE 2022:</w:t>
      </w:r>
      <w:r>
        <w:t xml:space="preserve"> Afforestation impact on soil temperature in regional climate model simulations over Europe — https://doi.org/10.5194/gmd-15-595-2022</w:t>
      </w:r>
    </w:p>
    <w:p>
      <w:pPr/>
      <w:r>
        <w:rPr>
          <w:b/>
        </w:rPr>
        <w:t>Shared claim-specific concepts:</w:t>
      </w:r>
      <w:r>
        <w:t xml:space="preserve"> regional, climate, investigate, temperature; EU scope visible. This is a provisional connection, not an outcome finding.</w:t>
      </w:r>
    </w:p>
    <w:p>
      <w:pPr>
        <w:pStyle w:val="SourceNote"/>
      </w:pPr>
      <w:r>
        <w:rPr>
          <w:b/>
        </w:rPr>
        <w:t>Available abstract (not full text):</w:t>
      </w:r>
      <w:r>
        <w:t xml:space="preserve"> In the context of the first phase of the Coordinated Regional Climate Downscaling Experiment in the European domain (EURO-CORDEX) flagship plot study on Land Use and Climate Across Scales (LUCAS), we investigate the biophysical impact of afforestation on the seasonal cycle of soil temperature over the European continent with an ensemble of 10 regional climate models. For this purpose, each ensemble member performed two idealized land cover experiments in which Europe is covered either by forests or grasslands. The multi-model mean exhibits a reduction of the annual amplitude of soil temperature (AAST) due to afforestation over all European regions, although this is not a robust feature among the models. In the Mediterranean, the spread of simulated AAST response to afforestation is between −4 and +2 ∘ C at 1 m below the ground, while in Scandinavia the inter-model spread ranges from −7 to +1 ∘ C. We show that the large range in the simulated AAST response is due to the representation of the summertime climate processes and is largely explained by inter-model differences in leaf area index (LAI), surface albedo, cloud fraction and soil moisture, when all combined into a multiple linear regression. The changes in these drivers essentially determine the ratio between the increased radiative energy at surface (due to lower albedo in forests) and the increased sum of turbulent heat </w:t>
      </w:r>
    </w:p>
    <w:p>
      <w:pPr/>
      <w:r>
        <w:rPr>
          <w:b/>
        </w:rPr>
        <w:t>POSSIBLE 2022:</w:t>
      </w:r>
      <w:r>
        <w:t xml:space="preserve"> Mid-Holocene European climate revisited: New high-resolution regional climate model simulations using pollen-based land-cover — https://doi.org/10.1016/j.quascirev.2022.107431</w:t>
      </w:r>
    </w:p>
    <w:p>
      <w:pPr/>
      <w:r>
        <w:rPr>
          <w:b/>
        </w:rPr>
        <w:t>Shared claim-specific concepts:</w:t>
      </w:r>
      <w:r>
        <w:t xml:space="preserve"> regional, climate, used, potential; EU scope visible. This is a provisional connection, not an outcome finding.</w:t>
      </w:r>
    </w:p>
    <w:p>
      <w:pPr>
        <w:pStyle w:val="SourceNote"/>
      </w:pPr>
      <w:r>
        <w:rPr>
          <w:b/>
        </w:rPr>
        <w:t>Available abstract (not full text):</w:t>
      </w:r>
      <w:r>
        <w:t xml:space="preserve"> Land-cover changes have a clear impact on local climates via biophysical effects. European land cover has been affected by human activities for at least 6000 years, but possibly longer. It is thus highly probable that humans altered climate before the industrial revolution (AD1750–1850). In this study, climate and vegetation 6000 years (6 ka) ago is investigated using one global climate model, two regional climate models, one dynamical vegetation model, pollen-based reconstruction of past vegetation cover using a model of the pollen-vegetation relationship and a statistical model for spatial interpolation of the reconstructed land cover. This approach enables us to study 6 ka climate with potential natural and reconstructed land cover, and to determine how differences in land cover impact upon simulated climate. The use of two regional climate models enables us to discuss the robustness of the results. This is the first experiment with two regional climate models of simulated palaeo-climate based on regional climate models. Different estimates of 6 ka vegetation are constructed: simulated potential vegetation and reconstructed vegetation. Potential vegetation is the natural climate-induced vegetation as simulated by a dynamical vegetation model driven by climate conditions from a climate model. Bayesian spatial model interpolated point estimates of pollen-based plant abundances</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regional, climate, used, investigate, period;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2021:</w:t>
      </w:r>
      <w:r>
        <w:t xml:space="preserve"> Precipitation–temperature relationships over Europe in CORDEX regional climate models — https://doi.org/10.1002/joc.7508</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Abstract We studied spatial and temporal patterns of precipitation–temperature (P–T) relationships through correlations between monthly standardized precipitation index (SPI) and monthly temperature anomalies in individual climatic seasons over Europe. In the observed data (represented by E‐OBS), positive correlations (wet–warm/dry–cold relationships) prevail during winter over most of Europe, while negative values (dry–warm/wet–cold) are dominant in summer. In the next step, an ensemble of seven regional climate models (RCMs) from the CORDEX project driven by the ERA‐Interim reanalysis were examined as to their reproduction of the regional patterns of the P–T correlations. In winter, the RCMs yielded overly strong positive P–T correlations over northern Europe, while the correlations were too weak in the south compared to observed data. During summer, the biases were generally larger; the RCMs were able to capture the overall negative P–T correlations but these tended to be too weak over northern Europe. This deficiency was found to be linked to simulated differences in shortwave radiation (a proxy for cloud cover) between dry and wet months. In western, central, and southeastern Europe, by contrast, most RCMs yielded too strong negative correlations in summer, and overly large decreases of relative humidity during dry months probably contributed to these errors. The results p</w:t>
      </w:r>
    </w:p>
    <w:p>
      <w:pPr/>
      <w:r>
        <w:rPr>
          <w:b/>
        </w:rPr>
        <w:t>POSSIBLE 2021:</w:t>
      </w:r>
      <w:r>
        <w:t xml:space="preserve"> Afforestation impact on soil temperature in regional climate model simulations over Europe — https://doi.org/10.5194/gmd-2021-69</w:t>
      </w:r>
    </w:p>
    <w:p>
      <w:pPr/>
      <w:r>
        <w:rPr>
          <w:b/>
        </w:rPr>
        <w:t>Shared claim-specific concepts:</w:t>
      </w:r>
      <w:r>
        <w:t xml:space="preserve"> regional, climate, investigate, temperature; EU scope visible. This is a provisional connection, not an outcome finding.</w:t>
      </w:r>
    </w:p>
    <w:p>
      <w:pPr>
        <w:pStyle w:val="SourceNote"/>
      </w:pPr>
      <w:r>
        <w:rPr>
          <w:b/>
        </w:rPr>
        <w:t>Available abstract (not full text):</w:t>
      </w:r>
      <w:r>
        <w:t xml:space="preserve"> Abstract. In the context of the first phase of the Euro-CORDEX Flagship Plot Study (FPS) Land Use and Climate Across Scales (LUCAS), we investigate the afforestation impact on the seasonal cycle of soil temperature over the European continent with an ensemble of ten regional climate models (RCMs). For this purpose, each ensemble member performed two idealized land cover experiments in which Europe is covered either by forests or grasslands. The multi-model mean exhibits a reduction of the annual amplitude of soil temperature (AAST) over all European regions, although this not a robust feature among the models. In Mediterranean, the simulated AAST response to afforestation is between −4 K and +2 K while in Scandinavia the inter-model spread ranges from −7 K to +1 K. We then examine the role of changes in the annual amplitude of ground heat flux (AAGHF) and summer soil moisture content (SMC) in determining the effect of afforestation on AAST response. In contrast with the diverging results in AAST, all the models consistently indicate a widespread AAGHF decrease and summer SMC decline due to afforestation. The AAGHF changes effectively explain the largest part of the inter-model variance in AAST response in most regions, while the changes in summer SMC determine the sign of AAST response within a group of three simulations sharing the same land surface model. Finally, we pair FLU</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regional, climate, investigate, period;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r>
        <w:rPr>
          <w:b/>
        </w:rPr>
        <w:t>POSSIBLE 2021:</w:t>
      </w:r>
      <w:r>
        <w:t xml:space="preserve"> Regionalized climate footprints of battery electric vehicles in Europe — https://doi.org/10.1016/j.jclepro.2021.129052</w:t>
      </w:r>
    </w:p>
    <w:p>
      <w:pPr/>
      <w:r>
        <w:rPr>
          <w:b/>
        </w:rPr>
        <w:t>Shared claim-specific concepts:</w:t>
      </w:r>
      <w:r>
        <w:t xml:space="preserve"> climate, used, investigate; EU scope visible. This is a provisional connection, not an outcome finding.</w:t>
      </w:r>
    </w:p>
    <w:p>
      <w:pPr>
        <w:pStyle w:val="SourceNote"/>
      </w:pPr>
      <w:r>
        <w:rPr>
          <w:b/>
        </w:rPr>
        <w:t>Available abstract (not full text):</w:t>
      </w:r>
      <w:r>
        <w:t xml:space="preserve"> The climate mitigation benefits of battery electric vehicles (BEVs) relative to internal combustion engine vehicles (ICEVs) are highly dependent on the carbon intensity of the electricity consumed during their production and use-phase. A consistent and dynamic approach to grid-mix regionalization of BEV life-cycle assessments in Europe is therefore necessary to offer accurate guidance to consumers and policy makers. To this end, we present ReDyFEV, a simple open-source software tool that can be used to calculate attributional, regionalized lifecycle climate impacts of BEVs in Europe for user-defined time periods, including near real-time. We determine the national lifecycle carbon footprints across all EU states for four BEV size segments and compare them to those of fossil-fuelled vehicles of similar sizes. Simplified sensitivity analyses investigate the effect of lifetime assumptions, electricity demand in battery production, and of relocating battery production to Europe on the carbon footprints of BEVs.</w:t>
      </w:r>
    </w:p>
    <w:p>
      <w:pPr>
        <w:pStyle w:val="Heading2"/>
      </w:pPr>
      <w:r>
        <w:t>866.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2021:</w:t>
      </w:r>
      <w:r>
        <w:t xml:space="preserve"> Ageing and ocular problems — https://doi.org/10.1556/2066.2021.00042</w:t>
      </w:r>
    </w:p>
    <w:p>
      <w:pPr/>
      <w:r>
        <w:rPr>
          <w:b/>
        </w:rPr>
        <w:t>Shared claim-specific concepts:</w:t>
      </w:r>
      <w:r>
        <w:t xml:space="preserve"> ageing, problem, system; EU scope not established. This is a provisional connection, not an outcome finding.</w:t>
      </w:r>
    </w:p>
    <w:p>
      <w:pPr>
        <w:pStyle w:val="SourceNote"/>
      </w:pPr>
      <w:r>
        <w:rPr>
          <w:b/>
        </w:rPr>
        <w:t>Available abstract (not full text):</w:t>
      </w:r>
      <w:r>
        <w:t xml:space="preserve"> Abstract Ageing is a common problem in modern societies. Due to sophisticated new methods in medicine, the average life expectancy significantly increased in recent years. 70 is the new 50. The new principles of food intake and processing, more exercise, and less smoking contributed to a health benefits and a longer life span of human kind. Nevertheless, there are the special problems of ageing. Numerous dysfunctions of the body may arise affecting a broad range of organs and the musculoskeletal system. The eye can also be severely affected by ageing. Vision gained more importance recently especially during the COVID-19 pandemic. Elderly people who never used computers before, had to learn computer technology in order to communicate with their family and to accomplish their everyday tasks or pay their bills. Therefore, good near vision has become crucial for elderly people. In this review article the most common ageing problems of the eye, therapies and pathophysiology of ageing processes will be reviewed and discussed. There are physiological problems of ageing and there are ocular pathologies which can be treated efficiently in time to preserve near and far visual acuity.</w:t>
      </w:r>
    </w:p>
    <w:p>
      <w:pPr/>
      <w:r>
        <w:rPr>
          <w:b/>
        </w:rPr>
        <w:t>POSSIBLE 2021:</w:t>
      </w:r>
      <w:r>
        <w:t xml:space="preserve"> The role of the medial prefrontal cortex in cognition, ageing and dementia — https://doi.org/10.1093/braincomms/fcab125</w:t>
      </w:r>
    </w:p>
    <w:p>
      <w:pPr/>
      <w:r>
        <w:rPr>
          <w:b/>
        </w:rPr>
        <w:t>Shared claim-specific concepts:</w:t>
      </w:r>
      <w:r>
        <w:t xml:space="preserve"> ageing; EU scope not established. This is a provisional connection, not an outcome finding.</w:t>
      </w:r>
    </w:p>
    <w:p>
      <w:pPr>
        <w:pStyle w:val="SourceNote"/>
      </w:pPr>
      <w:r>
        <w:rPr>
          <w:b/>
        </w:rPr>
        <w:t>Available abstract (not full text):</w:t>
      </w:r>
      <w:r>
        <w:t xml:space="preserve"> Humans require a plethora of higher cognitive skills to perform executive functions, such as reasoning, planning, language and social interactions, which are regulated predominantly by the prefrontal cortex. The prefrontal cortex comprises the lateral, medial and orbitofrontal regions. In higher primates, the lateral prefrontal cortex is further separated into the respective dorsal and ventral subregions. However, all these regions have variably been implicated in several fronto-subcortical circuits. Dysfunction of these circuits has been highlighted in vascular and other neurocognitive disorders. Recent advances suggest the medial prefrontal cortex plays an important regulatory role in numerous cognitive functions, including attention, inhibitory control, habit formation and working, spatial or long-term memory. The medial prefrontal cortex appears highly interconnected with subcortical regions (thalamus, amygdala and hippocampus) and exerts top-down executive control over various cognitive domains and stimuli. Much of our knowledge comes from rodent models using precise lesions and electrophysiology readouts from specific medial prefrontal cortex locations. Although, anatomical disparities of the rodent medial prefrontal cortex compared to the primate homologue are apparent, current rodent models have effectively implicated the medial prefrontal cortex as a neural substrate o</w:t>
      </w:r>
    </w:p>
    <w:p>
      <w:pPr/>
      <w:r>
        <w:rPr>
          <w:b/>
        </w:rPr>
        <w:t>POSSIBLE 2020:</w:t>
      </w:r>
      <w:r>
        <w:t xml:space="preserve"> Central and Peripheral Neuromuscular Adaptations to Ageing — https://doi.org/10.3390/jcm9030741</w:t>
      </w:r>
    </w:p>
    <w:p>
      <w:pPr/>
      <w:r>
        <w:rPr>
          <w:b/>
        </w:rPr>
        <w:t>Shared claim-specific concepts:</w:t>
      </w:r>
      <w:r>
        <w:t xml:space="preserve"> ageing, severe, system; EU scope not established. This is a provisional connection, not an outcome finding.</w:t>
      </w:r>
    </w:p>
    <w:p>
      <w:pPr>
        <w:pStyle w:val="SourceNote"/>
      </w:pPr>
      <w:r>
        <w:rPr>
          <w:b/>
        </w:rPr>
        <w:t>Available abstract (not full text):</w:t>
      </w:r>
      <w:r>
        <w:t xml:space="preserve"> Ageing is accompanied by a severe muscle function decline presumably caused by structural and functional adaptations at the central and peripheral level. Although researchers have reported an extensive analysis of the alterations involving muscle intrinsic properties, only a limited number of studies have recognised the importance of the central nervous system, and its reorganisation, on neuromuscular decline. Neural changes, such as degeneration of the human cortex and function of spinal circuitry, as well as the remodelling of the neuromuscular junction and motor units, appear to play a fundamental role in muscle quality decay and culminate with considerable impairments in voluntary activation and motor performance. Modern diagnostic techniques have provided indisputable evidence of a structural and morphological rearrangement of the central nervous system during ageing. Nevertheless, there is no clear insight on how such structural reorganisation contributes to the age-related functional decline and whether it is a result of a neural malfunction or serves as a compensatory mechanism to preserve motor control and performance in the elderly population. Combining leading-edge techniques such as high-density surface electromyography (EMG) and improved diagnostic procedures such as functional magnetic resonance imaging (fMRI) or high-resolution electroencephalography (EEG) could </w:t>
      </w:r>
    </w:p>
    <w:p>
      <w:pPr/>
      <w:r>
        <w:rPr>
          <w:b/>
        </w:rPr>
        <w:t>POSSIBLE 2020:</w:t>
      </w:r>
      <w:r>
        <w:t xml:space="preserve"> Influence of NAD+ as an ageing-related immunomodulator on COVID 19 infection: A hypothesis — https://doi.org/10.1016/j.jiph.2020.06.004</w:t>
      </w:r>
    </w:p>
    <w:p>
      <w:pPr/>
      <w:r>
        <w:rPr>
          <w:b/>
        </w:rPr>
        <w:t>Shared claim-specific concepts:</w:t>
      </w:r>
      <w:r>
        <w:t xml:space="preserve"> ageing, severe, because, system; EU scope not established. This is a provisional connection, not an outcome finding.</w:t>
      </w:r>
    </w:p>
    <w:p>
      <w:pPr>
        <w:pStyle w:val="SourceNote"/>
      </w:pPr>
      <w:r>
        <w:rPr>
          <w:b/>
        </w:rPr>
        <w:t>Available abstract (not full text):</w:t>
      </w:r>
      <w:r>
        <w:t xml:space="preserve"> The aging-associated decline of biological functions represents an important contributor to the increase in morbidity and mortality of human beings. Of these biological functions deterioration; there is a significant decline in the heart function, impairments in the lungs gas exchange, and impairments in the immune function. Many alterations in the body humeral and cellular immune response were observed with ageing process: The circulating pro-inflammatory cytokines are increased, the naive lymphocytes are decreased, the numbers of the antigen-presenting cells areelevated and the overall response is impaired. In addition, ageing is associated with a progressive restriction in the telomere length. Telomeres are located at chromosomes ends and play an essential role in preserving chromosome stability. Also, telomere length is very important to the immune system, because of the high sensitivity of the immune cells to the shortening of telomeres. Telomeres shortening adversely affect the immune cells' function and developments. These adverse changes increased the susceptibility for severe infection, risk of hospitalization, and even death. Elderly COVID-19 patients are at a real risk of complications due to impaired immune function, cytokine storm and defective respiratory function. Administration of anti-ageing immunomodulation factors like Nicotinamide Adenine Dinucleotide NAD+ c</w:t>
      </w:r>
    </w:p>
    <w:p>
      <w:pPr/>
      <w:r>
        <w:rPr>
          <w:b/>
        </w:rPr>
        <w:t>POSSIBLE 2019:</w:t>
      </w:r>
      <w:r>
        <w:t xml:space="preserve"> Food Allergies and Ageing — https://doi.org/10.3390/ijms20225580</w:t>
      </w:r>
    </w:p>
    <w:p>
      <w:pPr/>
      <w:r>
        <w:rPr>
          <w:b/>
        </w:rPr>
        <w:t>Shared claim-specific concepts:</w:t>
      </w:r>
      <w:r>
        <w:t xml:space="preserve"> ageing, problem, age, system, until; EU scope not established. This is a provisional connection, not an outcome finding.</w:t>
      </w:r>
    </w:p>
    <w:p>
      <w:pPr>
        <w:pStyle w:val="SourceNote"/>
      </w:pPr>
      <w:r>
        <w:rPr>
          <w:b/>
        </w:rPr>
        <w:t>Available abstract (not full text):</w:t>
      </w:r>
      <w:r>
        <w:t xml:space="preserve"> All over the world, there is an increase in the overall survival of the population and the number of elderly people. The incidence of allergic reactions is also rising worldwide. Until recently, allergies, and in particular food allergies (FAs), was regarded as a pediatric problem, since some of them start in early childhood and may spontaneously disappear in adulthood. It is being discovered that, on the contrary, these problems are increasingly affecting even the elderly. Along with other diseases that are considered characteristics of advanced age, such as cardiovascular, dysmetabolic, autoimmune, neurodegenerative, and oncological diseases, even FAs are increasingly frequent in the elderly. An FA is a pleiomorphic and multifactorial disease, characterized by an abnormal immune response and an impaired gut barrier function. The elderly exhibit distinct FA phenotypes, and diagnosis is difficult due to frequent co-morbidities and uncertainty in the interpretation of in vitro and in vivo tests. Several factors render the elderly susceptible to FAs, including the physiological changes of aging, a decline in gut barrier function, the skewing of adaptive immunity to a Th2 response, dysregulation of innate immune cells, and age-related changes of gut microbiota. Aging is accompanied by a progressive remodeling of immune system functions, leading to an increased pro-inflammatory sta</w:t>
      </w:r>
    </w:p>
    <w:p>
      <w:pPr/>
      <w:r>
        <w:rPr>
          <w:b/>
        </w:rPr>
        <w:t>POSSIBLE 2018:</w:t>
      </w:r>
      <w:r>
        <w:t xml:space="preserve"> On loneliness and the ageing process* — https://doi.org/10.4324/9780429476266-2</w:t>
      </w:r>
    </w:p>
    <w:p>
      <w:pPr/>
      <w:r>
        <w:rPr>
          <w:b/>
        </w:rPr>
        <w:t>Shared claim-specific concepts:</w:t>
      </w:r>
      <w:r>
        <w:t xml:space="preserve"> ageing, severe, because; EU scope not established. This is a provisional connection, not an outcome finding.</w:t>
      </w:r>
    </w:p>
    <w:p>
      <w:pPr>
        <w:pStyle w:val="SourceNote"/>
      </w:pPr>
      <w:r>
        <w:rPr>
          <w:b/>
        </w:rPr>
        <w:t>Available abstract (not full text):</w:t>
      </w:r>
      <w:r>
        <w:t xml:space="preserve"> Pearl King, at the 31st International Congress, pointed out that it was the first time that a paper on the problems concerned with the psychoanalysis of elderly patients had been arranged. She indicated that researches in the theory and practice of psychoanalysis over the past few decades have necessitated a re-evaluation of psychoanalysts&amp;s; attitudes, and the criteria they use for the selection of such patients. Among such researches, the author particularly refers to the changes in psychoanalytic understanding and technique that have facilitated clinical exploration of severe narcissistic disorders. Psychoanalysts find themselves confronted with severe narcissistic patients frequently when patients are middle-aged and later, because the very nature of their disorder has not allowed them to seek help earlier. The author illustrates the general points of loneliness of mind by reference to case material of an ageing patient, who presented with a traumatized history and severe narcissistic problems.</w:t>
      </w:r>
    </w:p>
    <w:p>
      <w:pPr/>
      <w:r>
        <w:rPr>
          <w:b/>
        </w:rPr>
        <w:t>POSSIBLE 2018:</w:t>
      </w:r>
      <w:r>
        <w:t xml:space="preserve"> Ageing Process and Physiological Changes — https://doi.org/10.5772/intechopen.76249</w:t>
      </w:r>
    </w:p>
    <w:p>
      <w:pPr/>
      <w:r>
        <w:rPr>
          <w:b/>
        </w:rPr>
        <w:t>Shared claim-specific concepts:</w:t>
      </w:r>
      <w:r>
        <w:t xml:space="preserve"> ageing, age, place; EU scope not established. This is a provisional connection, not an outcome finding.</w:t>
      </w:r>
    </w:p>
    <w:p>
      <w:pPr>
        <w:pStyle w:val="SourceNote"/>
      </w:pPr>
      <w:r>
        <w:rPr>
          <w:b/>
        </w:rPr>
        <w:t>Available abstract (not full text):</w:t>
      </w:r>
      <w:r>
        <w:t xml:space="preserve"> Ageing is a natural process. Everyone must undergo this phase of life at his or her own time and pace. In the broader sense, ageing reflects all the changes taking place over the course of life. These changes start from birth—one grows, develops and attains maturity. To the young, ageing is exciting. Middle age is the time when people notice the age-related changes like greying of hair, wrinkled skin and a fair amount of physical decline. Even the healthiest, aesthetically fit cannot escape these changes. Slow and steady physical impairment and functional disability are noticed resulting in increased dependency in the period of old age. According to World Health Organization, ageing is a course of biological reality which starts at conception and ends with death. It has its own dynamics, much beyond human control. However, this process of ageing is also subject to the constructions by which each society makes sense of old age. In most of the developed countries, the age of 60 is considered equivalent to retirement age and it is said to be the beginning of old age. In this chapter, you understand the details of ageing processes and associated physiological changes.</w:t>
      </w:r>
    </w:p>
    <w:p>
      <w:pPr/>
      <w:r>
        <w:rPr>
          <w:b/>
        </w:rPr>
        <w:t>POSSIBLE 2017:</w:t>
      </w:r>
      <w:r>
        <w:t xml:space="preserve"> Chronic kidney disease and ageing — https://openalex.org/W3208943687</w:t>
      </w:r>
    </w:p>
    <w:p>
      <w:pPr/>
      <w:r>
        <w:rPr>
          <w:b/>
        </w:rPr>
        <w:t>Shared claim-specific concepts:</w:t>
      </w:r>
      <w:r>
        <w:t xml:space="preserve"> ageing, severe, problem, because, system; EU scope not established. This is a provisional connection, not an outcome finding.</w:t>
      </w:r>
    </w:p>
    <w:p>
      <w:pPr>
        <w:pStyle w:val="SourceNote"/>
      </w:pPr>
      <w:r>
        <w:rPr>
          <w:b/>
        </w:rPr>
        <w:t>Available abstract (not full text):</w:t>
      </w:r>
      <w:r>
        <w:t xml:space="preserve"> In recent decades, life expectancy has significantly extended, and the number of elderly people in each populationincreases significantly during the subsequent years. Ageing is associated with a physiological deteriorationof kidney function, however, in patients with additional diseases such as diabetes, hypertension andobesity, there is often stronger severity of kidney damage. It has been estimated that the prevalence of chronickidney disease (CKD) in the older population is several times higher than in the general population. It is consideredthat in addition to the mentioned above comorbid the socio-economic factors also increases prevalenceof CKD. The occurrence of CKD significantly increases the mortality, deteriorating the quality of life of thesesubjects and is also severe financial problem for the health care system because of the high costs of renal replacementtherapy. For this reason, renal replacement therapy in elderly patients is expensive and not alwaysbrings measurable benefits.</w:t>
      </w:r>
    </w:p>
    <w:p>
      <w:pPr/>
      <w:r>
        <w:rPr>
          <w:b/>
        </w:rPr>
        <w:t>POSSIBLE 2017:</w:t>
      </w:r>
      <w:r>
        <w:t xml:space="preserve"> Skeletal muscle performance and ageing — https://doi.org/10.1002/jcsm.12238</w:t>
      </w:r>
    </w:p>
    <w:p>
      <w:pPr/>
      <w:r>
        <w:rPr>
          <w:b/>
        </w:rPr>
        <w:t>Shared claim-specific concepts:</w:t>
      </w:r>
      <w:r>
        <w:t xml:space="preserve"> ageing, severe, system; EU scope not established. This is a provisional connection, not an outcome finding.</w:t>
      </w:r>
    </w:p>
    <w:p>
      <w:pPr>
        <w:pStyle w:val="SourceNote"/>
      </w:pPr>
      <w:r>
        <w:rPr>
          <w:b/>
        </w:rPr>
        <w:t>Available abstract (not full text):</w:t>
      </w:r>
      <w:r>
        <w:t xml:space="preserve"> The world population is ageing rapidly. As society ages, the incidence of physical limitations is dramatically increasing, which reduces the quality of life and increases healthcare expenditures. In western society, ~30% of the population over 55 years is confronted with moderate or severe physical limitations. These physical limitations increase the risk of falls, institutionalization, co-morbidity, and premature death. An important cause of physical limitations is the age-related loss of skeletal muscle mass, also referred to as sarcopenia. Emerging evidence, however, clearly shows that the decline in skeletal muscle mass is not the sole contributor to the decline in physical performance. For instance, the loss of muscle strength is also a strong contributor to reduced physical performance in the elderly. In addition, there is ample data to suggest that motor coordination, excitation-contraction coupling, skeletal integrity, and other factors related to the nervous, muscular, and skeletal systems are critically important for physical performance in the elderly. To better understand the loss of skeletal muscle performance with ageing, we aim to provide a broad overview on the underlying mechanisms associated with elderly skeletal muscle performance. We start with a system level discussion and continue with a discussion on the influence of lifestyle, biological, and psychosocia</w:t>
      </w:r>
    </w:p>
    <w:p>
      <w:pPr/>
      <w:r>
        <w:rPr>
          <w:b/>
        </w:rPr>
        <w:t>POSSIBLE 2017:</w:t>
      </w:r>
      <w:r>
        <w:t xml:space="preserve"> Ageing, dental caries and periodontal diseases — https://doi.org/10.1111/jcpe.12683</w:t>
      </w:r>
    </w:p>
    <w:p>
      <w:pPr/>
      <w:r>
        <w:rPr>
          <w:b/>
        </w:rPr>
        <w:t>Shared claim-specific concepts:</w:t>
      </w:r>
      <w:r>
        <w:t xml:space="preserve"> ageing, age; EU scope visible. This is a provisional connection, not an outcome finding.</w:t>
      </w:r>
    </w:p>
    <w:p>
      <w:pPr>
        <w:pStyle w:val="SourceNote"/>
      </w:pPr>
      <w:r>
        <w:rPr>
          <w:b/>
        </w:rPr>
        <w:t>Available abstract (not full text):</w:t>
      </w:r>
      <w:r>
        <w:t xml:space="preserve"> AIM: To review the burden of caries and periodontitis in the elderly, changes with age that can explain this burden, and the vulnerability to disease of elderly populations. METHODS: An assessment of surveys in two populations was conducted. Indicators for caries were identified by updating a systematic review. Secular trends for smoking and type 2 diabetes were discussed. RESULTS: Changes in the susceptibility to periodontitis with age may be explained by exposure to pro-inflammatory conditions and changes in the healing capacity of cells and tissues. Due to accumulated periodontal destruction, the number of surfaces at risk for caries increases. The sequels of restorative treatment contribute to an increased susceptibility for caries development. Population-based surveys in the United States and Germany demonstrate a high caries experience among elderly people. A comparison of surveys demonstrates a relative improvement of periodontal health among elderly during the last few decades. Nevertheless, prevalence estimates for periodontitis remain high. Risk indicators for root caries include caries experience, the number of surfaces at risk and poor oral hygiene. Secular trends of main risk factors for periodontitis and their likely influence on the future periodontitis burden in the elderly are discussed. CONCLUSION: Caries and periodontitis burden in the elderly remain high.</w:t>
      </w:r>
    </w:p>
    <w:p>
      <w:pPr>
        <w:pStyle w:val="Heading2"/>
      </w:pPr>
      <w:r>
        <w:t>867.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2023:</w:t>
      </w:r>
      <w:r>
        <w:t xml:space="preserve"> Strategy-making: The use and misuse of artifacts to achieve common understanding — https://doi.org/10.1177/23409444231202808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pPr/>
      <w:r>
        <w:rPr>
          <w:b/>
        </w:rPr>
        <w:t>POSSIBLE 2023:</w:t>
      </w:r>
      <w:r>
        <w:t xml:space="preserve"> A Theoretical Discussion of How Common Understanding and Reflection Upon Need for Resources Can Prevent Risks Underlying Social Innovations — https://doi.org/10.1177/00469580231152078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welfare state is facing complex challenges. Social innovation is considered as the solution to social challenges and so-called wicked problems, problems in the welfare state that are important, but difficult to solve. This implies being willing to take the risk that is involved when being innovative. A discussion of how different kinds of social innovations carry various risks and how some of these can be prevented, is still limited. This article looks at experiences from previous social innovations and ask what we can learn from them. It elaborates on why social innovation is challenging and what we can do to reduce the risk of failure. The research question is: What risks are at stake in different social innovations, and how can these be prevented? The article highlights risks and issues associated with social or collaborative innovation related to welfare services. It is theoretical and based on innovation theory and previous research, with examples from Norwegian welfare services. The purpose is to explore challenges and risks involved in 4 stereotype versions of social innovation as a result of crossing 2 dimensions of social innovation described above: (a) the degree of novelty and (b) who has initiated the innovation. The article enlightens some aspects of the implementation phase that are important to be aware of if we want to minimize the risk of failure. This conc</w:t>
      </w:r>
    </w:p>
    <w:p>
      <w:pPr/>
      <w:r>
        <w:rPr>
          <w:b/>
        </w:rPr>
        <w:t>POSSIBLE 2023:</w:t>
      </w:r>
      <w:r>
        <w:t xml:space="preserve"> Approach to Reference Models for Building Performance Simulation: Establishing Common Understanding — https://doi.org/10.1007/s42979-023-01696-2</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In the fields of business process modeling, logistics, and information model development, Reference Models (RMs) have shown to enhance standardization, support the common understanding of terminology and procedures, reduce the modeling efforts and cost through the paradigm “Design by Reuse”, and enable knowledge transfer. Utilizing RMs in Building Performance Simulation (BPS) shows potential to achieve similar benefits. However, there is no universally agreed understanding of RMs. In a previous scientific publication, we provided a comprehensive overview of the diversely interpreted definitions, benefits, and attributes of RMs and related terms. Additionally, to transfer the approach of RMs to BPS, a definition for RMs applicable to BPS has been provided, and the identified RM qualities were matched with BPS’s challenges. However, a sound evaluation of the success of transferring RMs to BPS is lacking. Therefore, this scientific contribution firstly includes the analysis conducted in the previous scientific contribution constituting a common understanding about RMs and their elements for BPS. Secondly, by conducting expert interviews, the applicability and validity of the developed concept of RMs for BPS are surveyed. In total, ten experts (seven BPS experts and three RM experts) evaluated the quality of creating transparency about the understanding of RMs and the leve</w:t>
      </w:r>
    </w:p>
    <w:p>
      <w:pPr/>
      <w:r>
        <w:rPr>
          <w:b/>
        </w:rPr>
        <w:t>POSSIBLE 2023:</w:t>
      </w:r>
      <w:r>
        <w:t xml:space="preserve"> Sfumato as a Metaphor for Creating a Common Understanding in Complex Projects — https://doi.org/10.1007/978-3-031-35163-1_9</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Abstract Sfumato painting technique is proposed as an artistic metaphor for creating a shared understanding about safety and risk in complex safety-critical multi-stakeholder projects. The aim is to illuminate a mindset and suggest approaches for softening potentially detrimental effect of sharp dysfunctional boundaries between and within different project parties, which might impair quality of communication, coordination, and collaboration and impact safety.</w:t>
      </w:r>
    </w:p>
    <w:p>
      <w:pPr/>
      <w:r>
        <w:rPr>
          <w:b/>
        </w:rPr>
        <w:t>POSSIBLE 2022:</w:t>
      </w:r>
      <w:r>
        <w:t xml:space="preserve"> Understanding common dolphin and Australasian gannet feeding associations from nutritional and ethological perspectives — https://doi.org/10.1093/icesjms/fsac133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Prey detection and subsequent capture is considered a major hypothesis to explain feeding associations between common dolphins and Australasian gannets. However, a current lack of insight on nutritional strategies with respect to foraging behaviours of both species has until now, prevented any detailed understanding of this conspecific relationship. Here we combine stomach content analysis (SCA), nutritional composition of prey, a multidimensional nutritional niche framework (MNNF) and videography to provide a holistic dietary, nutritional, and behavioural assessment of the feeding association between dolphins and gannets in the Hauraki Gulf, New Zealand. Dolphins consumed ten prey species, including grey mullet (Mugil cephalus) as the most representative by wet mass (33.4%). Gannets preyed upon six species, with pilchards (Sardinops pilchardus) contributing most of the diet by wet mass (32.4%) to their diet. Both predators jointly preyed upon pilchard, jack mackerel (Trachurus spp.), arrow squid (genus Nototodarus), and anchovy (Engraulis australis). Accordingly, the MNNF revealed a moderate overlap in the prey composition niche (0.42) and realized nutritional niche (0.52) between dolphins and gannets. This suggests that both predators coexist in a similar nutritional space, while simultaneously reducing interspecific competition and maximizing the success of both enc</w:t>
      </w:r>
    </w:p>
    <w:p>
      <w:pPr/>
      <w:r>
        <w:rPr>
          <w:b/>
        </w:rPr>
        <w:t>POSSIBLE 2022:</w:t>
      </w:r>
      <w:r>
        <w:t xml:space="preserve"> A Reference Model for Common Understanding of Capabilities and Skills in Manufacturing — https://doi.org/10.48550/arxiv.2209.09632</w:t>
      </w:r>
    </w:p>
    <w:p>
      <w:pPr/>
      <w:r>
        <w:rPr>
          <w:b/>
        </w:rPr>
        <w:t>Shared claim-specific concepts:</w:t>
      </w:r>
      <w:r>
        <w:t xml:space="preserve"> common, understanding, industry; EU scope not established. This is a provisional connection, not an outcome finding.</w:t>
      </w:r>
    </w:p>
    <w:p>
      <w:pPr>
        <w:pStyle w:val="SourceNote"/>
      </w:pPr>
      <w:r>
        <w:rPr>
          <w:b/>
        </w:rPr>
        <w:t>Available abstract (not full text):</w:t>
      </w:r>
      <w:r>
        <w:t xml:space="preserve"> In manufacturing, many use cases of Industry 4.0 require vendor-neutral and machine-readable information models to describe, implement and execute resource functions. Such models have been researched under the terms capabilities and skills. Standardization of such models is required, but currently not available. This paper presents a reference model developed jointly by members of various organizations in a working group of the Plattform Industrie 4.0. This model covers definitions of most important aspects of capabilities and skills. It can be seen as a basis for further standardization efforts.</w:t>
      </w:r>
    </w:p>
    <w:p>
      <w:pPr/>
      <w:r>
        <w:rPr>
          <w:b/>
        </w:rPr>
        <w:t>POSSIBLE 2021:</w:t>
      </w:r>
      <w:r>
        <w:t xml:space="preserve"> What We All Know: Community in Moore's "A Defence of Common Sense" — https://doi.org/10.1353/hph.2021.0064</w:t>
      </w:r>
    </w:p>
    <w:p>
      <w:pPr/>
      <w:r>
        <w:rPr>
          <w:b/>
        </w:rPr>
        <w:t>Shared claim-specific concepts:</w:t>
      </w:r>
      <w:r>
        <w:t xml:space="preserve"> common, understanding, all; EU scope not established. This is a provisional connection, not an outcome finding.</w:t>
      </w:r>
    </w:p>
    <w:p>
      <w:pPr>
        <w:pStyle w:val="SourceNote"/>
      </w:pPr>
      <w:r>
        <w:rPr>
          <w:b/>
        </w:rPr>
        <w:t>Available abstract (not full text):</w:t>
      </w:r>
      <w:r>
        <w:t xml:space="preserve"> I defend an account of Moore's conception of Common Sense—as it figures in "A Defence of Common Sense"—according to which it is based in a vision of the community of human beings as bound and unified by a settled common understanding of the meaning of our words and statements. This, for Moore, is our inalienable starting point in philosophy. When Moore invokes Common Sense against idealist (and skeptical) philosophers, he is reminding them that they too are bound by this common understanding, which cannot just be left behind as they confusedly believe. On Moore's conception, Common Sense becomes nothing other than the affirmation that there is such a common understanding—that there is Common Sense—which yields a specific body of Common Sense knowledge. This yields a more principled account of Common Sense than a mere tallying of what contingently happens to be believed (or known) by all.</w:t>
      </w:r>
    </w:p>
    <w:p>
      <w:pPr/>
      <w:r>
        <w:rPr>
          <w:b/>
        </w:rPr>
        <w:t>POSSIBLE 2021:</w:t>
      </w:r>
      <w:r>
        <w:t xml:space="preserve"> Understanding the common mechanisms of heart and skeletal muscle wasting in cancer cachexia — https://doi.org/10.1038/s41389-020-00288-6</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Cachexia is a severe complication of cancer that adversely affects the course of the disease, with currently no effective treatments. It is characterized by a progressive atrophy of skeletal muscle and adipose tissue, resulting in weight loss, a reduced quality of life, and a shortened life expectancy. Although the cachectic condition primarily affects the skeletal muscle, a tissue that accounts for ~40% of total body weight, cachexia is considered a multi-organ disease that involves different tissues and organs, among which the cardiac muscle stands out for its relevance. Patients with cancer often experience severe cardiac abnormalities and manifest symptoms that are indicative of chronic heart failure, including fatigue, shortness of breath, and impaired exercise tolerance. Furthermore, cardiovascular complications are among the major causes of death in cancer patients who experienced cachexia. The lack of effective treatments for cancer cachexia underscores the need to improve our understanding of the underlying mechanisms. Increasing evidence links the wasting of the cardiac and skeletal muscles to metabolic alterations, primarily increased energy expenditure, and to increased proteolysis, ensuing from activation of the major proteolytic machineries of the cell, including ubiquitin-dependent proteolysis and autophagy. This review aims at providing an overview of the key me</w:t>
      </w:r>
    </w:p>
    <w:p>
      <w:pPr>
        <w:pStyle w:val="Heading2"/>
      </w:pPr>
      <w:r>
        <w:t>868.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2024:</w:t>
      </w:r>
      <w:r>
        <w:t xml:space="preserve"> Adaptation of solar energy in the Global South: Prospects, challenges and opportunities — https://doi.org/10.1016/j.heliyon.2024.e28009</w:t>
      </w:r>
    </w:p>
    <w:p>
      <w:pPr/>
      <w:r>
        <w:rPr>
          <w:b/>
        </w:rPr>
        <w:t>Shared claim-specific concepts:</w:t>
      </w:r>
      <w:r>
        <w:t xml:space="preserve"> adaptation, significant, opportunities, highlighting; EU scope not established. This is a provisional connection, not an outcome finding.</w:t>
      </w:r>
    </w:p>
    <w:p>
      <w:pPr>
        <w:pStyle w:val="SourceNote"/>
      </w:pPr>
      <w:r>
        <w:rPr>
          <w:b/>
        </w:rPr>
        <w:t>Available abstract (not full text):</w:t>
      </w:r>
      <w:r>
        <w:t xml:space="preserve"> The Global South comprising economically disadvantaged regions of the world face various challenges such as limited access to electricity, clean water, industrialization, and food security. Solar energy, as a sustainable and abundant resource, holds great potential to address these challenges. Despite its immense potential, the Global South encounters hurdles related to technology adoption, infrastructure, and financial constraints. This review examines the history, classifications, global statistics, merits, and demerits of solar technology in the Global South. Furthermore, it delves into various applications of solar energy, including extreme environments, residential electricity generation, transportation, and industrial usage in this region. This study concludes by providing new insighths and highlighting the significant role solar energy can play in shaping the future of the Global South if challenges are adequately addressed, and opportunities are embraced.</w:t>
      </w:r>
    </w:p>
    <w:p>
      <w:pPr/>
      <w:r>
        <w:rPr>
          <w:b/>
        </w:rPr>
        <w:t>POSSIBLE 2022:</w:t>
      </w:r>
      <w:r>
        <w:t xml:space="preserve"> Climate services for the railway sector: A synthesis of adaptation information needs in Europe — https://doi.org/10.3389/fclim.2022.968298</w:t>
      </w:r>
    </w:p>
    <w:p>
      <w:pPr/>
      <w:r>
        <w:rPr>
          <w:b/>
        </w:rPr>
        <w:t>Shared claim-specific concepts:</w:t>
      </w:r>
      <w:r>
        <w:t xml:space="preserve"> adaptation, but, services; EU scope visible. This is a provisional connection, not an outcome finding.</w:t>
      </w:r>
    </w:p>
    <w:p>
      <w:pPr>
        <w:pStyle w:val="SourceNote"/>
      </w:pPr>
      <w:r>
        <w:rPr>
          <w:b/>
        </w:rPr>
        <w:t>Available abstract (not full text):</w:t>
      </w:r>
      <w:r>
        <w:t xml:space="preserve"> Given that climate variability and change present unprecedented challenges to the rail sector, efforts to produce relevant climate data/information for climate risk management and adaptive decision making in the rail sector are gaining traction. However, inadequate understanding of climate change impact and information needs raises several concerns for the sector. This paper addressed the question: What climate risk information services are needed to support the adaptation needs of the rail sector? Data from interviews, literature reviews, and workshops were used. The results show that changes in precipitation, temperature, sea-level rise, and thunderstorms are the top drivers of climate risk in the sector. Additionally, the need for tailor-made climate information to manage these changes is in high demand. Although insufficient, rail organizations use special protocols to manage climate risk. Understudied countries have operational and design standards formulated in metrics and codes related to specific critical weather conditions as part of their Natural Hazard Management process. However, desirable adjustments in the standards are currently based on past events rather than future climate conditions. Future climate change information is relevant for medium- to longer-term decisions, strategy, and policymaking. For operational and design standards, weather and climate informat</w:t>
      </w:r>
    </w:p>
    <w:p>
      <w:pPr/>
      <w:r>
        <w:rPr>
          <w:b/>
        </w:rPr>
        <w:t>POSSIBLE 2021:</w:t>
      </w:r>
      <w:r>
        <w:t xml:space="preserve"> Climate change, adaptation, and global jobs: Lessons and urgent policy options for Africa — https://doi.org/10.35877/454ri.qems298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Climate change remains one of the world’s greatest challenge in the 21st century. It causes inevitable changes that alter human activities. Adaptation to climate change creates and at the same time limits opportunities that support human existence. While United States of America, Europe, China, India and other countries are maximizing the opportunities climate change adaptation offers especially in areas of green technology, energy and agriculture, that of Africa who are more vulnerable to climate change are complacent and at most show less commitment. As the negative impacts of climate change increases and livelihoods erode, and as jobs continue to disappear leading to conflicts and upheavals in Africa, governments across the continent need policy options that will enable them to mitigate and adapt to climate change while at the same time address the problem of unemployment and create new patterns of livelihood. This paper, therefore, explores options that support these objectives. It offered policy suggestions in green energy and agriculture where Africa have a comparative advantage over other nations, and which also has the capacity of employing 90 per cent of the continent's workforce. It makes suggestions on how Lake Chad and other water sources affected by climate change in Africa can be revived to support agricultural activities and hydropower industry as well as create </w:t>
      </w:r>
    </w:p>
    <w:p>
      <w:pPr/>
      <w:r>
        <w:rPr>
          <w:b/>
        </w:rPr>
        <w:t>POSSIBLE 2021:</w:t>
      </w:r>
      <w:r>
        <w:t xml:space="preserve"> CLIMADA v1.4.1: towards a globally consistent adaptation options appraisal tool — https://doi.org/10.5194/gmd-14-351-2021</w:t>
      </w:r>
    </w:p>
    <w:p>
      <w:pPr/>
      <w:r>
        <w:rPr>
          <w:b/>
        </w:rPr>
        <w:t>Shared claim-specific concepts:</w:t>
      </w:r>
      <w:r>
        <w:t xml:space="preserve"> adaptation, options, assessment; EU scope not established. This is a provisional connection, not an outcome finding.</w:t>
      </w:r>
    </w:p>
    <w:p>
      <w:pPr>
        <w:pStyle w:val="SourceNote"/>
      </w:pPr>
      <w:r>
        <w:rPr>
          <w:b/>
        </w:rPr>
        <w:t>Available abstract (not full text):</w:t>
      </w:r>
      <w:r>
        <w:t xml:space="preserve"> Abstract. Climate change is a fact and adaptation to a changing environment therefore a necessity. Adaptation is ultimately local, yet similar challenges pose themselves to decision-makers all across the globe and on all levels. The Economics of Climate Adaptation (ECA) methodology established an economic framework to fully integrate risk and reward perspectives of different 10 stakeholders, underpinned by the CLIMADA impact modelling platform. We present an extension of the latter to appraise adaption options in a consistent fashion in order to provide decision-makers from the local to the global level with the necessary facts to identify the most effective instruments to meet the adaptation challenge. We apply the open-source methodology and its Python implementation to a case study in the Caribbean, which allows to prioritize a small basked of adaptation options, namely green and grey infrastructure options as well as behavioural measures, and permits inter-island comparisons. In 15 Anguilla, for example, mangroves avert simulated damages more than 4 times the cost estimated for restoration, while enforcement of building codes shows to be effective in the Turks and Caicos islands. For all islands, cost-effective measures reduce the cost of risk transfer, which covers damage of high impact events that cannot be cost-effectively prevented by other measures. This extended versi</w:t>
      </w:r>
    </w:p>
    <w:p>
      <w:pPr/>
      <w:r>
        <w:rPr>
          <w:b/>
        </w:rPr>
        <w:t>POSSIBLE 2021:</w:t>
      </w:r>
      <w:r>
        <w:t xml:space="preserve"> Rethinking urban heat stress: Assessing risk and adaptation options across socioeconomic groups in Bonn, Germany — https://doi.org/10.1016/j.uclim.2021.100857</w:t>
      </w:r>
    </w:p>
    <w:p>
      <w:pPr/>
      <w:r>
        <w:rPr>
          <w:b/>
        </w:rPr>
        <w:t>Shared claim-specific concepts:</w:t>
      </w:r>
      <w:r>
        <w:t xml:space="preserve"> adaptation, options, between, integrated; EU scope visible. This is a provisional connection, not an outcome finding.</w:t>
      </w:r>
    </w:p>
    <w:p>
      <w:pPr>
        <w:pStyle w:val="SourceNote"/>
      </w:pPr>
      <w:r>
        <w:rPr>
          <w:b/>
        </w:rPr>
        <w:t>Available abstract (not full text):</w:t>
      </w:r>
      <w:r>
        <w:t xml:space="preserve"> With climate change and socioeconomic trends expected to exacerbate the risk of urban heat stress, implementing adaptation measures is paramount to limit adverse impacts of heat on urban inhabitants. Identification of the best options needs to be based on sound, localised assessments of risk, understood as the interaction of hazard, exposure and vulnerability. Yet a review of the literature reveals that minimal research to date considers the perceived impacts of heat among urban residents. Based on a household survey in Bonn, Germany, this paper adopts an integrated approach to assess how different socioeconomic groups are affected by heat stress and explores the connections between perceived impacts of heat and indicators of exposure and vulnerability across groups. Results indicate that all socioeconomic groups are at risk of urban heat stress, though to differing extents and for different reasons. Exposure was found to be lowest in groups typically considered to be of higher risk, such as older respondents, who at the same time have the highest susceptibility. Students and other younger respondents, on the other hand, face comparably high exposure and have the lowest coping and adaptive capacities. At the same time, each group has its own capacities with the potential to mitigate risk. The study shows that urban inhabitants beyond “classic risk groups” usually addressed in l</w:t>
      </w:r>
    </w:p>
    <w:p>
      <w:pPr/>
      <w:r>
        <w:rPr>
          <w:b/>
        </w:rPr>
        <w:t>POSSIBLE 2021:</w:t>
      </w:r>
      <w:r>
        <w:t xml:space="preserve"> Feasibility assessment of climate change adaptation options across Africa: an evidence-based review — https://doi.org/10.1088/1748-9326/ac092d</w:t>
      </w:r>
    </w:p>
    <w:p>
      <w:pPr/>
      <w:r>
        <w:rPr>
          <w:b/>
        </w:rPr>
        <w:t>Shared claim-specific concepts:</w:t>
      </w:r>
      <w:r>
        <w:t xml:space="preserve"> adaptation, options, but, trade-offs, assessment, ecosystem; EU scope not established. This is a provisional connection, not an outcome finding.</w:t>
      </w:r>
    </w:p>
    <w:p>
      <w:pPr>
        <w:pStyle w:val="SourceNote"/>
      </w:pPr>
      <w:r>
        <w:rPr>
          <w:b/>
        </w:rPr>
        <w:t>Available abstract (not full text):</w:t>
      </w:r>
      <w:r>
        <w:t xml:space="preserve"> Abstract Considering the feasibility and effectiveness of adaptation options is essential for guiding responses to climate change that reduce risk. Here, we assessed the feasibility of adaptation options for the African context. Using the Global Adaptation Mapping Initiative, a stocktake of adaptation-related responses to climate change from the peer-reviewed literature in 2013–2020, we found 827 records of adaptation actions in Africa. We categorised and evaluated 24 adaptation options and for each option, six dimensions of feasibility were considered: economic, environmental, social, institutional, technological, and evidence of effectiveness. Over half (51%) of all adaptation actions were reported in the food sector where sustainable water management (SWM) was the most reported option. The fewest actions were reported for cities (5%). The majority of actions (53%) were recorded in just six countries: Ghana, Ethiopia, Kenya, Tanzania, Nigeria and South Africa. Encouragingly, effectiveness was assessed as medium or high for 95% of adaptation options. However, no options had high feasibility on any other dimension. Technological and institutional factors present major barriers to implementation. Crop management, SWM, sustainable agricultural practices, agroforestry, livelihood diversification, ecosystem governance and planning, health governance and planning, infrastructure and</w:t>
      </w:r>
    </w:p>
    <w:p>
      <w:pPr/>
      <w:r>
        <w:rPr>
          <w:b/>
        </w:rPr>
        <w:t>POSSIBLE 2021:</w:t>
      </w:r>
      <w:r>
        <w:t xml:space="preserve"> A review of adaptation options in fisheries management to support resilience and transition under socio-ecological change — https://doi.org/10.1093/icesjms/fsab146</w:t>
      </w:r>
    </w:p>
    <w:p>
      <w:pPr/>
      <w:r>
        <w:rPr>
          <w:b/>
        </w:rPr>
        <w:t>Shared claim-specific concepts:</w:t>
      </w:r>
      <w:r>
        <w:t xml:space="preserve"> adaptation, options, assessment, importance; EU scope visible. This is a provisional connection, not an outcome finding.</w:t>
      </w:r>
    </w:p>
    <w:p>
      <w:pPr>
        <w:pStyle w:val="SourceNote"/>
      </w:pPr>
      <w:r>
        <w:rPr>
          <w:b/>
        </w:rPr>
        <w:t>Available abstract (not full text):</w:t>
      </w:r>
      <w:r>
        <w:t xml:space="preserve"> Abstract Social-ecological systems dependent on fisheries must be resilient or adapt to remain viable in the face of change. Here, we identified possible interventions (termed “adaptation options”) from published literature, aimed at supporting social or ecological resilience and/or aiding adaptation to changes induced by environmental or social stressors. Our searches centered on nations/regions across North America, Europe, and the South Pacific, encompassing fisheries literature with and without a climate change focus, to compare how, when, and by whom interventions are currently or potentially implemented. We expected that adaptation options within a climate change context would have a greater focus on enhancing social resilience due to a connection with climate change adaptation assessment methodology. Instead, we found a greater focus on ecological resilience, likely indicating a focus on management adaptation. This pattern, along with the more extensive use of social adaptation options responsively and outside the context of climate change, along with an importance in bottom-up influences in implementing them, suggests a general lack of centralized planning and organization with regards to adaptation of stakeholders. Determining how adaptation options are created, chosen, and implemented is a crucial step within or external to ecosystem-based management, especially if pl</w:t>
      </w:r>
    </w:p>
    <w:p>
      <w:pPr/>
      <w:r>
        <w:rPr>
          <w:b/>
        </w:rPr>
        <w:t>POSSIBLE 2020:</w:t>
      </w:r>
      <w:r>
        <w:t xml:space="preserve"> Assessing the feasibility of adaptation options: methodological advancements and directions for climate adaptation research and practice — https://doi.org/10.1007/s10584-020-02762-x</w:t>
      </w:r>
    </w:p>
    <w:p>
      <w:pPr/>
      <w:r>
        <w:rPr>
          <w:b/>
        </w:rPr>
        <w:t>Shared claim-specific concepts:</w:t>
      </w:r>
      <w:r>
        <w:t xml:space="preserve"> adaptation, options, offer, trade-offs, assessment; EU scope not established. This is a provisional connection, not an outcome finding.</w:t>
      </w:r>
    </w:p>
    <w:p>
      <w:pPr>
        <w:pStyle w:val="SourceNote"/>
      </w:pPr>
      <w:r>
        <w:rPr>
          <w:b/>
        </w:rPr>
        <w:t>Available abstract (not full text):</w:t>
      </w:r>
      <w:r>
        <w:t xml:space="preserve"> Abstract The Paris Agreement put adaptation prominently on the global climate action agenda. Despite a surge in research and praxis-based knowledge on adaptation, a critical policy roadblock is synthesizing and assessing this burgeoning evidence. We develop an approach to assess the multidimensional feasibility of adaptation options in a robust and transparent manner, providing direction for global climate policy and identifying knowledge gaps to further future climate research. The approach, which was tested in the IPCC Special Report on 1.5 °C (SR1.5) to assess 23 adaptation options, is underpinned by a systematic review of recent literature, expert elicitation, and iterative peer review. It responds to the challenge of limited agreement on adaptation indicators, lack of fine-scale adaptation data, and challenges of assessing synergies and trade-offs with mitigation. The findings offer methodological insights into how future assessments such as the IPCC Assessment Report (AR) six and regional, national, and sectoral assessment exercises could assess adaptation feasibility and synthesize the growing body of knowledge on climate change adaptation.</w:t>
      </w:r>
    </w:p>
    <w:p>
      <w:pPr>
        <w:pStyle w:val="Heading2"/>
      </w:pPr>
      <w:r>
        <w:t>869.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2023:</w:t>
      </w:r>
      <w:r>
        <w:t xml:space="preserve"> Harnessing on the potential of migrants in the socio-economic development of the Republic of Moldova — https://doi.org/10.53486/2537-6179.9-1.01</w:t>
      </w:r>
    </w:p>
    <w:p>
      <w:pPr/>
      <w:r>
        <w:rPr>
          <w:b/>
        </w:rPr>
        <w:t>Shared claim-specific concepts:</w:t>
      </w:r>
      <w:r>
        <w:t xml:space="preserve"> socio-economic, population, current, currently; EU scope visible. This is a provisional connection, not an outcome finding.</w:t>
      </w:r>
    </w:p>
    <w:p>
      <w:pPr>
        <w:pStyle w:val="SourceNote"/>
      </w:pPr>
      <w:r>
        <w:rPr>
          <w:b/>
        </w:rPr>
        <w:t>Available abstract (not full text):</w:t>
      </w:r>
      <w:r>
        <w:t xml:space="preserve"> Migration is an important component of the development of the Republic of Moldova at the current stage. The economic and social instability that followed after obtaining political independence in 1991, the inefficiency of reforms in several socio-economic fields, the institutional uncertainty led the population to migrate, this being a strategy to adapt it to the created conjuncture situation. The increase in intensity migration was also influenced by the processes of liberalization of entry and exit procedures from the territory of the Republic of Moldova. Currently, our country represents one of the countries in the world with the largest shares of the migrant working population, as well as the share of remittances in GDP, the effects of migration being felt in all areas of social-economic life in the country. Concern for the support of migrants over time has materialized through the creation of governmental structures with the aim of monitoring and launching various strategies, programs, projects addressed to citizens outside the country's borders. Ensuring the reintegration of returned migrants, after a migratory experience of work or life abroad, is of great importance both for citizens and for the state authorities that have the duty to support emigrant citizens regardless of their options to return or settle in the adoptive country. Through this scientific approach, the </w:t>
      </w:r>
    </w:p>
    <w:p>
      <w:pPr/>
      <w:r>
        <w:rPr>
          <w:b/>
        </w:rPr>
        <w:t>POSSIBLE 2023:</w:t>
      </w:r>
      <w:r>
        <w:t xml:space="preserve"> Working in (Slow) Progress: Socio-Environmental and Economic Dynamics in the Forestry Sector and the Contribution to Sustainable Development in Europe — https://doi.org/10.3390/su151310271</w:t>
      </w:r>
    </w:p>
    <w:p>
      <w:pPr/>
      <w:r>
        <w:rPr>
          <w:b/>
        </w:rPr>
        <w:t>Shared claim-specific concepts:</w:t>
      </w:r>
      <w:r>
        <w:t xml:space="preserve"> coherent, between, climate; EU scope visible. This is a provisional connection, not an outcome finding.</w:t>
      </w:r>
    </w:p>
    <w:p>
      <w:pPr>
        <w:pStyle w:val="SourceNote"/>
      </w:pPr>
      <w:r>
        <w:rPr>
          <w:b/>
        </w:rPr>
        <w:t>Available abstract (not full text):</w:t>
      </w:r>
      <w:r>
        <w:t xml:space="preserve"> Forest ecosystems are increasingly subject to disturbances, such as extreme (climate) events, fires and pathological outbreaks, which exert significant (and still poorly quantified) economic impacts, despite their intrinsic resilience. How forest management addresses these challenges will have profound effects on human health, environmental diversity, (ecological and economic) productivity and the ability of forest ecosystems to recovery from exogenous shocks. Assuming forests as ensuring ecosystem services that are vital to society and human well-being, in addition to providing wood material, a better knowledge of forest ecosystems appears a key requirement to delineate a developmental strategy that guarantees environmental protection objectives and achievement of climate and energy targets. In the context of Sustainable Development Goals of the United Nations 2030 Agenda, the information available on forest management practices in Europe still seems not completely suitable to provide a comprehensive overview of ecosystem conditions, their economic value, and their biodiversity. Based on a literature review, the present contribution focuses on recent dynamics of the forestry sector in Europe, delineating the inherent complexity in the environmental-economic nexus. Additionally, the extensive use of a key natural resource such as wood exerts social implications for local distri</w:t>
      </w:r>
    </w:p>
    <w:p>
      <w:pPr/>
      <w:r>
        <w:rPr>
          <w:b/>
        </w:rPr>
        <w:t>POSSIBLE 2022:</w:t>
      </w:r>
      <w:r>
        <w:t xml:space="preserve"> THE INFLUENCE OF ECONOMIC MENTALITY ON SOCIO-ECONOMIC DEVELOPMENT — https://doi.org/10.55643/fcaptp.1.42.2022.3670</w:t>
      </w:r>
    </w:p>
    <w:p>
      <w:pPr/>
      <w:r>
        <w:rPr>
          <w:b/>
        </w:rPr>
        <w:t>Shared claim-specific concepts:</w:t>
      </w:r>
      <w:r>
        <w:t xml:space="preserve"> socio-economic, between, current; EU scope not established. This is a provisional connection, not an outcome finding.</w:t>
      </w:r>
    </w:p>
    <w:p>
      <w:pPr>
        <w:pStyle w:val="SourceNote"/>
      </w:pPr>
      <w:r>
        <w:rPr>
          <w:b/>
        </w:rPr>
        <w:t>Available abstract (not full text):</w:t>
      </w:r>
      <w:r>
        <w:t xml:space="preserve"> Abstract. The current stage of socio-economic development is characterized by structural reforms connected with forming of competitive market environment, development of various forms of ownership, formation of qualitatively new forms of economic activity organization, deepening integration processes. Authors underline inconsistenciesbetween the interaction of the formal and historically formed informal institutions actualizes the role of economic mentality, since it directly influences the general vector of socio-economic system development. The article draws attention to the informal component of the institutional environment — economic mentality, which haracterizes the historically formed values, motives and models of economic behavior of individual and collective actors that directly affect the overall vector of socio-economic system development and transformation.It is determined that economic mentality determines the dynamics of the institutional environment development of by influencing the effectiveness of formal and informal institutions interaction, ensuring the performance of complementary functions; mediates the process of institutionalization of historically determined values, stereotypes and models of economic behavior in the system of formal norms and rules; provides under the influence of other socio-economic factors adaptability and dynamism of nstitutional str</w:t>
      </w:r>
    </w:p>
    <w:p>
      <w:pPr/>
      <w:r>
        <w:rPr>
          <w:b/>
        </w:rPr>
        <w:t>POSSIBLE 2022:</w:t>
      </w:r>
      <w:r>
        <w:t xml:space="preserve"> Political Leadership and Socio-economic Development of Rivers State — https://doi.org/10.51699/cajssh.v3i4.283</w:t>
      </w:r>
    </w:p>
    <w:p>
      <w:pPr/>
      <w:r>
        <w:rPr>
          <w:b/>
        </w:rPr>
        <w:t>Shared claim-specific concepts:</w:t>
      </w:r>
      <w:r>
        <w:t xml:space="preserve"> socio-economic, population, compared; EU scope not established. This is a provisional connection, not an outcome finding.</w:t>
      </w:r>
    </w:p>
    <w:p>
      <w:pPr>
        <w:pStyle w:val="SourceNote"/>
      </w:pPr>
      <w:r>
        <w:rPr>
          <w:b/>
        </w:rPr>
        <w:t>Available abstract (not full text):</w:t>
      </w:r>
      <w:r>
        <w:t xml:space="preserve"> The paper examined the role of political leadership on socio-economic development of Rivers State. The study raised two research questions and two corresponding objectives. Elite theory was adopted as the theoretical frame work. Both primary and secondary data were utilized. The population for this study is 7,303,924 based on 2022 city projected population. A sample of 400 respondents was drawn with the aid of Taro Yamene formula. The study adopted stratified sampling and purposive sampling technique to administer the research instrument to the respondents. The study generated data from primary and secondary sources. A questionnaire instrument was used in this study titled; “Role of Political Leadership on Socio-economic Development Questionnaire (RPLSEDQ)”. The study employed the test-re-test method. This method allowed the researcher to assess the survey instrument by applying two separate measurements on the same elements at different times with the same methods. The outcome of the pilot survey was compared with that of the final survey to confirm if the results are the same. The data generated were analyzed with Mean and Standard Deviation through the aid of SPSS version 25. The criterion mean was 2.5 which implied that any item found equal or above 2.5 was accounted as Agreed, while item means lesser than 2.5 were interpreted to be disagreed. The study found that the polit</w:t>
      </w:r>
    </w:p>
    <w:p>
      <w:pPr/>
      <w:r>
        <w:rPr>
          <w:b/>
        </w:rPr>
        <w:t>POSSIBLE 2022:</w:t>
      </w:r>
      <w:r>
        <w:t xml:space="preserve"> REMITTANCE OF INDIAN IMMIGRANTS: CATALYTIC FOR SOCIO-ECONOMIC DEVELOPMENT — https://doi.org/10.47509/ijaeb.2023.v05i01.09</w:t>
      </w:r>
    </w:p>
    <w:p>
      <w:pPr/>
      <w:r>
        <w:rPr>
          <w:b/>
        </w:rPr>
        <w:t>Shared claim-specific concepts:</w:t>
      </w:r>
      <w:r>
        <w:t xml:space="preserve"> socio-economic, population, range, annual; EU scope not established. This is a provisional connection, not an outcome finding.</w:t>
      </w:r>
    </w:p>
    <w:p>
      <w:pPr>
        <w:pStyle w:val="SourceNote"/>
      </w:pPr>
      <w:r>
        <w:rPr>
          <w:b/>
        </w:rPr>
        <w:t>Available abstract (not full text):</w:t>
      </w:r>
      <w:r>
        <w:t xml:space="preserve"> Immigrants have become an integral component of socio-economic development, and play a diverse set of roles, preserving a range of influences on the economy of their origin. International migration, usually network-driven is a natural consequence of capitalist market formation in the developing world penetrating peripheral regions. Every year 2.5 million (25 lakh) Indians migrate overseas, which is the highest annual number of migrants in the world. Indians represent the second largest U.S. immigrant group, after Mexicans and ahead of Chinese and Filipinos. The 2.7 million Indianimmigrants residing in the United States as of 2021 made up 6 per cent of the total foreignborn population, and their numbers continue to expand. USA ranks second on the list with so many growth opportunities accessible for Indians in the spheres of technology and biological sciences. Based on secondary sources of data, the present research assesses the trend, major flow of immigrants and their contribution to the development of Indian economy, which concludes that with the help of remittances, immigration can contribute positively to the developmental activity of a country, including employment, economic growth, poverty reduction, social empowerment, and technological progress.</w:t>
      </w:r>
    </w:p>
    <w:p>
      <w:pPr/>
      <w:r>
        <w:rPr>
          <w:b/>
        </w:rPr>
        <w:t>POSSIBLE 2022:</w:t>
      </w:r>
      <w:r>
        <w:t xml:space="preserve"> A comprehensive socio-economic assessment of EU climate policy pathways — https://doi.org/10.1016/j.ecolecon.2022.107660</w:t>
      </w:r>
    </w:p>
    <w:p>
      <w:pPr/>
      <w:r>
        <w:rPr>
          <w:b/>
        </w:rPr>
        <w:t>Shared claim-specific concepts:</w:t>
      </w:r>
      <w:r>
        <w:t xml:space="preserve"> socio-economic, pathways, assessment, climate; EU scope visible. This is a provisional connection, not an outcome finding.</w:t>
      </w:r>
    </w:p>
    <w:p>
      <w:pPr>
        <w:pStyle w:val="SourceNote"/>
      </w:pPr>
      <w:r>
        <w:rPr>
          <w:b/>
        </w:rPr>
        <w:t>Available abstract (not full text):</w:t>
      </w:r>
      <w:r>
        <w:t xml:space="preserve"> The European Green Deal aims to put the EU on track towards climate neutrality by 2050. One of the key elements is a more stringent greenhouse gas emission reduction target of 55% below 1990 levels by 2030. We analyse the socio-economic consequences of alternative policy pathways to reach that target, either relying more on regulatory standards, on carbon pricing, or a mix of both. We develop a modelling framework that captures macro-economic and sectoral impacts and closely aligns economic and energy system modelling. We further decompose aggregate labour market outcomes into skill and occupation types, and downscale representative household results to micro-level household data to evaluate the distributional effects across income groups with heterogeneous expenditure patterns. By combining models and datasets, our framework enables incorporating a high degree of technological detail while revealing socio-economic aspects of the transition that may go unnoticed in coarse, aggregate assessments. In particular, our results highlight the heterogeneous impacts of climate policy across sectors, worker skill types and income groups, which may require particular attention in climate policy design and corresponding complementary measures to ensure a fair transition to a low-carbon economy.</w:t>
      </w:r>
    </w:p>
    <w:p>
      <w:pPr/>
      <w:r>
        <w:rPr>
          <w:b/>
        </w:rPr>
        <w:t>POSSIBLE 2022:</w:t>
      </w:r>
      <w:r>
        <w:t xml:space="preserve"> Assessment Framework for Measuring Socio-Economic Returns from Climate-Smart Farming Practices — https://doi.org/10.32628/gisrrj203357</w:t>
      </w:r>
    </w:p>
    <w:p>
      <w:pPr/>
      <w:r>
        <w:rPr>
          <w:b/>
        </w:rPr>
        <w:t>Shared claim-specific concepts:</w:t>
      </w:r>
      <w:r>
        <w:t xml:space="preserve"> socio-economic, assessment, between, climate; EU scope not established. This is a provisional connection, not an outcome finding.</w:t>
      </w:r>
    </w:p>
    <w:p>
      <w:pPr>
        <w:pStyle w:val="SourceNote"/>
      </w:pPr>
      <w:r>
        <w:rPr>
          <w:b/>
        </w:rPr>
        <w:t>Available abstract (not full text):</w:t>
      </w:r>
      <w:r>
        <w:t xml:space="preserve"> The adoption of climate-smart farming (CSF) practices presents an opportunity to strengthen agricultural resilience, mitigate greenhouse gas emissions, and enhance rural livelihoods. However, quantifying the socio-economic returns of these interventions remains a critical gap in sustainable development research and policy evaluation. This study proposes an assessment framework for measuring the socio-economic returns from climate-smart farming practices, integrating environmental sustainability, economic viability, and social inclusivity dimensions. The framework is structured around three analytical pillars: productivity enhancement, adaptive capacity, and livelihood diversification. Each pillar encompasses measurable indicators such as yield gains, input efficiency, carbon intensity reduction, income stability, labor utilization, and gender participation. A mixed-methods approach combining cost-benefit analysis (CBA), multi-criteria decision analysis (MCDA), and social return on investment (SROI) is employed to capture both tangible and intangible benefits. The framework incorporates life-cycle thinking to account for upstream and downstream effects, linking farm-level interventions to community-level outcomes. Data are collected through household surveys, participatory rural appraisals, and satellite-derived productivity mapping to ensure spatial and temporal accuracy. Weigh</w:t>
      </w:r>
    </w:p>
    <w:p>
      <w:pPr/>
      <w:r>
        <w:rPr>
          <w:b/>
        </w:rPr>
        <w:t>POSSIBLE 2021:</w:t>
      </w:r>
      <w:r>
        <w:t xml:space="preserve"> Modern trends in the socio-economic development of the Moscow region — https://doi.org/10.25634/mirbis.2021.4.15</w:t>
      </w:r>
    </w:p>
    <w:p>
      <w:pPr/>
      <w:r>
        <w:rPr>
          <w:b/>
        </w:rPr>
        <w:t>Shared claim-specific concepts:</w:t>
      </w:r>
      <w:r>
        <w:t xml:space="preserve"> socio-economic, population, current; EU scope not established. This is a provisional connection, not an outcome finding.</w:t>
      </w:r>
    </w:p>
    <w:p>
      <w:pPr>
        <w:pStyle w:val="SourceNote"/>
      </w:pPr>
      <w:r>
        <w:rPr>
          <w:b/>
        </w:rPr>
        <w:t>Available abstract (not full text):</w:t>
      </w:r>
      <w:r>
        <w:t xml:space="preserve"> Насущной проблемой развития отечественной экономики является переход к устойчивому экономическому росту, который будет способствовать закреплению России в составе государств, освоивших шестой технологический уклад. В нынешних условиях концепция управления социальноэкономическим развитием, нацеленная на повышение эффективности экономики трансформируется в вектор, направленный на существенное преобразование параметров и требований к повышению качества условий жизнедеятельности гражданина страны. Важно отметить при этом, что именно от региональных властей требуется проведение политики, направленной на всеобъемлющее повышение качественных параметров уровня жизни населения. В статье рассматриваются особенности развития Московской области, возможности устойчивой прогрессивной динамики по ключевым параметрам в долгосрочной перспективе. Анализируются управленческие решения органов региональной власти по определению приоритетов и направлений прогресса социальной и экономической систем, характеризуются достижения субъекта Федерации в рамках стратегии социально-экономического развития до 2030 год. This An urgent problem in the development of the domestic economy is the transition to sustainable economic growth, which will contribute to the consolidation of Russia among the states that have mastered the sixth technological mode. In the current conditions, the concept of managing socio-econ</w:t>
      </w:r>
    </w:p>
    <w:p>
      <w:pPr>
        <w:pStyle w:val="Heading2"/>
      </w:pPr>
      <w:r>
        <w:t>870.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pStyle w:val="Heading2"/>
      </w:pPr>
      <w:r>
        <w:t>871.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system, used, role, climate;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2022:</w:t>
      </w:r>
      <w:r>
        <w:t xml:space="preserve"> Development of Photovoltaic Energy in EU Countries as an Alternative to Fossil Fuels — https://doi.org/10.3390/en15020662</w:t>
      </w:r>
    </w:p>
    <w:p>
      <w:pPr/>
      <w:r>
        <w:rPr>
          <w:b/>
        </w:rPr>
        <w:t>Shared claim-specific concepts:</w:t>
      </w:r>
      <w:r>
        <w:t xml:space="preserve"> energy, used, climate, long-term; EU scope visible. This is a provisional connection, not an outcome finding.</w:t>
      </w:r>
    </w:p>
    <w:p>
      <w:pPr>
        <w:pStyle w:val="SourceNote"/>
      </w:pPr>
      <w:r>
        <w:rPr>
          <w:b/>
        </w:rPr>
        <w:t>Available abstract (not full text):</w:t>
      </w:r>
      <w:r>
        <w:t xml:space="preserve"> The aim of the article is to present the development of photovoltaic energy in the EU countries as one of the alternatives to fossil fuels. The article was prepared on the basis of secondary information and statistical data on the photovoltaic energy market in EU countries, and three hypotheses were formulated: H1—There is a statistically significant correlation between a country’s long-term orientation and its use of photovoltaic energy in European Union countries; H2—There is a statistically significant correlation between GDP per capita and photovoltaic energy use in European Union countries; and H3—There is a relationship between climate and photovoltaic energy use in European Union countries. Correlation coefficients and the Guilford classification were used to analyse the data. Data analysis has shown that photovoltaic energy is the second fastest-growing energy source in the EU, after wind energy. In 2020, 134 TWh of solar energy was produced in the EU countries. Based on the analysis, it can be concluded that there is a statistically significant correlation between the production of photovoltaic energy per person and the level of GDP per capita in the EU countries (Hypothesis 2). Germany and the Netherlands produce the most solar energy. The studies did not confirm Hypothesis 3; however, it can be seen that countries such as Germany, Belgium and the Netherlands have the</w:t>
      </w:r>
    </w:p>
    <w:p>
      <w:pPr/>
      <w:r>
        <w:rPr>
          <w:b/>
        </w:rPr>
        <w:t>POSSIBLE 2021:</w:t>
      </w:r>
      <w:r>
        <w:t xml:space="preserve"> Second bottom-up model simulations : Deliverably D3.5 — https://openalex.org/W3211137343</w:t>
      </w:r>
    </w:p>
    <w:p>
      <w:pPr/>
      <w:r>
        <w:rPr>
          <w:b/>
        </w:rPr>
        <w:t>Shared claim-specific concepts:</w:t>
      </w:r>
      <w:r>
        <w:t xml:space="preserve"> bottom-up, system, role; EU scope visible. This is a provisional connection, not an outcome finding.</w:t>
      </w:r>
    </w:p>
    <w:p>
      <w:pPr>
        <w:pStyle w:val="SourceNote"/>
      </w:pPr>
      <w:r>
        <w:rPr>
          <w:b/>
        </w:rPr>
        <w:t>Available abstract (not full text):</w:t>
      </w:r>
      <w:r>
        <w:t xml:space="preserve"> Models play a crucial role in the quantification of GHG emissions. They can extrapolate and interpolate measurements spatially and temporally. Different models are designed for different purposes, from data-driven models that make the most efficient use of existing data, to process-based models which provide increased resolution of underlying driving mechanisms. VERIFY incorporates a wide variety of different model types to enable the system to respond to a far-reaching host of questions.Therefore, the aim of this WP is to simulate terrestrial carbon fluxes in both natural and anthropogenic systems. Using harmonized input data collected and reported on in D3.2, WP3 produced a variety of gridded flux and stock estimates of carbon within Europe. This particular deliverable shows carbon dioxide emissions from croplands, grasslands, and forests across the continent, using a variety of approaches. These approaches include models making extensive use of country-level statistics, those aiming for comprehensive descriptions of ecosystem processes, and statistical upscaling of site-level results to the continental scale.This deliverable provides details about the results of the second round of simulations from the bottom-up land models. Simulation methods will be improved during the course of the project, reflecting new scientific and technical understanding.</w:t>
      </w:r>
    </w:p>
    <w:p>
      <w:pPr/>
      <w:r>
        <w:rPr>
          <w:b/>
        </w:rPr>
        <w:t>POSSIBLE 2021:</w:t>
      </w:r>
      <w:r>
        <w:t xml:space="preserve"> Electric vehicle charging network in Europe: An accessibility and deployment trends analysis — https://doi.org/10.1016/j.trd.2021.102813</w:t>
      </w:r>
    </w:p>
    <w:p>
      <w:pPr/>
      <w:r>
        <w:rPr>
          <w:b/>
        </w:rPr>
        <w:t>Shared claim-specific concepts:</w:t>
      </w:r>
      <w:r>
        <w:t xml:space="preserve"> bottom-up; EU scope visible. This is a provisional connection, not an outcome finding.</w:t>
      </w:r>
    </w:p>
    <w:p>
      <w:pPr>
        <w:pStyle w:val="SourceNote"/>
      </w:pPr>
      <w:r>
        <w:rPr>
          <w:b/>
        </w:rPr>
        <w:t>Available abstract (not full text):</w:t>
      </w:r>
      <w:r>
        <w:t xml:space="preserve"> If coupled with a low-carbon electricity mix, electric vehicles (EVs) can represent an important technology for transport decarbonization and local pollutants abatement. Yet, to ensure large-scale EVs adoption, an adequate charging stations network must be developed. This paper provides the first comprehensive bottom-up analysis of the EV charging network in Europe. Combining a crowd-sourced database of charging stations with accessibility data and algorithms, we produce maps of the travel time to the most accessible EV charging station across Europe, we evaluate the charging points density and the number of active operators in different areas. We find that although recent years have witnessed a notable expansion of the EV charging network, stark inequalities persist across and within countries, both in terms of accessibility and of the charging points available to users. Our results allow for a better understanding of some of the key challenges ahead for ensuring mass EVs adoption throughout Europe and thus potentially reducing the environmental impact of the transport sector.</w:t>
      </w:r>
    </w:p>
    <w:p>
      <w:pPr/>
      <w:r>
        <w:rPr>
          <w:b/>
        </w:rPr>
        <w:t>POSSIBLE 2021:</w:t>
      </w:r>
      <w:r>
        <w:t xml:space="preserve"> Tightening EU ETS targets in line with the European Green Deal: Impacts on the decarbonization of the EU power sector — https://doi.org/10.1016/j.apenergy.2021.116914</w:t>
      </w:r>
    </w:p>
    <w:p>
      <w:pPr/>
      <w:r>
        <w:rPr>
          <w:b/>
        </w:rPr>
        <w:t>Shared claim-specific concepts:</w:t>
      </w:r>
      <w:r>
        <w:t xml:space="preserve"> system, hydrogen, climate, current; EU scope visible. This is a provisional connection, not an outcome finding.</w:t>
      </w:r>
    </w:p>
    <w:p>
      <w:pPr>
        <w:pStyle w:val="SourceNote"/>
      </w:pPr>
      <w:r>
        <w:rPr>
          <w:b/>
        </w:rPr>
        <w:t>Available abstract (not full text):</w:t>
      </w:r>
      <w:r>
        <w:t xml:space="preserve"> The EU Green Deal calls for climate neutrality by 2050 and emission reductions of 50–55% in 2030 in comparison to 1990. Achieving these reductions requires a substantial tightening of the regulations of the EU emissions trading system (EU ETS). This paper explores how the power sector would have to change in reaction to a tighter EU ETS target, and analyses the technological and economic implications. To cover the major ETS sectors, we combine a detailed power sector model with a marginal-abatement cost curve representation of industry emission abatement. We find that tightening the target would speed up the transformation by 3–17 years for different parts of the electricity system, with renewables contributing 74% of the electricity in 2030, EU-wide coal use almost completely phased-out by 2030 instead of 2045, and zero electricity generation emissions reached by 2040. Carbon prices within the EU ETS would more than triple to 129€/tCO2 in 2030, reducing cumulated power sector emissions from 2017 to 2057 by 54% compared to a scenario with the current target. This transformation would come at limited costs: total discounted power system costs would only increase by 5%. We test our findings against a number of sensitivities: an increased electricity demand, which might arise from sector coupling, increases deployment of wind and solar and prolongs gas usage. Not allowing transmis</w:t>
      </w:r>
    </w:p>
    <w:p>
      <w:pPr/>
      <w:r>
        <w:rPr>
          <w:b/>
        </w:rPr>
        <w:t>POSSIBLE 2021:</w:t>
      </w:r>
      <w:r>
        <w:t xml:space="preserve"> The open source electricity Model Base for Europe - An engagement framework for open and transparent European energy modelling — https://doi.org/10.1016/j.energy.2021.121973</w:t>
      </w:r>
    </w:p>
    <w:p>
      <w:pPr/>
      <w:r>
        <w:rPr>
          <w:b/>
        </w:rPr>
        <w:t>Shared claim-specific concepts:</w:t>
      </w:r>
      <w:r>
        <w:t xml:space="preserve"> energy, system, used; EU scope visible. This is a provisional connection, not an outcome finding.</w:t>
      </w:r>
    </w:p>
    <w:p>
      <w:pPr>
        <w:pStyle w:val="SourceNote"/>
      </w:pPr>
      <w:r>
        <w:rPr>
          <w:b/>
        </w:rPr>
        <w:t>Available abstract (not full text):</w:t>
      </w:r>
      <w:r>
        <w:t xml:space="preserve"> The transition to a low carbon energy system as laid out in the Paris Agreement and the European Green Deal presents challenges that involve society at all levels from planners to consumers. A key challenge is the communication across these levels. Tools to foster engagement and discussion between the different actors are open-source models with a low threshold for uptake. This paper presents the Open-Source electricity Model Base for Europe an electricity sector engagement model covering all member states of the EU, Norway, Switzerland and the United Kingdom. Built in OSeMOSYS and available on GitHub, the model provides a starting point into energy systems modelling and can be further developed in a collaborative manner. It enables non-experts to develop an understanding of energy systems models and energy planning. Thereby, it can serve as an engagement tool to carry the debate on the future of the European power system beyond the academy, which might contribute to finding societal consensus on how to decarbonise our energy system. The model allows dynamic power sector expansion analysis of the European power system till 2050. It can be used for scenario analysis and is expandable to other sectors to analyse the benefits of sector coupling.</w:t>
      </w:r>
    </w:p>
    <w:p>
      <w:pPr/>
      <w:r>
        <w:rPr>
          <w:b/>
        </w:rPr>
        <w:t>POSSIBLE 2021:</w:t>
      </w:r>
      <w:r>
        <w:t xml:space="preserve"> How EU policies could reduce nutrient pollution in European inland and coastal waters — https://doi.org/10.1016/j.gloenvcha.2021.102281</w:t>
      </w:r>
    </w:p>
    <w:p>
      <w:pPr/>
      <w:r>
        <w:rPr>
          <w:b/>
        </w:rPr>
        <w:t>Shared claim-specific concepts:</w:t>
      </w:r>
      <w:r>
        <w:t xml:space="preserve"> system, current; EU scope visible. This is a provisional connection, not an outcome finding.</w:t>
      </w:r>
    </w:p>
    <w:p>
      <w:pPr>
        <w:pStyle w:val="SourceNote"/>
      </w:pPr>
      <w:r>
        <w:rPr>
          <w:b/>
        </w:rPr>
        <w:t>Available abstract (not full text):</w:t>
      </w:r>
      <w:r>
        <w:t xml:space="preserve"> Intensive agriculture and densely populated areas represent major sources of nutrient pollution for European inland and coastal waters, altering the aquatic ecosystems and affecting their capacity to provide ecosystem services and support economic activities. Ambitious water policies are in place in the European Union (EU) for protecting and restoring aquatic ecosystems under the Water Framework Directive and the Marine Strategy Framework Directive. This research quantified the current pressures of point and diffuse nitrogen and phosphorus emissions to European fresh and coastal waters (2005-2012), and analysed the effects of three policy scenarios of nutrient reduction: 1) the application of measures currently planned in the Rural Development Programmes and under the Urban Waste Water Treatment Directive (UWWTD); 2) the full implementation of the UWWTD and the absence of derogations in the Nitrates Directive; 3) high reduction of nutrient, using best technologies in wastewaters treatment and optimal fertilisation in agriculture. The results of the study show that for the period 2005-2012, the nitrogen load to European seas was 3.3-4.1 TgN/y and the phosphorus load was 0.26-0.30 TgP/y. Policy measures supporting technological improvements (third scenario) could decrease the nutrient export to the seas up to 14% for nitrogen and 20% for phosphorus, improving the ecological statu</w:t>
      </w:r>
    </w:p>
    <w:p>
      <w:pPr/>
      <w:r>
        <w:rPr>
          <w:b/>
        </w:rPr>
        <w:t>POSSIBLE 2020:</w:t>
      </w:r>
      <w:r>
        <w:t xml:space="preserve"> Classification and challenges of bottom-up energy system models - A review — https://doi.org/10.1016/j.rser.2020.109917</w:t>
      </w:r>
    </w:p>
    <w:p>
      <w:pPr/>
      <w:r>
        <w:rPr>
          <w:b/>
        </w:rPr>
        <w:t>Shared claim-specific concepts:</w:t>
      </w:r>
      <w:r>
        <w:t xml:space="preserve"> bottom-up, energy, system, used, current, long-term; EU scope not established. This is a provisional connection, not an outcome finding.</w:t>
      </w:r>
    </w:p>
    <w:p>
      <w:pPr>
        <w:pStyle w:val="SourceNote"/>
      </w:pPr>
      <w:r>
        <w:rPr>
          <w:b/>
        </w:rPr>
        <w:t>Available abstract (not full text):</w:t>
      </w:r>
      <w:r>
        <w:t xml:space="preserve"> This paper reviews the classification schemes used for bottom-up energy system modelling and proposes a novel one as re-elaboration of the previous schemes. Moreover, this paper identifies that the main challenges of this research field rotate around the concept of resolution. A matrix of challenges in which four main fields are identified: resolution in time, in space, in techno-economic detail and in sector-coupling. These main fields are divided into different levels of resolution: low, medium and high. The use of a low resolution introduces errors in the modelling as demonstrated by different studies. Several existing bottom-up energy system models are reviewed in order to classify them according to the proposed approach and map them through the proposed matrix. 13 different models are analyzed in the category of bottom-up short-term and 9 as bottom-up long-term energy system models. The following mapping shows how several models reach a high level of resolution in one or more than one area. However, the ultimate challenge is the simultaneous achievement of high resolution in all these fields. The literature review has shown how this final aim is not reached by any model at the current stage and it highlights the gap and weaknesses of this branch of research and the direction versus which is important to work to improve this type of modelling.</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energy, climate, become;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2020:</w:t>
      </w:r>
      <w:r>
        <w:t xml:space="preserve"> HERMESv3, a stand-alone multi-scale atmospheric emission modelling framework – Part 2: The bottom–up module — https://doi.org/10.5194/gmd-13-873-2020</w:t>
      </w:r>
    </w:p>
    <w:p>
      <w:pPr/>
      <w:r>
        <w:rPr>
          <w:b/>
        </w:rPr>
        <w:t>Shared claim-specific concepts:</w:t>
      </w:r>
      <w:r>
        <w:t xml:space="preserve"> bottom-up, system, two; EU scope visible. This is a provisional connection, not an outcome finding.</w:t>
      </w:r>
    </w:p>
    <w:p>
      <w:pPr>
        <w:pStyle w:val="SourceNote"/>
      </w:pPr>
      <w:r>
        <w:rPr>
          <w:b/>
        </w:rPr>
        <w:t>Available abstract (not full text):</w:t>
      </w:r>
      <w:r>
        <w:t xml:space="preserve"> Abstract. We describe the bottom-up module of the High-Elective Resolution Modelling Emission System version 3 (HERMESv3), a python-based and multiscale modelling tool intended for the processing and computation of atmospheric emissions for air quality modelling. HERMESv3 is composed of two separate modules: the global_regional module and the bottom_up module. In a companion paper (Part 1, Guevara et al., 2019) we presented the global_regional module. The bottom_up module described in this contribution is an emission model that estimates anthropogenic emissions at high spatial (e.g. road link level) and temporal (hourly) resolution using state-of-the-art calculation methods that combine local activity and emission factors along with meteorological data. The model computes bottom-up emissions from point sources, road transport, residential and commercial combustion, other mobile sources and agricultural activities. The computed pollutants include main criteria pollutants (i.e. NOx, CO, NMVOC, SOx, NH3, PM10 and PM2.5) and greenhouse gases (i.e. CO2 and CH4, only related to combustion processes). Specific emission estimation methodologies are provided for each source, and are mostly based on (but not limited to) the calculation methodologies reported by the European EMEP/EEA air pollutant emission inventory guidebook. Meteorological-dependent functions are also included to take i</w:t>
      </w:r>
    </w:p>
    <w:p>
      <w:pPr>
        <w:pStyle w:val="Heading2"/>
      </w:pPr>
      <w:r>
        <w:t>872.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2023:</w:t>
      </w:r>
      <w:r>
        <w:t xml:space="preserve"> Smart Energy Meters for Smart Grids, an Internet of Things Perspective — https://doi.org/10.3390/en16041974</w:t>
      </w:r>
    </w:p>
    <w:p>
      <w:pPr/>
      <w:r>
        <w:rPr>
          <w:b/>
        </w:rPr>
        <w:t>Shared claim-specific concepts:</w:t>
      </w:r>
      <w:r>
        <w:t xml:space="preserve"> smart, grid, energy, electricity, meters, seen; EU scope not established. This is a provisional connection, not an outcome finding.</w:t>
      </w:r>
    </w:p>
    <w:p>
      <w:pPr>
        <w:pStyle w:val="SourceNote"/>
      </w:pPr>
      <w:r>
        <w:rPr>
          <w:b/>
        </w:rPr>
        <w:t>Available abstract (not full text):</w:t>
      </w:r>
      <w:r>
        <w:t xml:space="preserve"> Smart energy has evolved over the years to include multiple domains integrated across multiple technology themes, such as electricity, smart grid, and logistics, linked through communication technology and processed in the cloud in a holistic way to deliver on global challenges. Advances in sensing, communication, and computation technologies have been made that enable better smart system implementations. In smart energy systems, sensing technologies have spanned multiple domains with newer techniques that are more accurate, have greater dynamic ranges, and are more reliable. Similarly, communication techniques have now evolved into very high-speed, flexible, and dynamic systems. Computation techniques have seen a quantum leap with greater integration, powerful computing engines, and versatile software stacks that are easily available and modifiable. Finally, the system integration has also seen advances in the form of management, automation, and analytics paradigms. Consequently, smart energy systems have witnessed a revolutionary transformation. The complexity has correspondingly grown exponentially. With regard to smart meters, the measurement component has to scale up to meet the demands of the evolved energy eco-system by relying on the advancements offered. The internet of things (IoT) is a key technology enabler in this scenario, and the smart meter is a key component. I</w:t>
      </w:r>
    </w:p>
    <w:p>
      <w:pPr/>
      <w:r>
        <w:rPr>
          <w:b/>
        </w:rPr>
        <w:t>POSSIBLE 2023:</w:t>
      </w:r>
      <w:r>
        <w:t xml:space="preserve"> From Smart Grids to Super Smart Grids: A Roadmap for Strategic Demand Management for Next Generation SAARC and European Power Infrastructure — https://doi.org/10.1109/access.2023.3241686</w:t>
      </w:r>
    </w:p>
    <w:p>
      <w:pPr/>
      <w:r>
        <w:rPr>
          <w:b/>
        </w:rPr>
        <w:t>Shared claim-specific concepts:</w:t>
      </w:r>
      <w:r>
        <w:t xml:space="preserve"> smart, energy, electricity, step, multiple; EU scope visible. This is a provisional connection, not an outcome finding.</w:t>
      </w:r>
    </w:p>
    <w:p>
      <w:pPr>
        <w:pStyle w:val="SourceNote"/>
      </w:pPr>
      <w:r>
        <w:rPr>
          <w:b/>
        </w:rPr>
        <w:t>Available abstract (not full text):</w:t>
      </w:r>
      <w:r>
        <w:t xml:space="preserve"> Due to an increasing of demands of electricity in a world on regular basis, different continents will initiate a step towards transforming their smart grids infrastructure into super smart grids (SSGs), in which various countries in a continent will take a step towards an interconnection of their power system networks with one another to manage their futuristic demands conditions. The concept of SSGs system is predicated due to extensive use of modern technology, digital communication, machine learning and modern information techniques for the present power generating system to be more accurate and feature on balancing demand and supply. The SSGs uses renewable energy resources to support power system of multiple countries by reducing the greenhouse gases emissions. The main purpose of transforming smart grids into SSGs is to balance the demands and supply between multiple countries, if each country is not able to manage their own demands profiles. The environmental conditions, lack of energy management, intermittent nature of renewable energy resources and line losses are the major hurdles to provide regular supply. This research work focused about the hurdles in the form of technical challenges that will be arises in case of developing a futuristic SSGs for European and SAARC continents, and thus provide a valuable solution for it along with discussion about the future resear</w:t>
      </w:r>
    </w:p>
    <w:p>
      <w:pPr/>
      <w:r>
        <w:rPr>
          <w:b/>
        </w:rPr>
        <w:t>POSSIBLE 2023:</w:t>
      </w:r>
      <w:r>
        <w:t xml:space="preserve"> Smart grids: levers towards reducing disparities between cities or targets on the European energy innovation map? — https://openalex.org/W7113512371</w:t>
      </w:r>
    </w:p>
    <w:p>
      <w:pPr/>
      <w:r>
        <w:rPr>
          <w:b/>
        </w:rPr>
        <w:t>Shared claim-specific concepts:</w:t>
      </w:r>
      <w:r>
        <w:t xml:space="preserve"> smart, grid, energy, policies, science; EU scope visible. This is a provisional connection, not an outcome finding.</w:t>
      </w:r>
    </w:p>
    <w:p>
      <w:pPr>
        <w:pStyle w:val="SourceNote"/>
      </w:pPr>
      <w:r>
        <w:rPr>
          <w:b/>
        </w:rPr>
        <w:t>Available abstract (not full text):</w:t>
      </w:r>
      <w:r>
        <w:t xml:space="preserve"> The energy market liberalization in Europe strives to be more than an aggregation of functional energy national systems, but a smart and unified approach to a market subjected to various disparities amongst states. Given that states are characterized by distinctive levels of investments in the innovation sector, as well as the technological one, a swift and harmonized market liberalization seems to be more a desiderate, rather than an actual objective. The objective of this research is to deliberate and analyse to which extend a smart grid, in its whole mechanics, may reduce the number of disparities between European cities. Moreover, the research will try to depict a smart approach towards implementing successful models of smart grids on markets not yet matured. In this paper I will refine and further deliberate concepts that I have advanced during my Doctoral research in the field of energy market liberalization, but now on a more evolved and in-detail approach; trying to answer to questions such as: is the actual liberalized energy market capable to successfully sustain a smart grid/ smart network approach? And if yes, are the smart consumers enabled to use the advantages, such as smart metering, to full potential? The main result of this research will be to create a matrix, based on comparative research and case study approach, of existing capabilities on the Romanian energ</w:t>
      </w:r>
    </w:p>
    <w:p>
      <w:pPr/>
      <w:r>
        <w:rPr>
          <w:b/>
        </w:rPr>
        <w:t>POSSIBLE 2022:</w:t>
      </w:r>
      <w:r>
        <w:t xml:space="preserve"> Mobility in the Smart Grid: Roaming Protocols for EV Charging — https://doi.org/10.1109/tsg.2022.3202608</w:t>
      </w:r>
    </w:p>
    <w:p>
      <w:pPr/>
      <w:r>
        <w:rPr>
          <w:b/>
        </w:rPr>
        <w:t>Shared claim-specific concepts:</w:t>
      </w:r>
      <w:r>
        <w:t xml:space="preserve"> smart, grid, increasingly, openness; EU scope visible. This is a provisional connection, not an outcome finding.</w:t>
      </w:r>
    </w:p>
    <w:p>
      <w:pPr>
        <w:pStyle w:val="SourceNote"/>
      </w:pPr>
      <w:r>
        <w:rPr>
          <w:b/>
        </w:rPr>
        <w:t>Available abstract (not full text):</w:t>
      </w:r>
      <w:r>
        <w:t xml:space="preserve"> While most smart grids approaches assume that the user consumes services in a fixed location, the case of charging Battery Electric Vehicles (BEVs) adds an interesting mobility dimension. Drivers increasingly need to rely on public charging facilities, and given local grid conditions, such facilities often cannot offer their services without smart charging and tight integration in the smart grid. In analogy with mobile telecommunications, stakeholders in the field of EV charging have developed EV roaming protocols to allow for a mobility dimension, and, for some, add smart grid integration. However, this development is still in its early phase, and in Europe, there are at least four different, mutually incompatible protocols in use. In this paper, we investigate the history of these protocols, their characteristics – especially in relation to the smart grid – and investigate their openness and neutrality. We then explore scenarios for future development towards a single standard, also taking the regulatory dimension into consideration. We end with a reflection on the development of standards for the smart grid.</w:t>
      </w:r>
    </w:p>
    <w:p>
      <w:pPr/>
      <w:r>
        <w:rPr>
          <w:b/>
        </w:rPr>
        <w:t>POSSIBLE 2022:</w:t>
      </w:r>
      <w:r>
        <w:t xml:space="preserve"> Quantum computing for smart grid applications — https://doi.org/10.1049/gtd2.12602</w:t>
      </w:r>
    </w:p>
    <w:p>
      <w:pPr/>
      <w:r>
        <w:rPr>
          <w:b/>
        </w:rPr>
        <w:t>Shared claim-specific concepts:</w:t>
      </w:r>
      <w:r>
        <w:t xml:space="preserve"> smart, grid, energy, promising; EU scope not established. This is a provisional connection, not an outcome finding.</w:t>
      </w:r>
    </w:p>
    <w:p>
      <w:pPr>
        <w:pStyle w:val="SourceNote"/>
      </w:pPr>
      <w:r>
        <w:rPr>
          <w:b/>
        </w:rPr>
        <w:t>Available abstract (not full text):</w:t>
      </w:r>
      <w:r>
        <w:t xml:space="preserve"> Abstract Computational complexities in modern power systems are reportedly increasing daily, and it is anticipated that traditional computers might be inadequate to provide the computation prerequisite in future complex power grids. In that given context, quantum computing (QC) can be considered a next‐generation alternative solution to deal with upcoming computational challenges in smart grids. The QC is a relatively new yet promising technology that leverages the unique phenomena of quantum mechanics in processing information and computations. This emerging paradigm shows a significant potential to overcome the barrier of computational limitations with better and faster solutions in optimization, simulations, and machine learning problems. In recent years, substantial progress in developing advanced quantum hardware, software, and algorithms have made QC more feasible to apply in various research areas, including smart grids. It is evident that considerable research has already been carried out, and such efforts are remarkably continuing. As QC is a highly evolving field of study, a brief review of the existing literature will be vital to realize the state‐of‐art on QC for smart grid applications. Therefore, this article summarizes the research outcomes of the most recent papers, highlights their suggestions for utilizing QC techniques for various smart grid applications, and</w:t>
      </w:r>
    </w:p>
    <w:p>
      <w:pPr/>
      <w:r>
        <w:rPr>
          <w:b/>
        </w:rPr>
        <w:t>POSSIBLE 2022:</w:t>
      </w:r>
      <w:r>
        <w:t xml:space="preserve"> Review of Smart Grid and Nascent Energy Policies: Pakistan as a Case Study — https://doi.org/10.3390/en15197044</w:t>
      </w:r>
    </w:p>
    <w:p>
      <w:pPr/>
      <w:r>
        <w:rPr>
          <w:b/>
        </w:rPr>
        <w:t>Shared claim-specific concepts:</w:t>
      </w:r>
      <w:r>
        <w:t xml:space="preserve"> smart, grid, energy, policies, electricity; EU scope not established. This is a provisional connection, not an outcome finding.</w:t>
      </w:r>
    </w:p>
    <w:p>
      <w:pPr>
        <w:pStyle w:val="SourceNote"/>
      </w:pPr>
      <w:r>
        <w:rPr>
          <w:b/>
        </w:rPr>
        <w:t>Available abstract (not full text):</w:t>
      </w:r>
      <w:r>
        <w:t xml:space="preserve"> Smart grid plays a vital role in energy management systems. It helps to mitigate the demand side management of electricity by managing the microgrid. In the modern era, the concept of hybrid microgrids emerged which helps the smart grid management of electricity. Additionally, the Internet of Things (IoT) technology is used to integrate the hybrid microgrid. Thus, various policies and topologies are employed to perform the task meticulously. Pakistan being an energy deficient country has recently introduced some new policies such as Energy Wheeling Policy (EWP), Energy Import Policy (EIP), and Net Metering/Distributed Generation Policy (NMP) to manage the electricity demand effectively. In addition, the Energy Efficiency and Conservation Act (EECA) has also been introduced. In this paper, we present the overview and impact of these policies in the context of the local energy market and modern information and communication mechanisms proposed for smart grids. These new policies primarily focus on energy demand–supply for various types of consumers such as the demand for bulk energy for industrial ventures and the distributed production by consumers. The EWP deals with obtaining power from remote areas within the country to ease the energy situation in populated load centers and the EIP highlights energy import guidelines from foreign countries. The NMP deals with the integration</w:t>
      </w:r>
    </w:p>
    <w:p>
      <w:pPr/>
      <w:r>
        <w:rPr>
          <w:b/>
        </w:rPr>
        <w:t>POSSIBLE 2022:</w:t>
      </w:r>
      <w:r>
        <w:t xml:space="preserve"> A review of behind-the-meter energy storage systems in smart grids — https://doi.org/10.1016/j.rser.2022.112573</w:t>
      </w:r>
    </w:p>
    <w:p>
      <w:pPr/>
      <w:r>
        <w:rPr>
          <w:b/>
        </w:rPr>
        <w:t>Shared claim-specific concepts:</w:t>
      </w:r>
      <w:r>
        <w:t xml:space="preserve"> smart, energy, policies, perspectives; EU scope not established. This is a provisional connection, not an outcome finding.</w:t>
      </w:r>
    </w:p>
    <w:p>
      <w:pPr>
        <w:pStyle w:val="SourceNote"/>
      </w:pPr>
      <w:r>
        <w:rPr>
          <w:b/>
        </w:rPr>
        <w:t>Available abstract (not full text):</w:t>
      </w:r>
      <w:r>
        <w:t xml:space="preserve"> The electric power industry is experiencing a paradigm shift towards a carbon-free smart system boosted by rising energy demand, depreciation of long-lived physical assets, as well as global environmental challenges. Recent advances in information and communications technology, as well as the widespread integration of renewable energy resources to the power distribution system, have introduced new opportunities and challenges for system operators and end-users alike. Energy storage systems (ESSs) can help make the most of the opportunities and mitigate the potential challenges. Hence, the installed capacity of ESSs is rapidly increasing, both in front-of-the-meter and behind-the-meter (BTM), accelerated by recent deep reductions in ESS costs. This work is focused on BTM ESSs installed in end-users ' premises and associated technologies, different billing and pricing policies, as well as their potential capabilities from both the system operators' and end-users’ perspectives. Furthermore, a brief but comprehensive overview of optimization solutions for BTM energy management problems and a quick summary of some BTM case studies are provided. Finally, challenges in the realization of BTM systems in today's power system are explored, and potential research areas and progressive solutions for future studies are identified.</w:t>
      </w:r>
    </w:p>
    <w:p>
      <w:pPr/>
      <w:r>
        <w:rPr>
          <w:b/>
        </w:rPr>
        <w:t>POSSIBLE 2021:</w:t>
      </w:r>
      <w:r>
        <w:t xml:space="preserve"> 2021 IEEE PES Innovative Smart Grid Technologies Europe (ISGT-Europe) — https://doi.org/10.1109/isgteurope52324.2021.9640224</w:t>
      </w:r>
    </w:p>
    <w:p>
      <w:pPr/>
      <w:r>
        <w:rPr>
          <w:b/>
        </w:rPr>
        <w:t>Shared claim-specific concepts:</w:t>
      </w:r>
      <w:r>
        <w:t xml:space="preserve"> smart, grid, energy, perspectives; EU scope visible. This is a provisional connection, not an outcome finding.</w:t>
      </w:r>
    </w:p>
    <w:p>
      <w:pPr>
        <w:pStyle w:val="SourceNote"/>
      </w:pPr>
      <w:r>
        <w:rPr>
          <w:b/>
        </w:rPr>
        <w:t>Available abstract (not full text):</w:t>
      </w:r>
      <w:r>
        <w:t xml:space="preserve"> Power grids are evolving into smart grids in order to create a sustainable energy system.Decentralized, intermittent generation and demand management needs, among other things, make the grid more dynamic and demanding, thus posing a management challenge.Communication and information technologies are used extensively to address this challenge.Wider penetration of open, public communication networks and information technologies induces vulnerabilities into the system.Furthermore, critical infrastructure assets, such as power grids, are primary targets in cyber warfare and cyber criminality.The panelists will share experiences on reliability and security of power grids with perspectives of resilience, cybersecurity, operation and control, data-driven approaches, and mobile communication.</w:t>
      </w:r>
    </w:p>
    <w:p>
      <w:pPr/>
      <w:r>
        <w:rPr>
          <w:b/>
        </w:rPr>
        <w:t>POSSIBLE 2021:</w:t>
      </w:r>
      <w:r>
        <w:t xml:space="preserve"> A Survey on Energy Efficiency in Smart Homes and Smart Grids — https://doi.org/10.3390/en14217273</w:t>
      </w:r>
    </w:p>
    <w:p>
      <w:pPr/>
      <w:r>
        <w:rPr>
          <w:b/>
        </w:rPr>
        <w:t>Shared claim-specific concepts:</w:t>
      </w:r>
      <w:r>
        <w:t xml:space="preserve"> smart, grid, energy, electricity; EU scope visible. This is a provisional connection, not an outcome finding.</w:t>
      </w:r>
    </w:p>
    <w:p>
      <w:pPr>
        <w:pStyle w:val="SourceNote"/>
      </w:pPr>
      <w:r>
        <w:rPr>
          <w:b/>
        </w:rPr>
        <w:t>Available abstract (not full text):</w:t>
      </w:r>
      <w:r>
        <w:t xml:space="preserve"> Empowered by the emergence of novel information and communication technologies (ICTs) such as sensors and high-performance digital communication systems, Europe has adapted its electricity distribution network into a modern infrastructure known as a smart grid (SG). The benefits of this new infrastructure include precise and real-time capacity for measuring and monitoring the different energy-relevant parameters on the various points of the grid and for the remote operation and optimization of distribution. Furthermore, a new user profile is derived from this novel infrastructure, known as a prosumer (a user that can produce and consume energy to/from the grid), who can benefit from the features derived from applying advanced analytics and semantic technologies in the rich amount of big data generated by the different subsystems. However, this novel, highly interconnected infrastructure also presents some significant drawbacks, like those related to information security (IS). We provide a systematic literature survey of the ICT-empowered environments that comprise SGs and homes, and the application of modern artificial intelligence (AI) related technologies with sensor fusion systems and actuators, ensuring energy efficiency in such systems. Furthermore, we outline the current challenges and outlook for this field. These address new developments on microgrids, and data-driven e</w:t>
      </w:r>
    </w:p>
    <w:p>
      <w:pPr/>
      <w:r>
        <w:rPr>
          <w:b/>
        </w:rPr>
        <w:t>POSSIBLE 2021:</w:t>
      </w:r>
      <w:r>
        <w:t xml:space="preserve"> A complex network approach for analyzing early evolution of smart grid innovations in Europe — https://doi.org/10.1016/j.apenergy.2021.117143</w:t>
      </w:r>
    </w:p>
    <w:p>
      <w:pPr/>
      <w:r>
        <w:rPr>
          <w:b/>
        </w:rPr>
        <w:t>Shared claim-specific concepts:</w:t>
      </w:r>
      <w:r>
        <w:t xml:space="preserve"> smart, grid, energy, policies; EU scope visible. This is a provisional connection, not an outcome finding.</w:t>
      </w:r>
    </w:p>
    <w:p>
      <w:pPr>
        <w:pStyle w:val="SourceNote"/>
      </w:pPr>
      <w:r>
        <w:rPr>
          <w:b/>
        </w:rPr>
        <w:t>Available abstract (not full text):</w:t>
      </w:r>
      <w:r>
        <w:t xml:space="preserve"> This paper investigates how the strategic decisions of innovative firms to collaborate with other firms in research and development projects shape the early evolution of smart grid technologies as an emerging technological system across Europe. The early innovations and developments in an emerging technological system are crucial for understanding further developments of the system. This early stage is highly influenced by the strategic decisions and lobbying power of the firms experimenting with different technological innovations, and the policies trying to maintain competition and steer the direction of innovative activities. Therefore, it is important to analyze how innovative firms behave in terms of collaborating with other firms and doing research on specific energy solutions, which reflect their strategic priorities. By taking a complex network approach, this paper investigates a network of smart grid R&amp;D projects to analyze the convergence of smart grid research activities towards a stream of innovative solutions, and the variety of innovative activities branching out from these solutions. The results verify the convergence of smart grid activities towards one specific stream of innovations, and reveal the existence of four variations centered around different technological applications. The results can guide strategy development in innovative firms to take part in res</w:t>
      </w:r>
    </w:p>
    <w:p>
      <w:pPr/>
      <w:r>
        <w:rPr>
          <w:b/>
        </w:rPr>
        <w:t>POSSIBLE 2021:</w:t>
      </w:r>
      <w:r>
        <w:t xml:space="preserve"> ROAD MAP ON MODERNIZATION AND DEVELOPMENT OF ENERGY SMART GRID: EUROPEAN EXPERIENCE — https://doi.org/10.21272/1817-9215.2021.2-5</w:t>
      </w:r>
    </w:p>
    <w:p>
      <w:pPr/>
      <w:r>
        <w:rPr>
          <w:b/>
        </w:rPr>
        <w:t>Shared claim-specific concepts:</w:t>
      </w:r>
      <w:r>
        <w:t xml:space="preserve"> smart, grid, energy, introduction, electricity, first; EU scope visible. This is a provisional connection, not an outcome finding.</w:t>
      </w:r>
    </w:p>
    <w:p>
      <w:pPr>
        <w:pStyle w:val="SourceNote"/>
      </w:pPr>
      <w:r>
        <w:rPr>
          <w:b/>
        </w:rPr>
        <w:t>Available abstract (not full text):</w:t>
      </w:r>
      <w:r>
        <w:t xml:space="preserve"> Countries around the world are developing roadmaps for the modernization and development of energy networks in order to increase energy and economic efficiency, the introduction of tools for rational energy consumption, improving the reliability, sustainability and quality of electricity. At the same time, special interest is paid to the base of using innovative technologies and renewable energy sources. This article provides a bibliographic review of publications in the field of European experience in developing a roadmap for the modernization and development of energy grids. During the analysis, a selection of papers for 2010-2021 was selected from the Scopus® database, which contains bibliographic information about scientific publications in peer-reviewed journals, books and conferences.With the help of VOSviewer software were identified five clusters of research in the context of forming a roadmap for the modernization and development of energy grids. The first cluster is related to energy efficiency issues. This cluster has the most relationships with other clusters. The cluster contains key concepts such as roadmap, international roadmap technology and Smart Grid technology. The second cluster was formed on the basis of research on different types of energy resources. In the third cluster, most connections are found in terms of «sustainable development». The fourth cluste</w:t>
      </w:r>
    </w:p>
    <w:p>
      <w:pPr>
        <w:pStyle w:val="Heading2"/>
      </w:pPr>
      <w:r>
        <w:t>873.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r>
        <w:rPr>
          <w:b/>
        </w:rPr>
        <w:t>POSSIBLE 2021:</w:t>
      </w:r>
      <w:r>
        <w:t xml:space="preserve"> European recommendations on the proper indication and use of peripheral venous access devices (the ERPIUP consensus): A WoCoVA project — https://doi.org/10.1177/11297298211023274</w:t>
      </w:r>
    </w:p>
    <w:p>
      <w:pPr/>
      <w:r>
        <w:rPr>
          <w:b/>
        </w:rPr>
        <w:t>Shared claim-specific concepts:</w:t>
      </w:r>
      <w:r>
        <w:t xml:space="preserve"> purpose, discuss, developed, following; EU scope visible. This is a provisional connection, not an outcome finding.</w:t>
      </w:r>
    </w:p>
    <w:p>
      <w:pPr>
        <w:pStyle w:val="SourceNote"/>
      </w:pPr>
      <w:r>
        <w:rPr>
          <w:b/>
        </w:rPr>
        <w:t>Available abstract (not full text):</w:t>
      </w:r>
      <w:r>
        <w:t xml:space="preserve"> Since several innovations have recently changed the criteria of choice and management of peripheral venous access (new devices, new techniques of insertion, new recommendations for maintenance), the WoCoVA Foundation (WoCoVA = World Conference on Vascular Access) has developed an international Consensus with the following objectives: to propose a clear and useful classification of the currently available peripheral venous access devices; to clarify the proper indication of central versus peripheral venous access; discuss the indications of the different peripheral venous access devices (short peripheral cannulas vs long peripheral cannulas vs midline catheters); to define the proper techniques of insertion and maintenance that should be recommended today. To achieve these purposes, WoCoVA have decided to adopt a European point of view, considering some relevant differences of terminology between North America and Europe in this area of venous access and the need for a common basis of understanding among the experts recruited for this project. The ERPIUP Consensus (ERPIUP = European Recommendations for Proper Indication and Use of Peripheral venous access) was designed to offer systematic recommendations for clinical practice, covering every aspect of management of peripheral venous access devices in the adult patient: indication, insertion, maintenance, prevention and treatment</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following;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2019:</w:t>
      </w:r>
      <w:r>
        <w:t xml:space="preserve"> Autonomous Road Vehicles: Challenges for Urban Planning in European Cities — https://doi.org/10.3390/urbansci3020061</w:t>
      </w:r>
    </w:p>
    <w:p>
      <w:pPr/>
      <w:r>
        <w:rPr>
          <w:b/>
        </w:rPr>
        <w:t>Shared claim-specific concepts:</w:t>
      </w:r>
      <w:r>
        <w:t xml:space="preserve"> planning, used, design; EU scope visible. This is a provisional connection, not an outcome finding.</w:t>
      </w:r>
    </w:p>
    <w:p>
      <w:pPr>
        <w:pStyle w:val="SourceNote"/>
      </w:pPr>
      <w:r>
        <w:rPr>
          <w:b/>
        </w:rPr>
        <w:t>Available abstract (not full text):</w:t>
      </w:r>
      <w:r>
        <w:t xml:space="preserve"> Autonomous vehicles will significantly affect mobility conditions in the future. The changes in mobility conditions are expected to have an impact on urban development and, more specifically, on location choices, land use organisation and infrastructure design. Nowadays, there is not enough data for a real-life assessment of this impact. Experts estimate that autonomous vehicles will be available for uptake in the next decade. Therefore, urban planners should consider the possible impacts from autonomous vehicles on cities and the future challenges for urban planning. In this context, the present paper focuses on the challenges from the implementation of autonomous road vehicles for passenger transport in European cities. The analysis is based on a systematic review of research and policy. The main outcome of the analysis is a set of challenges for urban planning regarding the features of urban development, the local and European policy priorities, the current lack of data for planning and the potential for autonomous vehicles to be used by planners as data sources. The paper concludes that tackling these challenges is essential for the full exploitation of the autonomous vehicles’ potential to promote sustainable urban development.</w:t>
      </w:r>
    </w:p>
    <w:p>
      <w:pPr/>
      <w:r>
        <w:rPr>
          <w:b/>
        </w:rPr>
        <w:t>POSSIBLE 2018:</w:t>
      </w:r>
      <w:r>
        <w:t xml:space="preserve"> Prevalence and incidence of myalgic encephalomyelitis/chronic fatigue syndrome in Europe—the Euro-epiME study from the European network EUROMENE: a protocol for a systematic review — https://doi.org/10.1136/bmjopen-2017-020817</w:t>
      </w:r>
    </w:p>
    <w:p>
      <w:pPr/>
      <w:r>
        <w:rPr>
          <w:b/>
        </w:rPr>
        <w:t>Shared claim-specific concepts:</w:t>
      </w:r>
      <w:r>
        <w:t xml:space="preserve"> discuss, sections, methodological, applied; EU scope visible. This is a provisional connection, not an outcome finding.</w:t>
      </w:r>
    </w:p>
    <w:p>
      <w:pPr>
        <w:pStyle w:val="SourceNote"/>
      </w:pPr>
      <w:r>
        <w:rPr>
          <w:b/>
        </w:rPr>
        <w:t>Available abstract (not full text):</w:t>
      </w:r>
      <w:r>
        <w:t xml:space="preserve"> INTRODUCTION: Myalgic encephalomyelitis/chronic fatigue syndrome (ME/CFS) is a chronic disease involving central nervous system and immune system disorders, as well as cardiovascular abnormalities. ME/CFS is characterised by severe chronic fatigue lasting for at least 6 months, including clinical symptoms such as tender cervical or axillary lymph nodes, muscle pain, joint pain without swelling or redness, post-exertional malaise for more than 24 hours and unrefreshing sleep. Studies on the epidemiology of ME/CFS in Europe only include single countries and, therefore, the prevalence and incidence of ME/CFS in Europe (as a whole) is unknown. One of the purposes of the European Network on ME/CFS (EUROMENE; European Union-funded COST Action; Reference number: 15111) is to address this gap in knowledge. We will systematically review the literature reporting figures from European countries to provide a robust summary and identify new challenges. METHODS AND ANALYSIS: We will systematically search the literature databases Scopus, PubMed and Web of Science for studies published in the last 10 years (ie, after 2007). No language restriction will be applied. Two independent reviewers will search, screen and select studies as well as extract data about their main characteristics and evaluate their methodological and reporting quality. When disagreements emerge, the reviewers will discuss </w:t>
      </w:r>
    </w:p>
    <w:p>
      <w:pPr/>
      <w:r>
        <w:rPr>
          <w:b/>
        </w:rPr>
        <w:t>POSSIBLE 2018:</w:t>
      </w:r>
      <w:r>
        <w:t xml:space="preserve"> Innovating in less developed regions: What drives patenting in the lagging regions of Europe and North America — https://doi.org/10.1111/grow.12280</w:t>
      </w:r>
    </w:p>
    <w:p>
      <w:pPr/>
      <w:r>
        <w:rPr>
          <w:b/>
        </w:rPr>
        <w:t>Shared claim-specific concepts:</w:t>
      </w:r>
      <w:r>
        <w:t xml:space="preserve"> approach, developed, design; EU scope visible. This is a provisional connection, not an outcome finding.</w:t>
      </w:r>
    </w:p>
    <w:p>
      <w:pPr>
        <w:pStyle w:val="SourceNote"/>
      </w:pPr>
      <w:r>
        <w:rPr>
          <w:b/>
        </w:rPr>
        <w:t>Available abstract (not full text):</w:t>
      </w:r>
      <w:r>
        <w:t xml:space="preserve"> Abstract Not all economically disadvantaged—“less developed” or “lagging”—regions are the same. They are, however, often bundled together for the purposes of innovation policy design and implementation. This paper attempts to determine whether such bundling is warranted by conducting a regional level investigation for Canada, the United States, on the one hand, and Europe, on the other, to (a) identify the structural and socioeconomic factors that drive patenting in the less developed regions of North America and Europe, respectively; and (b) explore how these factors differ between the two contexts. The empirical analysis, estimated using a mixed‐model approach, reveals that, while there are similarities between the drivers of innovation in North America's and Europe's lagging regions, a number of important differences between the two continents prevail. The analysis also indicates that the territorial processes of innovation in North America's and Europe's less developed regions are more similar to those of their more developed counterparts than to one another.</w:t>
      </w:r>
    </w:p>
    <w:p>
      <w:pPr/>
      <w:r>
        <w:rPr>
          <w:b/>
        </w:rPr>
        <w:t>POSSIBLE 2017:</w:t>
      </w:r>
      <w:r>
        <w:t xml:space="preserve"> Recovery, reintegration, abstinence, harm reduction: the role of different goals within the drug treatment in the European context. — https://openalex.org/W2766289510</w:t>
      </w:r>
    </w:p>
    <w:p>
      <w:pPr/>
      <w:r>
        <w:rPr>
          <w:b/>
        </w:rPr>
        <w:t>Shared claim-specific concepts:</w:t>
      </w:r>
      <w:r>
        <w:t xml:space="preserve"> purpose, discuss, planning; EU scope visible. This is a provisional connection, not an outcome finding.</w:t>
      </w:r>
    </w:p>
    <w:p>
      <w:pPr>
        <w:pStyle w:val="SourceNote"/>
      </w:pPr>
      <w:r>
        <w:rPr>
          <w:b/>
        </w:rPr>
        <w:t>Available abstract (not full text):</w:t>
      </w:r>
      <w:r>
        <w:t xml:space="preserve"> The purpose of this paper is to discuss the different goals of ‘drug treatment’ within a European context and the key implications for those planning or delivering health and social responses. The heterogeneity of people who use drugs and the diversity in severity and complexity of drug taking and drug problems in Europe mean that a single goal or paradigm such as ‘harm reduction’, ‘recovery’ or ‘abstinence’ is no longer adequate to meet the diverse needs we face.</w:t>
      </w:r>
    </w:p>
    <w:p>
      <w:pPr>
        <w:pStyle w:val="Heading2"/>
      </w:pPr>
      <w:r>
        <w:t>874.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r>
        <w:rPr>
          <w:b/>
        </w:rPr>
        <w:t>POSSIBLE 2022:</w:t>
      </w:r>
      <w:r>
        <w:t xml:space="preserve"> Implementation and use of remote work tools — https://doi.org/10.29119/1641-3466.2022.159.39</w:t>
      </w:r>
    </w:p>
    <w:p>
      <w:pPr/>
      <w:r>
        <w:rPr>
          <w:b/>
        </w:rPr>
        <w:t>Shared claim-specific concepts:</w:t>
      </w:r>
      <w:r>
        <w:t xml:space="preserve"> shows, tool, practical; EU scope not established. This is a provisional connection, not an outcome finding.</w:t>
      </w:r>
    </w:p>
    <w:p>
      <w:pPr>
        <w:pStyle w:val="SourceNote"/>
      </w:pPr>
      <w:r>
        <w:rPr>
          <w:b/>
        </w:rPr>
        <w:t>Available abstract (not full text):</w:t>
      </w:r>
      <w:r>
        <w:t xml:space="preserve"> Purpose: The aim of this article is to describe employees' expectations and managers' practices in the implementation and use of tools supporting remote work.Design/methodology/approach: To this end, employee opinion surveys were conducted using the Computer-Assisted Web Interview (CAWI) method (n = 500) and structured interviews were performed with managers (n = 14).Cross tabulation was employed to quantitatively verify statistically significant relationships and coding of the interview contents was applied in the qualitative analysis.Findings: Based on the results, the impact of personal skills, IT support and tool selection on the use of remote work tools (and employee satisfaction) are assessed. Research limitations/implications:In view of the newly emerging employee challenges it seems critical to refer to the latest research and constantly update the knowledge of all those involved.Hybrid work can change employees' opinions and attitudes and further diversify teams' expectations towards managers as well as the tools they use.Practical implications: Good practices are identified and recommendations are formulated regarding the application of the tools by managers in practice.Originality/value: The article organizes the issues of using technical tools for management during forced remote work.It shows employees expectations and best practices, which could be valuable for man</w:t>
      </w:r>
    </w:p>
    <w:p>
      <w:pPr/>
      <w:r>
        <w:rPr>
          <w:b/>
        </w:rPr>
        <w:t>POSSIBLE 2022:</w:t>
      </w:r>
      <w:r>
        <w:t xml:space="preserve"> A methodological framework for theoretical explanation in performance management and management control systems research — https://doi.org/10.1108/qram-10-2021-0193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Purpose The purpose of this paper is to reflect on how to apply the abductive research process for developing a theoretical explanation in studies on performance management and management control systems. This is important because theoretically ambitious research tends to require explanatory study outcomes, but prior research frameworks provide little guidance in this regard, potentially facilitating ill-defined research designs and a lack of common vocabulary and criteria for evaluating studies. Design/methodology/approach The authors introduce a methodological framework that distinguishes three interwoven theoretical abstraction levels: descriptive, analytical and explanatory. They use a recently published qualitative field study to illustrate an application of the framework. Findings The framework and its illustrated application make the systematic logic of the abductive research process visible and accessible to researchers. The authors explain how the framework supports moving from empirical description to theoretical explanation during the research process and where the three levels might open spaces for the positioning of novel practices and conceptual and theoretical innovations. Originality/value The framework provides guidance for an explanatory research design and theory-building purpose and has been developed in response to recent criticism in the field that highlig</w:t>
      </w:r>
    </w:p>
    <w:p>
      <w:pPr/>
      <w:r>
        <w:rPr>
          <w:b/>
        </w:rPr>
        <w:t>POSSIBLE 2022:</w:t>
      </w:r>
      <w:r>
        <w:t xml:space="preserve"> VC Theoretical Explanation of Double Descent — https://doi.org/10.48550/arxiv.2205.15549</w:t>
      </w:r>
    </w:p>
    <w:p>
      <w:pPr/>
      <w:r>
        <w:rPr>
          <w:b/>
        </w:rPr>
        <w:t>Shared claim-specific concepts:</w:t>
      </w:r>
      <w:r>
        <w:t xml:space="preserve"> shows, theoretical, explanation, performance; EU scope not established. This is a provisional connection, not an outcome finding.</w:t>
      </w:r>
    </w:p>
    <w:p>
      <w:pPr>
        <w:pStyle w:val="SourceNote"/>
      </w:pPr>
      <w:r>
        <w:rPr>
          <w:b/>
        </w:rPr>
        <w:t>Available abstract (not full text):</w:t>
      </w:r>
      <w:r>
        <w:t xml:space="preserve"> There has been growing interest in generalization performance of large multilayer neural networks that can be trained to achieve zero training error, while generalizing well on test data. This regime is known as 'second descent' and it appears to contradict the conventional view that optimal model complexity should reflect an optimal balance between underfitting and overfitting, i.e., the bias-variance trade-off. This paper presents a VC-theoretical analysis of double descent and shows that it can be fully explained by classical VC-generalization bounds. We illustrate an application of analytic VC-bounds for modeling double descent for classification, using empirical results for several learning methods, such as SVM, Least Squares, and Multilayer Perceptron classifiers. In addition, we discuss several reasons for the misinterpretation of VC-theoretical results in Deep Learning community.</w:t>
      </w:r>
    </w:p>
    <w:p>
      <w:pPr/>
      <w:r>
        <w:rPr>
          <w:b/>
        </w:rPr>
        <w:t>POSSIBLE 2020:</w:t>
      </w:r>
      <w:r>
        <w:t xml:space="preserve"> Role and implementation of sustainability management control tools: critical aspects in the Italian context — https://doi.org/10.1108/aaaj-02-2019-3887</w:t>
      </w:r>
    </w:p>
    <w:p>
      <w:pPr/>
      <w:r>
        <w:rPr>
          <w:b/>
        </w:rPr>
        <w:t>Shared claim-specific concepts:</w:t>
      </w:r>
      <w:r>
        <w:t xml:space="preserve"> shows, implement, theoretical, practical; EU scope not established. This is a provisional connection, not an outcome finding.</w:t>
      </w:r>
    </w:p>
    <w:p>
      <w:pPr>
        <w:pStyle w:val="SourceNote"/>
      </w:pPr>
      <w:r>
        <w:rPr>
          <w:b/>
        </w:rPr>
        <w:t>Available abstract (not full text):</w:t>
      </w:r>
      <w:r>
        <w:t xml:space="preserve"> Purpose The purpose of this paper is to show the relevance attributed to sustainability management control tools (SMCTs) and their real use. Mainly, this study aims to shed light on the approaches, motivations and difficulties encountered in SMCTs adoption by the most sustainable Italian companies, as well as their effectiveness. Design/methodology/approach Using a pre-structured qualitative survey method, the authors grasped information about external and internal dimensions of sustainability management in light of institutional and resource-based view theories. Data are elaborated with two methods: a regime analysis to assess the relevance of SMCTs and a descriptive analysis to investigate the “aim”, “which” and “how” of the SMCTs' use by companies listed in sustainability indices. Findings Informal SMCTs prevailed over formal ones. There is a discrepancy between attention paid to some tools praised in the literature and their knowledge and use. In addition, a significant gap exists between what is desired and what is achieved in terms of effectiveness. Further, although sustainability management is primarily oriented towards the external perspective, SMCTs can be key to improving both the disclosure and management of sustainability. Research limitations/implications The criteria for the selection of the sample resulted in a small number of analysed companies, which allowed u</w:t>
      </w:r>
    </w:p>
    <w:p>
      <w:pPr/>
      <w:r>
        <w:rPr>
          <w:b/>
        </w:rPr>
        <w:t>POSSIBLE 2019:</w:t>
      </w:r>
      <w:r>
        <w:t xml:space="preserve"> An Information-Theoretic Explanation for the Adversarial Fragility of AI Classifiers — https://doi.org/10.1109/isit.2019.8849757</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We present a simple hypothesis about a compression property of artificial intelligence (AI) classifiers and present theoretical arguments to show that this hypothesis successfully accounts for the observed fragility of AI classifiers to small adversarial perturbations. We also propose a new method for detecting when small input perturbations cause classifier errors, and show theoretical guarantees for the performance of this detection method. We present experimental results with a voice recognition system to demonstrate this method. The ideas in this paper are motivated by a simple analogy between AI classifiers and the standard Shannon model of a communication system1.</w:t>
      </w:r>
    </w:p>
    <w:p>
      <w:pPr/>
      <w:r>
        <w:rPr>
          <w:b/>
        </w:rPr>
        <w:t>POSSIBLE 2018:</w:t>
      </w:r>
      <w:r>
        <w:t xml:space="preserve"> Theoretical Explanation of Enterprise Diversification — https://doi.org/10.25236/icallh.2018.20</w:t>
      </w:r>
    </w:p>
    <w:p>
      <w:pPr/>
      <w:r>
        <w:rPr>
          <w:b/>
        </w:rPr>
        <w:t>Shared claim-specific concepts:</w:t>
      </w:r>
      <w:r>
        <w:t xml:space="preserve"> shows, theoretical, explanation, practical; EU scope not established. This is a provisional connection, not an outcome finding.</w:t>
      </w:r>
    </w:p>
    <w:p>
      <w:pPr>
        <w:pStyle w:val="SourceNote"/>
      </w:pPr>
      <w:r>
        <w:rPr>
          <w:b/>
        </w:rPr>
        <w:t>Available abstract (not full text):</w:t>
      </w:r>
      <w:r>
        <w:t xml:space="preserve"> In strategic management research, enterprise diversification has become a major study content.And in the enterprise management practice, diversified behavior has become a common practice.It shows that the diversity has an important position in enterprise strategic management.Based on the survey of the domestic and international enterprise diversification of practical experience and literature, from market forces theory, resource theory and agency theory of enterprises, diversified behavior is analyzed in detail.This has a vital significance to enhance China 's enterprises diversification theory accomplishment and practice scientificity.</w:t>
      </w:r>
    </w:p>
    <w:p>
      <w:pPr>
        <w:pStyle w:val="Heading2"/>
      </w:pPr>
      <w:r>
        <w:t>875.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energy, climate, conflict;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2024:</w:t>
      </w:r>
      <w:r>
        <w:t xml:space="preserve"> Patients’ pathways to the emergency department: a scoping review — https://doi.org/10.1186/s12245-024-00638-w</w:t>
      </w:r>
    </w:p>
    <w:p>
      <w:pPr/>
      <w:r>
        <w:rPr>
          <w:b/>
        </w:rPr>
        <w:t>Shared claim-specific concepts:</w:t>
      </w:r>
      <w:r>
        <w:t xml:space="preserve"> four, pathways, department, all; EU scope visible. This is a provisional connection, not an outcome finding.</w:t>
      </w:r>
    </w:p>
    <w:p>
      <w:pPr>
        <w:pStyle w:val="SourceNote"/>
      </w:pPr>
      <w:r>
        <w:rPr>
          <w:b/>
        </w:rPr>
        <w:t>Available abstract (not full text):</w:t>
      </w:r>
      <w:r>
        <w:t xml:space="preserve"> BACKGROUND: Emergency department (ED) crowding is a common healthcare issue with multiple causes. One important knowledge area is understanding where patients arrived from and what care they received prior to ED admission. This information could be used to inform strategies to provide care for low acuity patients outside of the hospital and reduce unnecessary ED admissions. The aim of this scoping review was to provide a comprehensive overview of global published research examining the acute care trajectory of all ED patients. METHODS: The scoping review was performed according to the JBI Manual for Evidence Synthesis and the PRISMA-SCR checklist. A comprehensive literature search was performed to identify studies describing where patients arrived from and/or whose pathway of care was before an ED visit. The search was conducted in MEDLINE, Embase, and the Cochrane Library from inception through December 5th, 2022. Two reviewers independently screened the records. RESULTS: Out of the 6,465 records screened, 14 studies from Australia, Canada, Haiti, Norway, Sweden, Switzerland, Belgium, Indonesia, and the UK met the inclusion criteria. Four studies reported on where patients physically arrived from, ten reported how patients were transported, six reported who referred them, and six reported whether medical care or advice was sought prior to visiting an ED. CONCLUSION: This scopi</w:t>
      </w:r>
    </w:p>
    <w:p>
      <w:pPr/>
      <w:r>
        <w:rPr>
          <w:b/>
        </w:rPr>
        <w:t>POSSIBLE 2023:</w:t>
      </w:r>
      <w:r>
        <w:t xml:space="preserve"> Pathways for regions to achieve carbon emission peak: New insights from the four economic growth poles in China — https://doi.org/10.1016/j.scitotenv.2023.167979</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The UAE’s energy system and GHG emissions: pathways to achieving national goals by 2050 — https://doi.org/10.1093/ce/zkad040</w:t>
      </w:r>
    </w:p>
    <w:p>
      <w:pPr/>
      <w:r>
        <w:rPr>
          <w:b/>
        </w:rPr>
        <w:t>Shared claim-specific concepts:</w:t>
      </w:r>
      <w:r>
        <w:t xml:space="preserve"> four, pathways, developed, energy, all, production; EU scope not established. This is a provisional connection, not an outcome finding.</w:t>
      </w:r>
    </w:p>
    <w:p>
      <w:pPr>
        <w:pStyle w:val="SourceNote"/>
      </w:pPr>
      <w:r>
        <w:rPr>
          <w:b/>
        </w:rPr>
        <w:t>Available abstract (not full text):</w:t>
      </w:r>
      <w:r>
        <w:t xml:space="preserve"> Abstract In recent years, the United Arab Emirates (UAE) has developed strategies to increase renewable power generation and reduce emissions to net zero by 2050. Electricity generation and energy-intensive industries (EII) have the largest potentials for emission reduction. Therefore, an up-to-date inventory of greenhouse gas emissions and a study of the pathways to achieving the 2050 targets are essential. This study focuses on power production and EII (aluminium, steel and cement). The structure of these sectors is modelled and simulated up to 2050 using a system dynamics (SD) methodology. The SD model is validated to reflect the real-world state of the system using the emissions inventory projections as reference modes. Nineteen mitigation policies are considered in the selected sectors and four policy scenarios were simulated. The results show that implementing the Energy Strategy 2050 in the power sector can result in a reduction of 63.5% in emissions in that sector, which translates into a reduction of 33.5% overall by 2050. Additionally, implementing all identified mitigation strategies to full utilization in EII yields a 94% reduction in that sector, which translates into a 78% reduction overall. Decarbonizing the aluminium industry yields the highest emissions reductions, followed by power production, then cement and finally steel. In the best-case scenario, 22.1% of </w:t>
      </w:r>
    </w:p>
    <w:p>
      <w:pPr/>
      <w:r>
        <w:rPr>
          <w:b/>
        </w:rPr>
        <w:t>POSSIBLE 2022:</w:t>
      </w:r>
      <w:r>
        <w:t xml:space="preserve"> PaLM: Scaling Language Modeling with Pathways — https://doi.org/10.48550/arxiv.2204.02311</w:t>
      </w:r>
    </w:p>
    <w:p>
      <w:pPr/>
      <w:r>
        <w:rPr>
          <w:b/>
        </w:rPr>
        <w:t>Shared claim-specific concepts:</w:t>
      </w:r>
      <w:r>
        <w:t xml:space="preserve"> pathways, achieve, increased, significant; EU scope not established. This is a provisional connection, not an outcome finding.</w:t>
      </w:r>
    </w:p>
    <w:p>
      <w:pPr>
        <w:pStyle w:val="SourceNote"/>
      </w:pPr>
      <w:r>
        <w:rPr>
          <w:b/>
        </w:rPr>
        <w:t>Available abstract (not full text):</w:t>
      </w:r>
      <w:r>
        <w:t xml:space="preserve"> Large language models have been shown to achieve remarkable performance across a variety of natural language tasks using few-shot learning, which drastically reduces the number of task-specific training examples needed to adapt the model to a particular application. To further our understanding of the impact of scale on few-shot learning, we trained a 540-billion parameter, densely activated, Transformer language model, which we call Pathways Language Model PaLM. We trained PaLM on 6144 TPU v4 chips using Pathways, a new ML system which enables highly efficient training across multiple TPU Pods. We demonstrate continued benefits of scaling by achieving state-of-the-art few-shot learning results on hundreds of language understanding and generation benchmarks. On a number of these tasks, PaLM 540B achieves breakthrough performance, outperforming the finetuned state-of-the-art on a suite of multi-step reasoning tasks, and outperforming average human performance on the recently released BIG-bench benchmark. A significant number of BIG-bench tasks showed discontinuous improvements from model scale, meaning that performance steeply increased as we scaled to our largest model. PaLM also has strong capabilities in multilingual tasks and source code generation, which we demonstrate on a wide array of benchmarks. We additionally provide a comprehensive analysis on bias and toxicity, and </w:t>
      </w:r>
    </w:p>
    <w:p>
      <w:pPr/>
      <w:r>
        <w:rPr>
          <w:b/>
        </w:rPr>
        <w:t>POSSIBLE 2021:</w:t>
      </w:r>
      <w:r>
        <w:t xml:space="preserve"> Co-productive agility and four collaborative pathways to sustainability transformations — https://doi.org/10.1016/j.gloenvcha.2021.102422</w:t>
      </w:r>
    </w:p>
    <w:p>
      <w:pPr/>
      <w:r>
        <w:rPr>
          <w:b/>
        </w:rPr>
        <w:t>Shared claim-specific concepts:</w:t>
      </w:r>
      <w:r>
        <w:t xml:space="preserve"> four, pathways, production; EU scope not established. This is a provisional connection, not an outcome finding.</w:t>
      </w:r>
    </w:p>
    <w:p>
      <w:pPr>
        <w:pStyle w:val="SourceNote"/>
      </w:pPr>
      <w:r>
        <w:rPr>
          <w:b/>
        </w:rPr>
        <w:t>Available abstract (not full text):</w:t>
      </w:r>
      <w:r>
        <w:t xml:space="preserve"> Co-production, the collaborative weaving of research and practice by diverse societal actors, is argued to play an important role in sustainability transformations. Yet, there is still poor understanding of how to navigate the tensions that emerge in these processes. Through analyzing 32 initiatives worldwide that co-produced knowledge and action to foster sustainable social-ecological relations, we conceptualize ‘co-productive agility’ as an emergent feature vital for turning tensions into transformations. Co-productive agility refers to the willingness and ability of diverse actors to iteratively engage in reflexive dialogues to grow shared ideas and actions that would not have been possible from the outset. It relies on embedding knowledge production within processes of change to constantly recognize, reposition, and navigate tensions and opportunities. Co-productive agility opens up multiple pathways to transformation through: (1) elevating marginalized agendas in ways that maintain their integrity and broaden struggles for justice; (2) questioning dominant agendas by engaging with power in ways that challenge assumptions, (3) navigating conflicting agendas to actively transform interlinked paradigms, practices, and structures; (4) exploring diverse agendas to foster learning and mutual respect for a plurality of perspectives. We explore six process considerations that vary</w:t>
      </w:r>
    </w:p>
    <w:p>
      <w:pPr/>
      <w:r>
        <w:rPr>
          <w:b/>
        </w:rPr>
        <w:t>POSSIBLE 2021:</w:t>
      </w:r>
      <w:r>
        <w:t xml:space="preserve"> It Is Still Possible to Achieve the Paris Climate Agreement: Regional, Sectoral, and Land-Use Pathways — https://doi.org/10.3390/en14082103</w:t>
      </w:r>
    </w:p>
    <w:p>
      <w:pPr/>
      <w:r>
        <w:rPr>
          <w:b/>
        </w:rPr>
        <w:t>Shared claim-specific concepts:</w:t>
      </w:r>
      <w:r>
        <w:t xml:space="preserve"> four, pathways, achieve, energy, climate, increased; EU scope not established. This is a provisional connection, not an outcome finding.</w:t>
      </w:r>
    </w:p>
    <w:p>
      <w:pPr>
        <w:pStyle w:val="SourceNote"/>
      </w:pPr>
      <w:r>
        <w:rPr>
          <w:b/>
        </w:rPr>
        <w:t>Available abstract (not full text):</w:t>
      </w:r>
      <w:r>
        <w:t xml:space="preserve"> It is still possible to comply with the Paris Climate Agreement to maintain a global temperature ‘well below +2.0 °C’ above pre-industrial levels. We present two global non-overshoot pathways (+2.0 °C and +1.5 °C) with regional decarbonization targets for the four primary energy sectors—power, heating, transportation, and industry—in 5-year steps to 2050. We use normative scenarios to illustrate the effects of efficiency measures and renewable energy use, describe the roles of increased electrification of the final energy demand and synthetic fuels, and quantify the resulting electricity load increases for 72 sub-regions. Non-energy scenarios include a phase-out of net emissions from agriculture, forestry, and other land uses, reductions in non-carbon greenhouse gases, and land restoration to scale up atmospheric CO2 removal, estimated at −377 Gt CO2 to 2100. An estimate of the COVID-19 effects on the global energy demand is included and a sensitivity analysis describes the impacts if implementation is delayed by 5, 7, or 10 years, which would significantly reduce the likelihood of achieving the 1.5 °C goal. The analysis applies a model network consisting of energy system, power system, transport, land-use, and climate models.</w:t>
      </w:r>
    </w:p>
    <w:p>
      <w:pPr/>
      <w:r>
        <w:rPr>
          <w:b/>
        </w:rPr>
        <w:t>POSSIBLE 2021:</w:t>
      </w:r>
      <w:r>
        <w:t xml:space="preserve"> Carbon‐Neutral Pathways for the United States — https://doi.org/10.1029/2020av000284</w:t>
      </w:r>
    </w:p>
    <w:p>
      <w:pPr/>
      <w:r>
        <w:rPr>
          <w:b/>
        </w:rPr>
        <w:t>Shared claim-specific concepts:</w:t>
      </w:r>
      <w:r>
        <w:t xml:space="preserve"> four, pathways, target, energy, climate, all; EU scope not established. This is a provisional connection, not an outcome finding.</w:t>
      </w:r>
    </w:p>
    <w:p>
      <w:pPr>
        <w:pStyle w:val="SourceNote"/>
      </w:pPr>
      <w:r>
        <w:rPr>
          <w:b/>
        </w:rPr>
        <w:t>Available abstract (not full text):</w:t>
      </w:r>
      <w:r>
        <w:t xml:space="preserve"> Abstract The Intergovernmental Panel on Climate Change (IPCC) Special Report on Global Warming of 1.5°C points to the need for carbon neutrality by mid‐century. Achieving this in the United States in only 30 years will be challenging, and practical pathways detailing the technologies, infrastructure, costs, and tradeoffs involved are needed. Modeling the entire U.S. energy and industrial system with new analysis tools that capture synergies not represented in sector‐specific or integrated assessment models, we created multiple pathways to net zero and net negative CO 2 emissions by 2050. They met all forecast U.S. energy needs at a net cost of 0.2–1.2% of GDP in 2050, using only commercial or near‐commercial technologies, and requiring no early retirement of existing infrastructure. Pathways with constraints on consumer behavior, land use, biomass use, and technology choices (e.g., no nuclear) met the target but at higher cost. All pathways employed four basic strategies: energy efficiency, decarbonized electricity, electrification, and carbon capture. Least‐cost pathways were based on &gt;80% wind and solar electricity plus thermal generation for reliability. A 100% renewable primary energy system was feasible but had higher cost and land use. We found multiple feasible options for supplying low‐carbon fuels for non‐electrifiable end uses in industry, freight, and aviation, which</w:t>
      </w:r>
    </w:p>
    <w:p>
      <w:pPr/>
      <w:r>
        <w:rPr>
          <w:b/>
        </w:rPr>
        <w:t>POSSIBLE 2021:</w:t>
      </w:r>
      <w:r>
        <w:t xml:space="preserve"> Four Isotope-Labeled Recombination Pathways of Ozone Formation — https://doi.org/10.3390/molecules26051289</w:t>
      </w:r>
    </w:p>
    <w:p>
      <w:pPr/>
      <w:r>
        <w:rPr>
          <w:b/>
        </w:rPr>
        <w:t>Shared claim-specific concepts:</w:t>
      </w:r>
      <w:r>
        <w:t xml:space="preserve"> four, pathways, developed, all, but; EU scope not established. This is a provisional connection, not an outcome finding.</w:t>
      </w:r>
    </w:p>
    <w:p>
      <w:pPr>
        <w:pStyle w:val="SourceNote"/>
      </w:pPr>
      <w:r>
        <w:rPr>
          <w:b/>
        </w:rPr>
        <w:t>Available abstract (not full text):</w:t>
      </w:r>
      <w:r>
        <w:t xml:space="preserve"> A theoretical approach is developed for the description of all possible recombination pathways in the ozone forming reaction, without neglecting any process a priori, and without decoupling the individual pathways one from another. These pathways become physically distinct when a rare isotope of oxygen is introduced, such as 18O, which represents a sensitive probe of the ozone forming reaction. Each isotopologue of O3 contains two types of physically distinct entrance channels and two types of physically distinct product wells, creating four recombination pathways. Calculations are done for singly and doubly substituted isotopologues of ozone, eight rate coefficients total. Two pathways for the formation of asymmetric ozone isotopomer exhibit rather different rate coefficients, indicating large isotope effect driven by ΔZPE-difference. Rate coefficient for the formation of symmetric isotopomer of ozone (third pathway) is found to be in between of those two, while the rate of insertion pathway is smaller by two orders of magnitude. These trends are in good agreement with experiments, for both singly and doubly substituted ozone. The total formation rates for asymmetric isotopomers are found to be somewhat larger than those for symmetric isotopomers, but not as much as in the experiment. Overall, the distribution of lifetimes is found to be very similar for the metastable states </w:t>
      </w:r>
    </w:p>
    <w:p>
      <w:pPr/>
      <w:r>
        <w:rPr>
          <w:b/>
        </w:rPr>
        <w:t>POSSIBLE 2020:</w:t>
      </w:r>
      <w:r>
        <w:t xml:space="preserve"> Four pathways for hydatid pulmonary embolism — https://doi.org/10.1111/jocs.14754</w:t>
      </w:r>
    </w:p>
    <w:p>
      <w:pPr/>
      <w:r>
        <w:rPr>
          <w:b/>
        </w:rPr>
        <w:t>Shared claim-specific concepts:</w:t>
      </w:r>
      <w:r>
        <w:t xml:space="preserve"> four, pathways, department, but; EU scope not established. This is a provisional connection, not an outcome finding.</w:t>
      </w:r>
    </w:p>
    <w:p>
      <w:pPr>
        <w:pStyle w:val="SourceNote"/>
      </w:pPr>
      <w:r>
        <w:rPr>
          <w:b/>
        </w:rPr>
        <w:t>Available abstract (not full text):</w:t>
      </w:r>
      <w:r>
        <w:t xml:space="preserve"> INTRODUCTION: Hydatid pulmonary embolism (HPE) is rare but remains an etiology that needs to be considered and kept in mind, especially in endemic areas, as regards nonthrombotic embolism. METHODS: Between 2000 and 2014, 10 patients were treated in our department for the presence of hydatid material in the pulmonary arterial circulation. Through these 10 cases, we try to assess the radioclinical characteristics and results of the surgical treatment. RESULTS: The study included six men and four women, average age 28 years. Discovery of HPE was made following the exploration of cardiorespiratory symptoms in nine cases and was incidental in a single patient. Computed tomography angiography (CTA) of the chest directly visualized the hydatid material in the pulmonary arteries in nine cases. Surgery consisted of an embolectomy under cardiopulmonary bypass in nine cases. This embolectomy was preceded by the treatment of an embolic hydatid cyst (HC) in seven cases (HCs of the right heart chambers in six cases and a liver HC ruptured in the inferior vena cava in one case), whereas for only one patient, who presented a HC pedunculated in the right ventricle and protruding into the pulmonary artery, the cure of the cardiac location was sufficient. Only one patient died on the third postoperative day. CONCLUSION: Endoluminal hydatid involvement of pulmonary arteries is extremely rare. CTA </w:t>
      </w:r>
    </w:p>
    <w:p>
      <w:pPr>
        <w:pStyle w:val="Heading2"/>
      </w:pPr>
      <w:r>
        <w:t>876.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Climate energy balance models: two layers, orders, timescales, or regions? — https://doi.org/10.22541/essoar.169100463.34039473/v1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2023:</w:t>
      </w:r>
      <w:r>
        <w:t xml:space="preserve"> Climate energy balance models: two layers, orders, timescales, or regions? — https://doi.org/10.31223/x5dd3d</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2022:</w:t>
      </w:r>
      <w:r>
        <w:t xml:space="preserve"> Energy and Climate Changes Along the Last Two Hundred Years: Logistic Modeling — https://doi.org/10.1007/978-3-031-16470-5_10</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Mathematical Model of the Energy Balance for Two Configurations of Trapezoidal Box-type Solar Cooker Tested under Saharan Climate — https://doi.org/10.1109/sienr50924.2021.9631884</w:t>
      </w:r>
    </w:p>
    <w:p>
      <w:pPr/>
      <w:r>
        <w:rPr>
          <w:b/>
        </w:rPr>
        <w:t>Shared claim-specific concepts:</w:t>
      </w:r>
      <w:r>
        <w:t xml:space="preserve"> two, energy, climate, both; EU scope not established. This is a provisional connection, not an outcome finding.</w:t>
      </w:r>
    </w:p>
    <w:p>
      <w:pPr>
        <w:pStyle w:val="SourceNote"/>
      </w:pPr>
      <w:r>
        <w:rPr>
          <w:b/>
        </w:rPr>
        <w:t>Available abstract (not full text):</w:t>
      </w:r>
      <w:r>
        <w:t xml:space="preserve"> This article presents a mathematical model for two configurations of a box type solar cooker with trapezoidal shape: the cooker will be eqquiped with an additional reflector at first time and will be removed later, the aim is to determine the behavior in both cases depending on the the available solar energy. The energy balance equations have been solved by a Matlab program developed for this purpose. To validate the mathematical model, the values of the theoretical temperatures values were compared with the experimental results obtained from cooker tests carried out under the Saharan climatic conditions of the Ghardaia site. The tests were carried out with the cooker filled with one or two liters of water from 9:00 AM. to 5:00 PM. A good agreement was found between the measured values and that estimated by the proposed model. The model was then used to simulate the performance of the solar cooker throughout the national territory. Several temperature maps were obtained for different days of the year (winter and summer). It has been found that the temperatures obtained when the cooker is fitted with its reflector are much higher than that obtained without a reflector. The large area of Algeria allows the operation of the cooker without or with reflector in different locations and in particular months for each one of the configurations depending on the amount of solar energy rec</w:t>
      </w:r>
    </w:p>
    <w:p>
      <w:pPr/>
      <w:r>
        <w:rPr>
          <w:b/>
        </w:rPr>
        <w:t>POSSIBLE 2021:</w:t>
      </w:r>
      <w:r>
        <w:t xml:space="preserve"> Climate change impacts on renewable energy supply — https://doi.org/10.1038/s41558-020-00949-9</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Understanding the links between climate feedbacks, variability and change using a two-layer energy balance model — https://doi.org/10.1007/s00382-020-05189-3</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Modelling and Validation of two Heat and Mass Transfer Model of Living Walls and Evaluation of Their Impact on the Energy Performance of a Supermarket in a Semiarid Climate — https://doi.org/10.26868/25222708.2019.211051</w:t>
      </w:r>
    </w:p>
    <w:p>
      <w:pPr/>
      <w:r>
        <w:rPr>
          <w:b/>
        </w:rPr>
        <w:t>Shared claim-specific concepts:</w:t>
      </w:r>
      <w:r>
        <w:t xml:space="preserve"> two, energy, climate, both; EU scope not established. This is a provisional connection, not an outcome finding.</w:t>
      </w:r>
    </w:p>
    <w:p>
      <w:pPr>
        <w:pStyle w:val="SourceNote"/>
      </w:pPr>
      <w:r>
        <w:rPr>
          <w:b/>
        </w:rPr>
        <w:t>Available abstract (not full text):</w:t>
      </w:r>
      <w:r>
        <w:t xml:space="preserve"> There are about 35 heat and mass transfer green roof models up to date. However, there are only four living wall models. Furthermore, there are very few studies on the impact of living walls on the building energy performance of buildings. Moreover, none of the living wall models has been validated under semiarid climate conditions and there is a lack of studies about the cooling potential of living walls in retail buildings such as supermarkets. This paper aims to adapt two well-known green roof models to be able to model the heat and mass transfer through living walls, validate both models under semiarid climate conditions, and couple both adapted and validated models to EnergyPlus. Therefore, the impact of living walls on the energy performance of an ASHRAE prototype supermarket located in Santiago of Chile is evaluated. The results show that living walls can reduce up to 24% the cooling loads of a supermarket, and the wall thermal insulation significantly diminishes the impact of the living wall</w:t>
      </w:r>
    </w:p>
    <w:p>
      <w:pPr/>
      <w:r>
        <w:rPr>
          <w:b/>
        </w:rPr>
        <w:t>POSSIBLE 2020:</w:t>
      </w:r>
      <w:r>
        <w:t xml:space="preserve"> The Importance of Weather and Climate to Energy Systems: A Workshop on Next Generation Challenges in Energy–Climate Modeling — https://doi.org/10.1175/bams-d-20-0256.1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What: Over 80 international participants, representing weather, climate, and energy systems research, joined two 4-h remote sessions to highlight and prioritize ongoing and future challenges in energy–climate modeling. The workshop had two primary goals: to build a deeper engagement across the “energy” and “climate” research communities, and to identify and begin to address the scientific challenges associated with modeling climate risk in energy systems. When: 22–23 June 2020. Where: Online via Zoom, hosted by the University of Reading</w:t>
      </w:r>
    </w:p>
    <w:p>
      <w:pPr>
        <w:pStyle w:val="Heading2"/>
      </w:pPr>
      <w:r>
        <w:t>877.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2025:</w:t>
      </w:r>
      <w:r>
        <w:t xml:space="preserve"> A Comparative Study of the Impact of Technological Policymaking on Environmental Security in the United States and the European Union — https://doi.org/10.18415/ijmmu.v12i10.7190</w:t>
      </w:r>
    </w:p>
    <w:p>
      <w:pPr/>
      <w:r>
        <w:rPr>
          <w:b/>
        </w:rPr>
        <w:t>Shared claim-specific concepts:</w:t>
      </w:r>
      <w:r>
        <w:t xml:space="preserve"> united, states, environmental, union, indicate, environment; EU scope visible. This is a provisional connection, not an outcome finding.</w:t>
      </w:r>
    </w:p>
    <w:p>
      <w:pPr>
        <w:pStyle w:val="SourceNote"/>
      </w:pPr>
      <w:r>
        <w:rPr>
          <w:b/>
        </w:rPr>
        <w:t>Available abstract (not full text):</w:t>
      </w:r>
      <w:r>
        <w:t xml:space="preserve"> In the era of the Fourth Industrial Revolution, new technologies have developed with unprecedented speed, efficiency, and convergence, bridging the digital, physical, and biological boundaries. At the same time, environmental crises have become a serious threat to global security. The United States and the European Union have been designing and implementing policies to protect the environment since the 1960s. Using a documentary study method and a descriptive-analytical approach, this article seeks to find out what impact the technological policies of the European Union and the United States have had on environmental security. The results of the research indicate that alignment between technological policies and environmental goals is a prerequisite for achieving sustainable development and ensuring environmental security. The European Union has been able to create effective synergies between technology and environmental goals by developing comprehensive policies such as the Lisbon Strategy, Europe 2020, and Horizon Europe, as well as implementing programs such as the Green Deal, the circular economy, and the clean energy transition. In contrast, the United States, despite political fluctuations in the environmental field, has been developing clean technologies and optimizing energy consumption through technological innovations in the private sector. However, recent geopolitica</w:t>
      </w:r>
    </w:p>
    <w:p>
      <w:pPr/>
      <w:r>
        <w:rPr>
          <w:b/>
        </w:rPr>
        <w:t>POSSIBLE 2023:</w:t>
      </w:r>
      <w:r>
        <w:t xml:space="preserve"> Analysis of Environmental and Energy Policies in Turkey, the European Union and the United States — https://doi.org/10.9734/ijecc/2023/v13i123685</w:t>
      </w:r>
    </w:p>
    <w:p>
      <w:pPr/>
      <w:r>
        <w:rPr>
          <w:b/>
        </w:rPr>
        <w:t>Shared claim-specific concepts:</w:t>
      </w:r>
      <w:r>
        <w:t xml:space="preserve"> united, states, environmental, union, production; EU scope visible. This is a provisional connection, not an outcome finding.</w:t>
      </w:r>
    </w:p>
    <w:p>
      <w:pPr>
        <w:pStyle w:val="SourceNote"/>
      </w:pPr>
      <w:r>
        <w:rPr>
          <w:b/>
        </w:rPr>
        <w:t>Available abstract (not full text):</w:t>
      </w:r>
      <w:r>
        <w:t xml:space="preserve"> Energy consumption plays a pivotal role in the development of societies. Sustainable Energy Resources are vital inputs for daily life, and energy and industrial products are essential for economic growth (Ministry of Energy and Natural Resources, 2022). Consequently, those responsible for managing a country's energy sector must ensure the uninterrupted, reliable, timely, clean, and affordable supply of energy, as well as diversify energy sources to enhance energy security. The concept of "sustainable development" has emerged in response to the need to prevent irreversible environmental damage caused by conventional energy sources and outdated technologies while ensuring access to energy as a fundamental human right under optimal conditions (Pamir, N 2005). Developed societies have transitioned from planning based solely on energy source acquisition and production to a planning approach that carefully considers the energy-economy-ecology balance (3E) while taking into account resource diversity and geopolitical realities (Energy Policies and Global Developments, emo.org.tr). Turkey remains heavily dependent on energy imports, accounting for approximately 74% of its energy needs (Ministry of Energy and Natural Resources, 2023). The multifaceted nature of Turkey's energy strategy and its energy dependence emphasize the importance of international relations in this field. U.S. ener</w:t>
      </w:r>
    </w:p>
    <w:p>
      <w:pPr/>
      <w:r>
        <w:rPr>
          <w:b/>
        </w:rPr>
        <w:t>POSSIBLE 2023:</w:t>
      </w:r>
      <w:r>
        <w:t xml:space="preserve"> Efforts to ban lead ammunition: a comparison between Europe and the United States — https://doi.org/10.1002/wsb.1449</w:t>
      </w:r>
    </w:p>
    <w:p>
      <w:pPr/>
      <w:r>
        <w:rPr>
          <w:b/>
        </w:rPr>
        <w:t>Shared claim-specific concepts:</w:t>
      </w:r>
      <w:r>
        <w:t xml:space="preserve"> united, states, environmental; EU scope visible. This is a provisional connection, not an outcome finding.</w:t>
      </w:r>
    </w:p>
    <w:p>
      <w:pPr>
        <w:pStyle w:val="SourceNote"/>
      </w:pPr>
      <w:r>
        <w:rPr>
          <w:b/>
        </w:rPr>
        <w:t>Available abstract (not full text):</w:t>
      </w:r>
      <w:r>
        <w:t xml:space="preserve"> Abstract The human health impacts of lead have been known for millennia but the environmental impacts of lead ammunition have only received attention during the past 100 years. To a large extent the United States provided leadership in identifying and researching these effects and then spearheading campaigns to transition away from lead shotgun ammunition for waterfowl hunting. However, the appetite for further federal transition has largely stalled in the U.S. except for apparently limited action linked to individual states, charismatic species, and specific sites. Europe, on the other hand, though generally rather late to the table with regard to lead shotgun ammunition and waterfowl hunting, is now pushing ahead with several initiatives that are likely to see substantial partial, if not total, restrictions on the use of all lead ammunition (for shotguns and rifles) within 5 to 10 years. We discuss the policy drivers behind these moves, summarize the key attitudes and perceived constraints to transition, and provide (cautious) timetables and limited recommendations for future changes. Our discussion will include comparisons between efforts in the U.S. and those in Europe.</w:t>
      </w:r>
    </w:p>
    <w:p>
      <w:pPr/>
      <w:r>
        <w:rPr>
          <w:b/>
        </w:rPr>
        <w:t>POSSIBLE 2022:</w:t>
      </w:r>
      <w:r>
        <w:t xml:space="preserve"> Criminal Enforcement of Environmental Law in the European Union and the United States — https://doi.org/10.1016/b978-0-12-824315-2.00051-8</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Energy Transition and Environmental Sustainability: Evaluation of Europe, Canada and United States of America — https://doi.org/10.2139/ssrn.4138109</w:t>
      </w:r>
    </w:p>
    <w:p>
      <w:pPr/>
      <w:r>
        <w:rPr>
          <w:b/>
        </w:rPr>
        <w:t>Shared claim-specific concepts:</w:t>
      </w:r>
      <w:r>
        <w:t xml:space="preserve"> united, states, environmental;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The Impact of COVID‐19 on the Initiation of Clinical Trials in Europe and the United States — https://doi.org/10.1002/cpt.2534</w:t>
      </w:r>
    </w:p>
    <w:p>
      <w:pPr/>
      <w:r>
        <w:rPr>
          <w:b/>
        </w:rPr>
        <w:t>Shared claim-specific concepts:</w:t>
      </w:r>
      <w:r>
        <w:t xml:space="preserve"> united, states, increase, relative, compared, indicate; EU scope visible. This is a provisional connection, not an outcome finding.</w:t>
      </w:r>
    </w:p>
    <w:p>
      <w:pPr>
        <w:pStyle w:val="SourceNote"/>
      </w:pPr>
      <w:r>
        <w:rPr>
          <w:b/>
        </w:rPr>
        <w:t>Available abstract (not full text):</w:t>
      </w:r>
      <w:r>
        <w:t xml:space="preserve"> The coronavirus disease 2019 (COVID-19) pandemic has a major impact not only on public health and daily living, but also on clinical trials worldwide. To investigate the potential impact of the COVID-19 pandemic on the initiation of clinical trials, we have descriptively analyzed the longitudinal change in phase II and III interventional clinical trials initiated in Europe and in the United States. Based on the public clinical trial register EU Clinical Trials Register and clinicaltrials.gov, we conducted (i) a yearly comparison of the number of initiated trials from 2010 to 2020 and (ii) a monthly comparison from January 2020 to February 2021 of the number of initiated trials. The analyses indicate that the COVID-19 pandemic affected both the initiation of clinical trials overall and the initiation of non-COVID-19 trials. An increase in the overall numbers of clinical trials could be observed both in Europe and the United States in 2020 as compared with 2019. However, the number of non-COVID-19 trials initiated is reduced as compared with the previous decade, with a slightly larger relative decrease in the United States as compared to Europe. Additionally, the monthly trend for the initiation of non-COVID-19 trials differs between regions. In the United States, after a sharp decrease in April 2020, trial numbers reached the levels of 2019 from June 2020 onward. In Europe, the </w:t>
      </w:r>
    </w:p>
    <w:p>
      <w:pPr/>
      <w:r>
        <w:rPr>
          <w:b/>
        </w:rPr>
        <w:t>POSSIBLE 2022:</w:t>
      </w:r>
      <w:r>
        <w:t xml:space="preserve"> Are Trends in Convective Parameters over the United States and Europe Consistent between Reanalyses and Observations? — https://doi.org/10.1175/jcli-d-21-0135.1</w:t>
      </w:r>
    </w:p>
    <w:p>
      <w:pPr/>
      <w:r>
        <w:rPr>
          <w:b/>
        </w:rPr>
        <w:t>Shared claim-specific concepts:</w:t>
      </w:r>
      <w:r>
        <w:t xml:space="preserve"> united, states, whereas, relative, compared, indicate; EU scope visible. This is a provisional connection, not an outcome finding.</w:t>
      </w:r>
    </w:p>
    <w:p>
      <w:pPr>
        <w:pStyle w:val="SourceNote"/>
      </w:pPr>
      <w:r>
        <w:rPr>
          <w:b/>
        </w:rPr>
        <w:t>Available abstract (not full text):</w:t>
      </w:r>
      <w:r>
        <w:t xml:space="preserve"> Abstract In this work, long-term trends in convective parameters are compared between ERA5, MERRA-2, and observed rawinsonde profiles over Europe and the United States including surrounding areas. A 39-yr record (1980–2018) with 2.07 million quality-controlled measurements from 84 stations at 0000 and 1200 UTC is used for the comparison, along with collocated reanalysis profiles. Overall, reanalyses provide signals that are similar to observations, but ERA5 features lower biases. Over Europe, agreement in the trend signal between rawinsondes and the reanalyses is better, particularly with respect to instability (lifted index), low-level moisture (mixing ratio), and 0–3-km lapse rates as compared with mixed trends in the United States. However, consistent signals for all three datasets and both domains are found for robust increases in convective inhibition (CIN), downdraft CAPE (DCAPE), and decreases in mean 0–4-km relative humidity. Despite differing trends between continents, the reanalyses capture well changes in 0–6-km wind shear and 1–3-km mean wind with modest increases in the United States and decreases in Europe. However, these changes are mostly insignificant. All datasets indicate consistent warming of almost the entire tropospheric profile, which over Europe is the fastest near ground whereas across the Great Plains it is generally between 2 and 3 km above ground lev</w:t>
      </w:r>
    </w:p>
    <w:p>
      <w:pPr/>
      <w:r>
        <w:rPr>
          <w:b/>
        </w:rPr>
        <w:t>POSSIBLE 2022:</w:t>
      </w:r>
      <w:r>
        <w:t xml:space="preserve"> Consumption and Hours in the United States and Europe — https://doi.org/10.24149/wp2216</w:t>
      </w:r>
    </w:p>
    <w:p>
      <w:pPr/>
      <w:r>
        <w:rPr>
          <w:b/>
        </w:rPr>
        <w:t>Shared claim-specific concepts:</w:t>
      </w:r>
      <w:r>
        <w:t xml:space="preserve"> united, states, substantially, production; EU scope visible. This is a provisional connection, not an outcome finding.</w:t>
      </w:r>
    </w:p>
    <w:p>
      <w:pPr>
        <w:pStyle w:val="SourceNote"/>
      </w:pPr>
      <w:r>
        <w:rPr>
          <w:b/>
        </w:rPr>
        <w:t>Available abstract (not full text):</w:t>
      </w:r>
      <w:r>
        <w:t xml:space="preserve"> We document large differences between the United States and Europe in allocations of expenditures and time for both market and home activities.Using a life-cycle model with home production and endogenous retirement, we find that the cross-country differences in consumption tax, social security system, income tax, and TFP together can account for 68-95 percent of the cross-country variations and more than half of the average differences between Europe and the United States in aggregate hours and expenditures.These factors can also account well for the cross-country differences in allocations by age and generate substantially lower market hours in Europe for the age group of sixty and above as in the data.All the factors, except income tax, are quantitatively important for determining cross-country differences in expenditure allocations.While the differences in social security system and income tax are crucial in explaining the difference in market hours around retirement ages, TFP and consumption tax are more important for the difference in market hours for prime ages.</w:t>
      </w:r>
    </w:p>
    <w:p>
      <w:pPr>
        <w:pStyle w:val="Heading2"/>
      </w:pPr>
      <w:r>
        <w:t>878.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2023:</w:t>
      </w:r>
      <w:r>
        <w:t xml:space="preserve"> SECURES-Met - A European wide meteorological data set suitable for electricity modelling (supply and demand) for historical climate and climate change projections — https://doi.org/10.5281/zenodo.7907882</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For the modelling of electricity production and demand, meteorological conditions are becoming more relevant due to the increasing contribution from renewable electricity production. But the requirements on meteorological data sets for electricity modelling are quite high. One challenge is the high temporal resolution, since a typical time step for modelling electricity production and demand is one hour. On the other side the European electricity market is highly connected, so that a pure country based modelling does not make sense and at least the whole European Union area has to be considered. Additionally, the spatial resolution of the data set must be able to represent the thermal conditions, which requires high spatial resolution at least in mountainous regions. All these requirements lead to huge data amounts for historic observations and even more for climate change projections for the whole 21st century. Thus, we have developed an aggregated European wide data set that has a temporal resolution of one hour, covers the whole EU area, has a reasonable size but is considering the high spatial variability. This meteorological data set for Europe for the historical period and climate change projections fulfills all relevant criteria for energy modelling. It has a hourly temporal resolution, considers local effects up to a spatial resolution of 1 km and has a suitable size, a</w:t>
      </w:r>
    </w:p>
    <w:p>
      <w:pPr/>
      <w:r>
        <w:rPr>
          <w:b/>
        </w:rPr>
        <w:t>POSSIBLE 2023:</w:t>
      </w:r>
      <w:r>
        <w:t xml:space="preserve"> Balancing Electricity Supply and Demand in a Carbon-Neutral Northern Europe — https://doi.org/10.3390/en16083548</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2023:</w:t>
      </w:r>
      <w:r>
        <w:t xml:space="preserve"> Prescribing net demand for two-stage electricity generation scheduling — https://doi.org/10.1016/j.orp.2023.100268</w:t>
      </w:r>
    </w:p>
    <w:p>
      <w:pPr/>
      <w:r>
        <w:rPr>
          <w:b/>
        </w:rPr>
        <w:t>Shared claim-specific concepts:</w:t>
      </w:r>
      <w:r>
        <w:t xml:space="preserve"> electricity, renewable, generation, substantial, furthermore, proposed; EU scope visible. This is a provisional connection, not an outcome finding.</w:t>
      </w:r>
    </w:p>
    <w:p>
      <w:pPr>
        <w:pStyle w:val="SourceNote"/>
      </w:pPr>
      <w:r>
        <w:rPr>
          <w:b/>
        </w:rPr>
        <w:t>Available abstract (not full text):</w:t>
      </w:r>
      <w:r>
        <w:t xml:space="preserve"> We consider a two-stage generation scheduling problem comprising a forward dispatch and a real-time re-dispatch. The former must be conducted facing an uncertain net demand that includes non-dispatchable electricity consumption and renewable power generation. The latter copes with the plausible deviations with respect to the forward schedule by making use of balancing power during the actual operation of the system. Standard industry practice deals with the uncertain net demand in the forward stage by replacing it with a good estimate of its conditional expectation (usually referred to as a point forecast), so as to minimize the need for balancing power in real time. However, it is well known that the cost structure of a power system is highly asymmetric and dependent on its operating point, with the result that minimizing the amount of power imbalances is not necessarily aligned with minimizing operating costs. In this paper, we propose a bilevel program to construct, from the available historical data, a prescription of the net demand that does account for the power system’s cost asymmetry. Furthermore, to accommodate the strong dependence of this cost on the power system’s operating point, we use clustering to tailor the proposed prescription to the foreseen net-demand regime. By way of an illustrative example and a more realistic case study based on the European power syste</w:t>
      </w:r>
    </w:p>
    <w:p>
      <w:pPr/>
      <w:r>
        <w:rPr>
          <w:b/>
        </w:rPr>
        <w:t>POSSIBLE 2023:</w:t>
      </w:r>
      <w:r>
        <w:t xml:space="preserve"> Air-conditioning adoption and electricity demand highlight climate change mitigation–adaptation tradeoffs — https://doi.org/10.1038/s41598-023-31469-z</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We elucidate mid-century climate change impacts on electricity demand accounting for endogenous adoption of residential air-conditioning (AC) in affluent, cooler countries in Europe, and in poorer, hotter states in India. By 2050, in a high-warming scenario (SSP585) AC prevalence grows twofold in Europe and fourfold in India, reaching around 40% in both regions. We document a mitigation-adaptation tradeoff: AC expansion reduces daily heat exposures by 150 million and 3.8 billion person degree-days (PDDs), but increases annual electricity demand by 34 TWh and 168 TWh in Europe and India, respectively (corresponding to 2% and 15% of today's consumption). The increase in adoption and use of AC would result in an additional 130 MMTCO2, of which 120 MMTCO2 in India alone, if the additional electricity generated were produced with today's power mix. The tradeoff varies geographically and across income groups: a one PDD reduction in heat exposure in Europe versus India necessitates five times more electricity (0.53 kWh vs 0.1 kWh) and two times more emissions (0.16 kgCO[Formula: see text] vs 0.09 kgCO[Formula: see text]), on average. The decomposition of demand drivers offers important insights on how such tradeoff can be moderated through policies promoting technology-based and behavioral-based adaptation strategies.</w:t>
      </w:r>
    </w:p>
    <w:p>
      <w:pPr/>
      <w:r>
        <w:rPr>
          <w:b/>
        </w:rPr>
        <w:t>POSSIBLE 2023:</w:t>
      </w:r>
      <w:r>
        <w:t xml:space="preserve"> Might future electricity generation suffice to meet the global demand? — https://doi.org/10.1016/j.esr.2023.101080</w:t>
      </w:r>
    </w:p>
    <w:p>
      <w:pPr/>
      <w:r>
        <w:rPr>
          <w:b/>
        </w:rPr>
        <w:t>Shared claim-specific concepts:</w:t>
      </w:r>
      <w:r>
        <w:t xml:space="preserve"> electricity, generation, expected, sectors, meet, greenhouse; EU scope not established. This is a provisional connection, not an outcome finding.</w:t>
      </w:r>
    </w:p>
    <w:p>
      <w:pPr>
        <w:pStyle w:val="SourceNote"/>
      </w:pPr>
      <w:r>
        <w:rPr>
          <w:b/>
        </w:rPr>
        <w:t>Available abstract (not full text):</w:t>
      </w:r>
      <w:r>
        <w:t xml:space="preserve"> Electricity supply is one of the critical issues in the energy field. Due to the high shares of greenhouse gases emissions, the electricity sector is experiencing a transition towards a progressively wider use of low-carbon technologies. At the same time, electrification of end-use sectors is identified as one of the most suitable mitigation strategies, although requiring larger electricity production. This paper relates the historical development trends for installed capacity of electricity production technologies to the theory of the S-curves, building a method to depict plausible developments in the electricity sector. Projections are performed considering the existence of an upper limit for industrial capacity development, and according to a path envisaging a revolutionary, an evolutionary and a maturity phase for technologies showing considerable growth trends. Oppositely, stagnation is taken into account for those not showing any remarkable progress. The computed curves are used to perform forecasts about electricity generation potentials until 2050, showing how the projected growth trend of electricity generation technologies would result in a production sufficient to meet the expected global demand, even excluding the contribution of fossil fuels in some cases. In perspective, the presented method can be applied to retrieve maximum capacity constraints for energy system</w:t>
      </w:r>
    </w:p>
    <w:p>
      <w:pPr/>
      <w:r>
        <w:rPr>
          <w:b/>
        </w:rPr>
        <w:t>POSSIBLE 2022:</w:t>
      </w:r>
      <w:r>
        <w:t xml:space="preserve"> Interaction between electrified steel production and the north European electricity system — https://doi.org/10.1016/j.apenergy.2022.118584</w:t>
      </w:r>
    </w:p>
    <w:p>
      <w:pPr/>
      <w:r>
        <w:rPr>
          <w:b/>
        </w:rPr>
        <w:t>Shared claim-specific concepts:</w:t>
      </w:r>
      <w:r>
        <w:t xml:space="preserve"> electricity, met, furthermore, transport, sectors, electrified; EU scope visible. This is a provisional connection, not an outcome finding.</w:t>
      </w:r>
    </w:p>
    <w:p>
      <w:pPr>
        <w:pStyle w:val="SourceNote"/>
      </w:pPr>
      <w:r>
        <w:rPr>
          <w:b/>
        </w:rPr>
        <w:t>Available abstract (not full text):</w:t>
      </w:r>
      <w:r>
        <w:t xml:space="preserve"> This study investigates the interactions between a steel industry that applies hydrogen direct reduction (H-DR) and the electricity system of northern Europe. We apply a techno-economic optimization model with the aim of achieving net-zero emissions from the electricity and steel sectors in Year 2050. The model minimizes the investment and running costs of electricity and steel production units, while meeting the demands for electricity and steel. The modeling is carried out for a number of scenarios, which differ in the following parameters: (i) cost of using new sites for steel production; (ii) transport costs; (iii) commodities export; (iv) flexibility in operation of a direct reduction (DR) shaft furnace; and (v) location of steel demand. The results reveal that a cost-efficient spatial allocation of the electrified steel production capacity is impacted by the availability of low-cost electricity and can differ from the present - day allocation of steel plants. The modeling results show that the additional electricity demand from an electrified steel industry is met mainly by increased investments in wind and solar power while natural gas - based production of electricity is reduced. Furthermore, it is found to be cost-efficient to invest in overcapacity for steel production units (electrolyzers, DR shaft furnaces and electric arc furnaces) and to invest in storage systems </w:t>
      </w:r>
    </w:p>
    <w:p>
      <w:pPr/>
      <w:r>
        <w:rPr>
          <w:b/>
        </w:rPr>
        <w:t>POSSIBLE 2022:</w:t>
      </w:r>
      <w:r>
        <w:t xml:space="preserve"> Prescribing Net Demand for Two-Stage Electricity Generation Scheduling — https://doi.org/10.2139/ssrn.4211573</w:t>
      </w:r>
    </w:p>
    <w:p>
      <w:pPr/>
      <w:r>
        <w:rPr>
          <w:b/>
        </w:rPr>
        <w:t>Shared claim-specific concepts:</w:t>
      </w:r>
      <w:r>
        <w:t xml:space="preserve"> electricity, generation;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Assessment of Demand Side Flexibility in European Electricity Markets: A Country Level Review — https://doi.org/10.3390/en14082324</w:t>
      </w:r>
    </w:p>
    <w:p>
      <w:pPr/>
      <w:r>
        <w:rPr>
          <w:b/>
        </w:rPr>
        <w:t>Shared claim-specific concepts:</w:t>
      </w:r>
      <w:r>
        <w:t xml:space="preserve"> electricity, renewable, generation, significant; EU scope visible. This is a provisional connection, not an outcome finding.</w:t>
      </w:r>
    </w:p>
    <w:p>
      <w:pPr>
        <w:pStyle w:val="SourceNote"/>
      </w:pPr>
      <w:r>
        <w:rPr>
          <w:b/>
        </w:rPr>
        <w:t>Available abstract (not full text):</w:t>
      </w:r>
      <w:r>
        <w:t xml:space="preserve"> Power systems in many countries have recently undergone a significant transition towards renewable and carbon-free generation sources. Those sources pose new challenges to the grid operation due to their intermittency and uncertainty. Consequently, advanced policy strategies and technologies offering new flexibility solutions on the inelastic demand side are required to maintain the reliability of power systems. Given the diversity of situations, legislation and needs across European countries and the varying nature of distribution system operators, this article reviews the deployment of demand side flexibility at national level to identify best practices and main barriers. The analysis concerns European countries of different progress in solutions that leverage flexibility towards offering electricity grid services. The scope is to explore the operation principles of European electricity markets, to assess the participation of emerging flexible resources, and to propose new approaches that facilitate the integration of flexible assets in the distribution grid. The countries reviewed are the United Kingdom, Belgium, Italy and Greece. These countries were selected owing to their diversity in terms of generation mix and market design. Barriers for market access of flexibility resources are also identified in order to form relevant country-specific recommendations.</w:t>
      </w:r>
    </w:p>
    <w:p>
      <w:pPr/>
      <w:r>
        <w:rPr>
          <w:b/>
        </w:rPr>
        <w:t>POSSIBLE 2021:</w:t>
      </w:r>
      <w:r>
        <w:t xml:space="preserve"> C3S Energy: an operational service to deliver power demand and supply for different electricity sources, time and spatial scales over Europe — https://doi.org/10.31223/x5mm06</w:t>
      </w:r>
    </w:p>
    <w:p>
      <w:pPr/>
      <w:r>
        <w:rPr>
          <w:b/>
        </w:rPr>
        <w:t>Shared claim-specific concepts:</w:t>
      </w:r>
      <w:r>
        <w:t xml:space="preserve"> electricity, generation; EU scope visible. This is a provisional connection, not an outcome finding.</w:t>
      </w:r>
    </w:p>
    <w:p>
      <w:pPr>
        <w:pStyle w:val="SourceNote"/>
      </w:pPr>
      <w:r>
        <w:rPr>
          <w:b/>
        </w:rPr>
        <w:t>Available abstract (not full text):</w:t>
      </w:r>
      <w:r>
        <w:t xml:space="preserve"> The EU Copernicus Climate Change Service (C3S) has produced an operational climate service, called C3S Energy, designed to enable the energy industry and policy makers to assess the impacts of climate variability and climate change on the energy sector in Europe. The C3S Energy service covers different time horizons, for the past forty years and the future. It provides time series of electricity demand and supply from wind, solar photovoltaic and hydro power, and can be used for recent trends analysis, seasonal outlooks or the assessment of climate change impacts on energy mixes in the long-term.This paper introduces this dataset, with a focus on the design and validation of the energy conversion models, based on ENTSO-E energy data and the ERA5 climate reanalysis. Flexibility and coherence across all countries have been privileged upon models’ accuracy. However, the comparison with ENTSO-E data shows that the models provide plausible energy indicators and, in particular, allow to compare climate variability effects on power demand and generation in an homogenous approach all over Europe.</w:t>
      </w:r>
    </w:p>
    <w:p>
      <w:pPr/>
      <w:r>
        <w:rPr>
          <w:b/>
        </w:rPr>
        <w:t>POSSIBLE 2021:</w:t>
      </w:r>
      <w:r>
        <w:t xml:space="preserve"> The CO2 reduction potential of shore-side electricity in Europe — https://doi.org/10.1016/j.apenergy.2020.116425</w:t>
      </w:r>
    </w:p>
    <w:p>
      <w:pPr/>
      <w:r>
        <w:rPr>
          <w:b/>
        </w:rPr>
        <w:t>Shared claim-specific concepts:</w:t>
      </w:r>
      <w:r>
        <w:t xml:space="preserve"> electricity, generation, substantial; EU scope visible. This is a provisional connection, not an outcome finding.</w:t>
      </w:r>
    </w:p>
    <w:p>
      <w:pPr>
        <w:pStyle w:val="SourceNote"/>
      </w:pPr>
      <w:r>
        <w:rPr>
          <w:b/>
        </w:rPr>
        <w:t>Available abstract (not full text):</w:t>
      </w:r>
      <w:r>
        <w:t xml:space="preserve"> Shore-side electricity can drastically reduce the emissions from fossil fuel-powered auxiliary engines of ships at berth. Data scarcity on the auxiliary power demand at berth has limited the scope and temporal resolution of previous studies to few ports and ships. We establish a novel method to estimate the auxiliary power demand at berth for 714 major ports in the European Economic Area (EEA) and the United Kingdom (UK). Therefore, emission report data from the Monitoring, Reporting and Verification scheme of the European Union and ship tracking data from the Automatic Identification System are combined. Annual emissions of 3 Mt (/ 5 Mt) CO2 could be avoided if the auxiliary power demand at berth would be supplied from national grids (/ from CO2-neutral electricity). This equals an average reduction of overall shipping emissions by 2.2% (3.7%), and requires only 0.2% (6.4 TWh) of the current electricity generation capacity of the EEA and the UK. Using shore-side electricity from the grid can also contribute to substantial annual local air pollution reductions of 86,431 t NOx, 4,130 t SOx, 1,596 t PM10, 4,333 t CO, 94 t CH4, 4,818 t NMVOC, and 235 t N2O.</w:t>
      </w:r>
    </w:p>
    <w:p>
      <w:pPr>
        <w:pStyle w:val="Heading2"/>
      </w:pPr>
      <w:r>
        <w:t>879.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2023:</w:t>
      </w:r>
      <w:r>
        <w:t xml:space="preserve"> 2017–2020 trends of particulate matter PM10 concentrations in the cities of Suceava and Botoșani — https://doi.org/10.47743/pesd2023171023</w:t>
      </w:r>
    </w:p>
    <w:p>
      <w:pPr/>
      <w:r>
        <w:rPr>
          <w:b/>
        </w:rPr>
        <w:t>Shared claim-specific concepts:</w:t>
      </w:r>
      <w:r>
        <w:t xml:space="preserve"> pm10, concentrations, until; EU scope not established. This is a provisional connection, not an outcome finding.</w:t>
      </w:r>
    </w:p>
    <w:p>
      <w:pPr>
        <w:pStyle w:val="SourceNote"/>
      </w:pPr>
      <w:r>
        <w:rPr>
          <w:b/>
        </w:rPr>
        <w:t>Available abstract (not full text):</w:t>
      </w:r>
      <w:r>
        <w:t xml:space="preserve"> This study aims to analyze the trends and variability of PM10 concentrations at three monitoring sites in Suceava and Botoșani cities from 2017 to 2020.The results reveal a declining trend in PM10 concentrations at the urban background stations (SV1 and BT1), while the industrial site (SV2) indicated a slight increasing trend until 2019.The cold season recorded the highest daily PM10 concentrations, with peak values of 133.5 μg/m3, 114.9 μg/m3, and 91.8 μg/m3 at SV2, BT1, and SV1, respectively.Annual average PM10 concentrations decreased at SV1 and BT1, showing reductions of 6.7% and 19.7% in 2020 compared to 2017, respectively.The 90.4th percentile, with a threshold limit of 50 μg/m3, exceeded the limit during the 2018-2020 period at SV2. Pearson correlation analysis indicates a significant positive correlation between PM10 and NO2 (R = 0.66 in SV2) and CO (R = 0.69 in SV2, R = 0.54 in BT1) during the winter season.Additionally, a positive correlation was observed between PM10 and benzene in BT1, during both the warm season (R = 0.41) and the cold season (R = 0.66).These results provide insights into the spatiotemporal variability of PM10 and its relationship with other air pollutants.</w:t>
      </w:r>
    </w:p>
    <w:p>
      <w:pPr/>
      <w:r>
        <w:rPr>
          <w:b/>
        </w:rPr>
        <w:t>POSSIBLE 2023:</w:t>
      </w:r>
      <w:r>
        <w:t xml:space="preserve"> The Impact of Atmospheric Synoptic Weather Condition and Long-Range Transportation of Air Mass on Extreme PM10 Concentration Events — https://doi.org/10.3390/atmos14020406</w:t>
      </w:r>
    </w:p>
    <w:p>
      <w:pPr/>
      <w:r>
        <w:rPr>
          <w:b/>
        </w:rPr>
        <w:t>Shared claim-specific concepts:</w:t>
      </w:r>
      <w:r>
        <w:t xml:space="preserve"> furthermore, pm10, concentrations; EU scope not established. This is a provisional connection, not an outcome finding.</w:t>
      </w:r>
    </w:p>
    <w:p>
      <w:pPr>
        <w:pStyle w:val="SourceNote"/>
      </w:pPr>
      <w:r>
        <w:rPr>
          <w:b/>
        </w:rPr>
        <w:t>Available abstract (not full text):</w:t>
      </w:r>
      <w:r>
        <w:t xml:space="preserve"> Atmospheric synoptic weather patterns have a significant impact on the concentration, dispersion, and transportation of air pollution in various regions and times around the world. To assess the impact of atmospheric synoptic weather patterns and long-range air mass transportation, we used weather classification techniques from the BP training model and the HYSPLIT model. Our research uncovered four weather conditions linked to PM10 concentration categories ranging from normal to extreme. Weather conditions 3 and 4 are the most significant conditions supporting the occurrence of extreme concentration events that are heavily influenced by anti-cyclones. Despite weather conditions influencing high concentrations, 60% of long-distance air mass transport to Secunda from Mpumalanga province increased to extreme PM10 concentrations. Furthermore, long-term weather shifts have been observed to positively impact reducing the concentration of PM10 extreme events.</w:t>
      </w:r>
    </w:p>
    <w:p>
      <w:pPr/>
      <w:r>
        <w:rPr>
          <w:b/>
        </w:rPr>
        <w:t>POSSIBLE 2022:</w:t>
      </w:r>
      <w:r>
        <w:t xml:space="preserve"> Impact of PM2.5 and PM10 Emissions on Changes of Their Concentration Levels in Lithuania: A Case Study — https://doi.org/10.3390/atmos13111793</w:t>
      </w:r>
    </w:p>
    <w:p>
      <w:pPr/>
      <w:r>
        <w:rPr>
          <w:b/>
        </w:rPr>
        <w:t>Shared claim-specific concepts:</w:t>
      </w:r>
      <w:r>
        <w:t xml:space="preserve"> furthermore, pm10, concentrations; EU scope visible. This is a provisional connection, not an outcome finding.</w:t>
      </w:r>
    </w:p>
    <w:p>
      <w:pPr>
        <w:pStyle w:val="SourceNote"/>
      </w:pPr>
      <w:r>
        <w:rPr>
          <w:b/>
        </w:rPr>
        <w:t>Available abstract (not full text):</w:t>
      </w:r>
      <w:r>
        <w:t xml:space="preserve"> Due to negative effects on human health and visibility, atmospheric particulate matter (PM) is a prioritized contaminant for urban air pollution management. Over the past few decades, managing emissions have been a top priority. This paper investigated PM national inventory data and mass concentration trends for Lithuania. This analysis considers primary (sum of filterable and condensable) PM2.5 and PM10 emissions from point, mobile on-road and off-road, industry, agriculture, and waste sectors. In this study, by examining both the emissions and the mass concentrations of PM10, the effects of emissions decreasing with a concentration decrease were revealed. The slower decreasing tendency of PM10 and BC (0.03 Gg/year) than that of PM2.5 (0.1 Gg/year) should be noted. Furthermore, the correlation analysis also finds that the increase in PM10 from stationary and mobile combustion sources is closely related to the increase in the contribution to the pollution level.</w:t>
      </w:r>
    </w:p>
    <w:p>
      <w:pPr/>
      <w:r>
        <w:rPr>
          <w:b/>
        </w:rPr>
        <w:t>POSSIBLE 2022:</w:t>
      </w:r>
      <w:r>
        <w:t xml:space="preserve"> Statistical Analysis of PM10 Concentration in the Monterrey Metropolitan Area, Mexico (2010–2018) — https://doi.org/10.3390/atmos13020297</w:t>
      </w:r>
    </w:p>
    <w:p>
      <w:pPr/>
      <w:r>
        <w:rPr>
          <w:b/>
        </w:rPr>
        <w:t>Shared claim-specific concepts:</w:t>
      </w:r>
      <w:r>
        <w:t xml:space="preserve"> furthermore, pm10, concentrations, applying; EU scope not established. This is a provisional connection, not an outcome finding.</w:t>
      </w:r>
    </w:p>
    <w:p>
      <w:pPr>
        <w:pStyle w:val="SourceNote"/>
      </w:pPr>
      <w:r>
        <w:rPr>
          <w:b/>
        </w:rPr>
        <w:t>Available abstract (not full text):</w:t>
      </w:r>
      <w:r>
        <w:t xml:space="preserve"> Air-quality monitoring and analysis are initial parts of a comprehensive strategy to prevent air pollution in cities. In such a context, statistical tools play an important role in determining the time-series trends, locating areas with high pollutant concentrations, and building predictive models. In this work, we analyzed the spatio-temporal behavior of the pollutant PM10 in the Monterrey Metropolitan Area (MMA), Mexico during the period 2010–2018 by applying statistical analysis to the time series of seven environmental stations. First, we used experimental variograms and scientific visualization to determine the general trends and variability in time. Then, fractal exponents (the Hurst rescaled range and Higuchi algorithm) were used to analyze the long-term dependence of the time series and characterize the study area by correlating that dependence with the geographical parameters of each environmental station. The results suggest a linear decrease in PM10 concentration, which showed an annual cyclicity. The autumn-winter period was the most polluted and the spring-summer period was the least. Furthermore, it was found that the highest average concentrations are located in the western and high-altitude zones of the MMA, and that average concentration is related in a quadratic way to the Hurst and Higuchi exponents, which in turn are related to some geographic parameters. Th</w:t>
      </w:r>
    </w:p>
    <w:p>
      <w:pPr/>
      <w:r>
        <w:rPr>
          <w:b/>
        </w:rPr>
        <w:t>POSSIBLE 2021:</w:t>
      </w:r>
      <w:r>
        <w:t xml:space="preserve"> Contribution of anthropogenic and natural sources in PM10 during North African dust events in Southern Europe — https://doi.org/10.1016/j.envpol.2021.118065</w:t>
      </w:r>
    </w:p>
    <w:p>
      <w:pPr/>
      <w:r>
        <w:rPr>
          <w:b/>
        </w:rPr>
        <w:t>Shared claim-specific concepts:</w:t>
      </w:r>
      <w:r>
        <w:t xml:space="preserve"> furthermore, pm10, concentrations; EU scope visible. This is a provisional connection, not an outcome finding.</w:t>
      </w:r>
    </w:p>
    <w:p>
      <w:pPr>
        <w:pStyle w:val="SourceNote"/>
      </w:pPr>
      <w:r>
        <w:rPr>
          <w:b/>
        </w:rPr>
        <w:t>Available abstract (not full text):</w:t>
      </w:r>
      <w:r>
        <w:t xml:space="preserve"> The influence of North African (NAF) dust events on the air quality at the regional level (12 representative monitoring stations) in Southern Europe during a long time series (2007–2014) was studied. PM10 levels and chemical composition were separated by Atlantic (ATL) and NAF air masses. An increase in the average PM10 concentrations was observed on sampling days with NAF dust influence (42 μg m−3) when compared to ATL air masses (29 μg m−3). Major compounds such as crustal components and secondary inorganic compounds (SIC), as well as toxic trace elements derived from industrial emissions, also showed higher concentrations of NAF events. A source contribution analysis using positive matrix factorisation (PMF) 5.0 of the PM10 chemical data, discriminating ATL and NAF air mass origins, allowed the identification of five sources: crustal, sea salt, traffic, regional, and industrial. A higher contribution (74%) of the natural sources to PM10 concentrations was confirmed under NAF episodes compared with ATL. Furthermore, there was an increase in anthropogenic sources during these events (51%), indicating the important influence of the NAF air masses on these sources. The results of this study highlight that environmental managers should take appropriate actions to reduce local emissions during NAF events to ensure good air quality.</w:t>
      </w:r>
    </w:p>
    <w:p>
      <w:pPr/>
      <w:r>
        <w:rPr>
          <w:b/>
        </w:rPr>
        <w:t>POSSIBLE 2021:</w:t>
      </w:r>
      <w:r>
        <w:t xml:space="preserve"> Assessment of Machine Learning Algorithms in Short-term Forecasting of PM10 and PM2.5 Concentrations in Selected Polish Agglomerations — https://doi.org/10.4209/aaqr.200586</w:t>
      </w:r>
    </w:p>
    <w:p>
      <w:pPr/>
      <w:r>
        <w:rPr>
          <w:b/>
        </w:rPr>
        <w:t>Shared claim-specific concepts:</w:t>
      </w:r>
      <w:r>
        <w:t xml:space="preserve"> pm10, concentrations, best; EU scope visible. This is a provisional connection, not an outcome finding.</w:t>
      </w:r>
    </w:p>
    <w:p>
      <w:pPr>
        <w:pStyle w:val="SourceNote"/>
      </w:pPr>
      <w:r>
        <w:rPr>
          <w:b/>
        </w:rPr>
        <w:t>Available abstract (not full text):</w:t>
      </w:r>
      <w:r>
        <w:t xml:space="preserve"> Air pollution continues to have a significant impact on Europeans living in urban areas, and episodes of elevated PMx are responsible for a large number of premature deaths (mostly due to heart disease and stroke) each year. According to the annual EEA reports, Poland is one of the most polluted countries in Europe, experiencing high PMx concentrations during winter that mostly result from large emissions and unfavourable weather conditions in combination with environmental features. Thus, in addition to implementing municipal mitigation strategies, alerting residents to pollution episodes through accurate PMx forecasting is necessary. This research aimed to assess the feasibility of short-term PMx forecasting via machine learning (ML) and the subsequent identification of the primary meteorological covariates. The data comprised 10 years of hourly winter PM10 and PM2.5 concentrations measured at 11 urban air quality monitoring stations, including background, traffic, and industrial sites, in four large Polish agglomerations, viz., Poznań, Kraków, Łódź, and Gdańsk, which cover areas with high population density and diverse environments that extend from the Baltic Sea coast (Tricity) through the lowlands (Poznań and Łódź) to the highlands (Kraków). We tested four ML models: AIC-based stepwise regression, two tree-based algorithms (random forests and XGBoost), and neural networks.</w:t>
      </w:r>
    </w:p>
    <w:p>
      <w:pPr/>
      <w:r>
        <w:rPr>
          <w:b/>
        </w:rPr>
        <w:t>POSSIBLE 2021:</w:t>
      </w:r>
      <w:r>
        <w:t xml:space="preserve"> PM10 and PM2.5 real-time prediction models using an interpolated convolutional neural network — https://doi.org/10.1038/s41598-021-91253-9</w:t>
      </w:r>
    </w:p>
    <w:p>
      <w:pPr/>
      <w:r>
        <w:rPr>
          <w:b/>
        </w:rPr>
        <w:t>Shared claim-specific concepts:</w:t>
      </w:r>
      <w:r>
        <w:t xml:space="preserve"> furthermore, pm10, concentrations; EU scope not established. This is a provisional connection, not an outcome finding.</w:t>
      </w:r>
    </w:p>
    <w:p>
      <w:pPr>
        <w:pStyle w:val="SourceNote"/>
      </w:pPr>
      <w:r>
        <w:rPr>
          <w:b/>
        </w:rPr>
        <w:t>Available abstract (not full text):</w:t>
      </w:r>
      <w:r>
        <w:t xml:space="preserve"> In this paper, we propose a real-time prediction model that can respond to particulate matters (PM) in the air, which are an indication of poor air quality. The model applies interpolation to air quality and weather data and then uses a Convolutional Neural Network (CNN) to predict PM concentrations. The interpolation transforms the irregular spatial data into an equally spaced grid, which the model requires. This combination creates the interpolated CNN (ICNN) model that we use to predict PM10 and PM2.5 concentrations. The PM10 and PM2.5 evaluation results show an effective prediction performance with an R-squared higher than 0.97 and a root mean square error (RMSE) of approximately 16% of the standard deviation. Furthermore, both PM10 and PM2.5 prediction models forecast high concentrations with high reliability, with a probability of detection higher than 0.90 and a critical success index exceeding 0.85. The proposed ICNN prediction model achieves a high prediction performance using spatio-temporal information and presents a new direction in the prediction field.</w:t>
      </w:r>
    </w:p>
    <w:p>
      <w:pPr/>
      <w:r>
        <w:rPr>
          <w:b/>
        </w:rPr>
        <w:t>POSSIBLE 2019:</w:t>
      </w:r>
      <w:r>
        <w:t xml:space="preserve"> Distribution trends of European dragonflies under climate change — https://doi.org/10.1111/ddi.12913</w:t>
      </w:r>
    </w:p>
    <w:p>
      <w:pPr/>
      <w:r>
        <w:rPr>
          <w:b/>
        </w:rPr>
        <w:t>Shared claim-specific concepts:</w:t>
      </w:r>
      <w:r>
        <w:t xml:space="preserve"> furthermore, predicted, different; EU scope visible. This is a provisional connection, not an outcome finding.</w:t>
      </w:r>
    </w:p>
    <w:p>
      <w:pPr>
        <w:pStyle w:val="SourceNote"/>
      </w:pPr>
      <w:r>
        <w:rPr>
          <w:b/>
        </w:rPr>
        <w:t>Available abstract (not full text):</w:t>
      </w:r>
      <w:r>
        <w:t xml:space="preserve">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r>
        <w:rPr>
          <w:b/>
        </w:rPr>
        <w:t>POSSIBLE 2018:</w:t>
      </w:r>
      <w:r>
        <w:t xml:space="preserve"> Bayesian geostatistical modelling of PM10 and PM2.5 surface level concentrations in Europe using high-resolution satellite-derived products — https://doi.org/10.1016/j.envint.2018.08.041</w:t>
      </w:r>
    </w:p>
    <w:p>
      <w:pPr/>
      <w:r>
        <w:rPr>
          <w:b/>
        </w:rPr>
        <w:t>Shared claim-specific concepts:</w:t>
      </w:r>
      <w:r>
        <w:t xml:space="preserve"> pm10, concentrations, available; EU scope visible. This is a provisional connection, not an outcome finding.</w:t>
      </w:r>
    </w:p>
    <w:p>
      <w:pPr>
        <w:pStyle w:val="SourceNote"/>
      </w:pPr>
      <w:r>
        <w:rPr>
          <w:b/>
        </w:rPr>
        <w:t>Available abstract (not full text):</w:t>
      </w:r>
      <w:r>
        <w:t xml:space="preserve"> Air quality monitoring across Europe is mainly based on in situ ground stations, which are too sparse to accurately assess the exposure effects of air pollution for the entire continent. The demand for precise predictive models that estimate gridded geophysical parameters of ambient air at high spatial resolution has rapidly grown. Here, we investigate the potential of satellite-derived products to improve particulate matter ( PM ) estimates. Bayesian geostatistical models addressing confounding between the spatial distribution of pollutants and remotely sensed predictors were developed to estimate yearly averages of both, fine ( PM 2.5 ) and coarse ( PM 10 ) surface PM concentrations, at 1 km 2 spatial resolution over 46 European countries. Model outcomes were compared to geostatistical, geographically weighted and land-use regression formulations. Rigorous model selection identified the Earth observation data which contribute most to pollutants' estimation. Geostatistical models outperformed the predictive ability of the frequently employed land-use regression. The resulting estimates of PM 10 and PM 2.5 , which represent the main air quality indicators for the urban Sustainable Development Goal, indicate that in 2016, 66.2% of the European population was breathing air above the WHO air quality guidelines thresholds. Our estimates are readily available to policy makers and sc</w:t>
      </w:r>
    </w:p>
    <w:p>
      <w:pPr>
        <w:pStyle w:val="Heading2"/>
      </w:pPr>
      <w:r>
        <w:t>880.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2023:</w:t>
      </w:r>
      <w:r>
        <w:t xml:space="preserve"> Combined gastric and colorectal cancer endoscopic screening may be cost-effective in Europe with the implementation of artificial intelligence: an economic evaluation — https://doi.org/10.1097/meg.0000000000002680</w:t>
      </w:r>
    </w:p>
    <w:p>
      <w:pPr/>
      <w:r>
        <w:rPr>
          <w:b/>
        </w:rPr>
        <w:t>Shared claim-specific concepts:</w:t>
      </w:r>
      <w:r>
        <w:t xml:space="preserve"> combined, system; EU scope visible. This is a provisional connection, not an outcome finding.</w:t>
      </w:r>
    </w:p>
    <w:p>
      <w:pPr>
        <w:pStyle w:val="SourceNote"/>
      </w:pPr>
      <w:r>
        <w:rPr>
          <w:b/>
        </w:rPr>
        <w:t>Available abstract (not full text):</w:t>
      </w:r>
      <w:r>
        <w:t xml:space="preserve"> BACKGROUND/AIMS: Endoscopic screening for gastric cancer (GC) is not recommended in low-intermediate incidence countries. Artificial intelligence (AI) has high accuracy in GC detection and might increase the cost-effectiveness of screening strategies. We aimed to assess the cost-effectiveness of AI for GC detection in settings with different GC incidence and different accuracies of AI systems. METHODS: Cost-effectiveness analysis (using Markov model) comparing different screening strategies (no screening versus single esophagogastroduodenoscopy (EGD) at 50 years versus stand-alone EGD every 5/10 years versus combined EGD and screening colonoscopy once or twice per decade in Netherlands, Italy and Portugal) with variable AI accuracy settings. The primary outcome was the incremental cost-effectiveness ratio of the different strategies versus no screening. Deterministic and probabilistic sensitivity analyses were conducted. RESULTS: Without AI, one single EGD at 50 years (Netherlands, Italy, Portugal), EGD combined with screening colonoscopy once per decade (Italy and Portugal) and EGD combined with screening colonoscopy twice per decade (Portugal) are cost-effective when compared with no screening. If AI increases the accuracy of EGD by at least 1% in comparison to the accuracy of white-light endoscopy accuracy (89%), combined screening twice per decade also becomes cost-effectiv</w:t>
      </w:r>
    </w:p>
    <w:p>
      <w:pPr/>
      <w:r>
        <w:rPr>
          <w:b/>
        </w:rPr>
        <w:t>POSSIBLE 2023:</w:t>
      </w:r>
      <w:r>
        <w:t xml:space="preserve"> Observations from structural testing of full-scale tidal turbine blades — https://doi.org/10.36688/ewtec-2023-277</w:t>
      </w:r>
    </w:p>
    <w:p>
      <w:pPr/>
      <w:r>
        <w:rPr>
          <w:b/>
        </w:rPr>
        <w:t>Shared claim-specific concepts:</w:t>
      </w:r>
      <w:r>
        <w:t xml:space="preserve"> aim, combined, tidal, capacity, installed, energy; EU scope visible. This is a provisional connection, not an outcome finding.</w:t>
      </w:r>
    </w:p>
    <w:p>
      <w:pPr>
        <w:pStyle w:val="SourceNote"/>
      </w:pPr>
      <w:r>
        <w:rPr>
          <w:b/>
        </w:rPr>
        <w:t>Available abstract (not full text):</w:t>
      </w:r>
      <w:r>
        <w:t xml:space="preserve"> As the world shifts its reliance from fossil fuels to renewable energy, a reliable, predictable and dependable source of energy is vital; tidal energy provides such a solution. In 2021, the cumulative installed capacity of tidal stream energy in Europe, since 2010, reached 30.2 MW, which is roughly three times as much as the rest of the world. The total electricity produced in Europe from tidal energy increased by 8 GWh to a total of 68 GWh to date. The tidal turbine blades convert the energy in the tidal current to useful mechanical energy that can be converted to electricity. Therefore, the reliability of the blades is paramount to the success for the turbine. Structural testing of composite tidal turbine blades is performed to ensure the design and manufacturing processes [4] produce a reliable component that performs for its design life span. In recent years, a number of structural testing programmes have been performed on full-scale tidal turbine blades, as the sector strives for commercial viability. In this paper, observations during the structural (static, dynamic and fatigue) testing of full-scale tidal turbine blades are presented and discussed. These observations have been made from 5 testing campaigns on full-scale tidal turbine blades at the Large Structures Testing Laboratory in the SFI MaREI centre in the University of Galway. The length of these blades range fro</w:t>
      </w:r>
    </w:p>
    <w:p>
      <w:pPr/>
      <w:r>
        <w:rPr>
          <w:b/>
        </w:rPr>
        <w:t>POSSIBLE 2023:</w:t>
      </w:r>
      <w:r>
        <w:t xml:space="preserve"> Review and assessment of the German tidal energy resource — https://doi.org/10.1007/s40722-023-00309-7</w:t>
      </w:r>
    </w:p>
    <w:p>
      <w:pPr/>
      <w:r>
        <w:rPr>
          <w:b/>
        </w:rPr>
        <w:t>Shared claim-specific concepts:</w:t>
      </w:r>
      <w:r>
        <w:t xml:space="preserve"> tidal, energy, potential; EU scope visible. This is a provisional connection, not an outcome finding.</w:t>
      </w:r>
    </w:p>
    <w:p>
      <w:pPr>
        <w:pStyle w:val="SourceNote"/>
      </w:pPr>
      <w:r>
        <w:rPr>
          <w:b/>
        </w:rPr>
        <w:t>Available abstract (not full text):</w:t>
      </w:r>
      <w:r>
        <w:t xml:space="preserve"> Abstract To mitigate climate change, a transformation of the energy sector towards a low-emission power generation is necessary. Tidal energy technology has matured in recent years and has the potential to balance Europe’s future power grid. While reviews of the tidal energy resource exist for a number of European countries, along the German North Sea coast is overlooked so far. This paper closes this gap and provides a comprehensive review and assessment of the German tidal energy resource. Germany’s North Sea coast is characterised by comparatively low current velocities and shallow waters. Using available data from the EasyGSH-DB North Sea Model, Germany’s practical tidal energy resource is estimated in a range between 66.6 and 565.8 GWh y $$^{-1}$$ - 1 to, excluding the most energetic sites in the estuaries of Elbe, Weser, and Ems. A stakeholder questionnaire aimed at tidal energy technology developers has shown that it is considered important to further develop the technology towards the use in shallow water and under low current velocities.</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reach, energy, role,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2022:</w:t>
      </w:r>
      <w:r>
        <w:t xml:space="preserve"> Tidal stream to mainstream: mechanical testing of composite tidal stream blades to de-risk operational design life — https://doi.org/10.1007/s40722-022-00223-4</w:t>
      </w:r>
    </w:p>
    <w:p>
      <w:pPr/>
      <w:r>
        <w:rPr>
          <w:b/>
        </w:rPr>
        <w:t>Shared claim-specific concepts:</w:t>
      </w:r>
      <w:r>
        <w:t xml:space="preserve"> tidal, capacity, energy, potential, role; EU scope visible. This is a provisional connection, not an outcome finding.</w:t>
      </w:r>
    </w:p>
    <w:p>
      <w:pPr>
        <w:pStyle w:val="SourceNote"/>
      </w:pPr>
      <w:r>
        <w:rPr>
          <w:b/>
        </w:rPr>
        <w:t>Available abstract (not full text):</w:t>
      </w:r>
      <w:r>
        <w:t xml:space="preserve"> Tidal energy has seen a surge of interest in recent years with several companies developing technology to harness the power of the world's oceans where the operational capacity in Europe was over 11 MW in 2020. One such developer is the partnership of SCHOTTEL Hydro (Germany) and Sustainable Marine (UK) who have developed a scalable multi-turbine device equipped with 70 kW turbines and capable of operating in arrays at sites around the world. The technology to harness tidal energy is still at a relatively early stage of development; hence, de-risking of component parts plays a vital role on the road to commercialisation. Despite this, the number of tidal energy blades undergoing test programmes remains small. Two different rotor diameters have been developed for the aforementioned device such that it can be optimised for sites of varying potential. In this paper, a blade from each of the 4.0 m and 6.3 m diameter devices was tested for their responses in natural frequency, static loading and fatigue loading under test standards IEC 62600-3:2020 and DNVGL-ST-0164. Testing saw the survival of a blade in fatigue at a lifetime-equivalent load and the generation of natural frequency, strain and displacement results for both blades. Data generated from the testing as a whole will contribute to the modelling and validation of future tidal blades.</w:t>
      </w:r>
    </w:p>
    <w:p>
      <w:pPr/>
      <w:r>
        <w:rPr>
          <w:b/>
        </w:rPr>
        <w:t>POSSIBLE 2022:</w:t>
      </w:r>
      <w:r>
        <w:t xml:space="preserve"> Tidal energy-path towards sustainable energy: A technical review — https://doi.org/10.1016/j.cles.2022.100041</w:t>
      </w:r>
    </w:p>
    <w:p>
      <w:pPr/>
      <w:r>
        <w:rPr>
          <w:b/>
        </w:rPr>
        <w:t>Shared claim-specific concepts:</w:t>
      </w:r>
      <w:r>
        <w:t xml:space="preserve"> wave, tidal, capacity, installed, energy, system; EU scope not established. This is a provisional connection, not an outcome finding.</w:t>
      </w:r>
    </w:p>
    <w:p>
      <w:pPr>
        <w:pStyle w:val="SourceNote"/>
      </w:pPr>
      <w:r>
        <w:rPr>
          <w:b/>
        </w:rPr>
        <w:t>Available abstract (not full text):</w:t>
      </w:r>
      <w:r>
        <w:t xml:space="preserve"> The continuous demand for electricity, greenhouse gas emission, and diminution of fossil fuels have led to increased electricity production through renewable energy sources. The challenges of solar and wind energy systems have mostly shown unpredictable nature, so some countries are going towards electricity generation through the tidal energy system. Another advantage of the tidal energy system is that it can be used without requiring lavish grid updates. It demonstrates that increasing the generation duration at the fastest flow velocities while limiting the tidal device's capacity increases the installed system's capacity factor. The economic viability and market competitiveness of tidal energy are also attractive for electricity generation. This paper offers a review of several aspects of the tidal energy system. The assessment is done based on the resource allocation, modeling of the tidal energy system, control system of the tidal energy system, reliability assessment of tidal energy system, and application of optimization techniques in the area of the tidal energy system. Now a day's, reliability assessment is most important to identify the tidal energy system's maintainability, availability and fault rate. This paper also shows future assessment aspects of the tidal energy system and identifies stochastic turbulence, wave speed, sea depth, wave height, and peak wave per</w:t>
      </w:r>
    </w:p>
    <w:p>
      <w:pPr/>
      <w:r>
        <w:rPr>
          <w:b/>
        </w:rPr>
        <w:t>POSSIBLE 2021:</w:t>
      </w:r>
      <w:r>
        <w:t xml:space="preserve"> Review of Works Combining GNSS and InSAR in Europe — https://doi.org/10.3390/rs13091684</w:t>
      </w:r>
    </w:p>
    <w:p>
      <w:pPr/>
      <w:r>
        <w:rPr>
          <w:b/>
        </w:rPr>
        <w:t>Shared claim-specific concepts:</w:t>
      </w:r>
      <w:r>
        <w:t xml:space="preserve"> combined, system, remote; EU scope visible. This is a provisional connection, not an outcome finding.</w:t>
      </w:r>
    </w:p>
    <w:p>
      <w:pPr>
        <w:pStyle w:val="SourceNote"/>
      </w:pPr>
      <w:r>
        <w:rPr>
          <w:b/>
        </w:rPr>
        <w:t>Available abstract (not full text):</w:t>
      </w:r>
      <w:r>
        <w:t xml:space="preserve"> The Global Navigation Satellite System (GNSS) and Synthetic Aperture Radar Interferometry (InSAR) can be combined to achieve different goals, owing to their main principles. Both enable the collection of information about ground deformation due to the differences of two consequent acquisitions. Their variable applications, even if strictly related to ground deformation and water vapor determination, have encouraged the scientific community to combine GNSS and InSAR data and their derivable products. In this work, more than 190 scientific contributions were collected spanning the whole European continent. The spatial and temporal distribution of such studies, as well as the distinction in different fields of application, were analyzed. Research in Italy, as the most represented nation, with 47 scientific contributions, has been dedicated to the spatial and temporal distribution of its studied phenomena. The state-of-the-art of the various applications of these two combined techniques can improve the knowledge of the scientific community and help in the further development of new approaches or additional applications in different fields. The demonstrated usefulness and versability of the combination of GNSS and InSAR remote sensing techniques for different purposes, as well as the availability of free data, EUREF and GMS (Ground Motion Service), and the possibility of overcoming </w:t>
      </w:r>
    </w:p>
    <w:p>
      <w:pPr/>
      <w:r>
        <w:rPr>
          <w:b/>
        </w:rPr>
        <w:t>POSSIBLE 2021:</w:t>
      </w:r>
      <w:r>
        <w:t xml:space="preserve"> A review of component and system reliability in tidal turbine deployments — https://doi.org/10.1016/j.rser.2021.111495</w:t>
      </w:r>
    </w:p>
    <w:p>
      <w:pPr/>
      <w:r>
        <w:rPr>
          <w:b/>
        </w:rPr>
        <w:t>Shared claim-specific concepts:</w:t>
      </w:r>
      <w:r>
        <w:t xml:space="preserve"> tidal, energy, potential, system; EU scope not established. This is a provisional connection, not an outcome finding.</w:t>
      </w:r>
    </w:p>
    <w:p>
      <w:pPr>
        <w:pStyle w:val="SourceNote"/>
      </w:pPr>
      <w:r>
        <w:rPr>
          <w:b/>
        </w:rPr>
        <w:t>Available abstract (not full text):</w:t>
      </w:r>
      <w:r>
        <w:t xml:space="preserve"> Tidal stream energy has the potential to contribute to global renewable energy generation, but this remains largely untapped. Technical developments have helped create a nascent industry with several pre-commercial installations. However, planned projects experience a cautious investment climate due to perceived risk of failure, and maintenance and repair cost. This paper reviews 58 tidal stream energy deployments between 2003 and August 2020. The analysis reviews commonalities, success and engineering issues, to inform current and future projects. The work classifies each deployment by type, rated power, number of devices, grid connection and foundation. In each case, project status and (if appropriate) failure mode is identified. Failure modes are compared to deployment classification to identify potential relationships. Most deployments were of horizontal axis turbines. The majority (54%) of deployments performed well. 18% failed, 14% were withdrawn from service, and 14% generated less power than planned. The most common failure cause was blade failure, followed by generator and monitoring failures. Ducted devices and devices in high velocity locations were more likely to fail, suggesting that flow velocity is a key factor. Most blade failures were attributed to underestimation of loads during design. Floating deployments were less likely to fail than fixed deployments, but </w:t>
      </w:r>
    </w:p>
    <w:p>
      <w:pPr/>
      <w:r>
        <w:rPr>
          <w:b/>
        </w:rPr>
        <w:t>POSSIBLE 2021:</w:t>
      </w:r>
      <w:r>
        <w:t xml:space="preserve"> Dispatchability, Energy Security, and Reduced Capital Cost in Tidal-Wind and Tidal-Solar Energy Farms — https://doi.org/10.3390/en14248504</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The global tidal energy resource for electricity generation is small, and converting tidal kinetic energy to electricity is expensive compared to solar-photovoltaic or land-based wind turbine generators. However, as the renewable energy content in electricity supplies grows, the need to stabilise these supplies increases. This paper describes tidal energy’s potential to reduce intermittency and variability in electricity supplied from solar and wind power farms while lowering the capital expenditure needed to improve dispatchability. The paper provides a model and hypothetical case studies to demonstrate how sharing energy storage between tidal stream power generators and wind or solar power generators can mitigate the level, frequency, and duration of power loss from wind or solar PV farms. The improvements in dispatchability use tidal energy’s innate regularity and take account of tidal asymmetry and extended duration low-velocity neap tides. The case studies are based on a national assessment of Australian tidal energy resources carried out from 2018 to 2021.</w:t>
      </w:r>
    </w:p>
    <w:p>
      <w:pPr>
        <w:pStyle w:val="Heading2"/>
      </w:pPr>
      <w:r>
        <w:t>881.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POSSIBLE 2026:</w:t>
      </w:r>
      <w:r>
        <w:t xml:space="preserve"> Was there no alternative? Socialist debates and reform projects in late Cold War Europe and beyond — https://doi.org/10.1080/13507486.2025.2605543</w:t>
      </w:r>
    </w:p>
    <w:p>
      <w:pPr/>
      <w:r>
        <w:rPr>
          <w:b/>
        </w:rPr>
        <w:t>Shared claim-specific concepts:</w:t>
      </w:r>
      <w:r>
        <w:t xml:space="preserve"> two, alternative, concerning, various; EU scope visible. This is a provisional connection, not an outcome finding.</w:t>
      </w:r>
    </w:p>
    <w:p>
      <w:pPr>
        <w:pStyle w:val="SourceNote"/>
      </w:pPr>
      <w:r>
        <w:rPr>
          <w:b/>
        </w:rPr>
        <w:t>Available abstract (not full text):</w:t>
      </w:r>
      <w:r>
        <w:t xml:space="preserve"> This article introduces the contributions to the special issue, which focus on socialist debates and reform projects in late Cold War Europe and beyond. Drawing on recent scholarship concerning ‘neoliberalism’, East European 1989–91 transitions and global transformations in the 1970s and 1980s, the authors examine socialist-oriented languages, projects and policies of reform intended to address the transformative crises of global capitalism and the irreversible decline of the Soviet-type planned economy. The contributions to this special issue investigate the personal connections and professional relations between experts and policymakers for two purposes. First, they seek to enhance our understanding of the interplay between politics and economics in the two halves of Europe during the late Cold War and its aftermath. Secondly, they challenge the widespread narrative that describes the end of the ‘glorious thirties’ (1945–75) as the inevitable result of the ideological victory of ‘neoliberalism’, famously epitomized by Margaret Thatcher’s slogan ‘There is no alternative’ (TINA). As the case studies demonstrate, various alternatives based on the concept of ‘socialism’ were considered feasible in both Eastern and Western Europe, but lost momentum in the 1990s and early 2000s.</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Regulatory barriers and incentives for alternative proteins in the European Union and Australia–New Zealand — https://doi.org/10.1108/bfj-06-2024-0650</w:t>
      </w:r>
    </w:p>
    <w:p>
      <w:pPr/>
      <w:r>
        <w:rPr>
          <w:b/>
        </w:rPr>
        <w:t>Shared claim-specific concepts:</w:t>
      </w:r>
      <w:r>
        <w:t xml:space="preserve"> purpose, two, alternative; EU scope visible. This is a provisional connection, not an outcome finding.</w:t>
      </w:r>
    </w:p>
    <w:p>
      <w:pPr>
        <w:pStyle w:val="SourceNote"/>
      </w:pPr>
      <w:r>
        <w:rPr>
          <w:b/>
        </w:rPr>
        <w:t>Available abstract (not full text):</w:t>
      </w:r>
      <w:r>
        <w:t xml:space="preserve"> Purpose This paper aims to discuss the innovation challenge in the alternative protein sectors of the European Union (EU) and Australia-New Zealand (AUSNZ) by comparing their respective novel food frameworks. The study investigates which regulatory provisions stakeholders perceive as barriers to innovation and proposes measures to address these obstacles. Design/methodology/approach Alternative proteins are often legally classified as “novel foods” in both the EU and AUSNZ. A functional comparative legal analysis of the novel food frameworks of these two jurisdictions was conducted. Qualitative interviews with stakeholders active in the EU or AUSNZ alternative protein sectors complemented the legal analysis. The interviews aimed at gathering stakeholder perspectives on the framework within which they operate and discuss ways to foster innovation in their jurisdictions. Findings While the AUSNZ framework is generally perceived as more innovation-friendly, particularly regarding breakthrough innovations like cultivated meat, the EU is viewed as a challenging regulatory environment. The duration of the authorisation procedure, differing levels of communication and opportunities for dialogue between stakeholders and regulators, along with the political stances of EU member states, emerged as the main elements to explain such differences. In both jurisdictions, a lack of support for</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various, size;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r>
        <w:rPr>
          <w:b/>
        </w:rPr>
        <w:t>POSSIBLE 2022:</w:t>
      </w:r>
      <w:r>
        <w:t xml:space="preserve"> Alternative Histories of the White Cube: European Modernism and Mediterranean Vernacular — https://openalex.org/W7111654902</w:t>
      </w:r>
    </w:p>
    <w:p>
      <w:pPr/>
      <w:r>
        <w:rPr>
          <w:b/>
        </w:rPr>
        <w:t>Shared claim-specific concepts:</w:t>
      </w:r>
      <w:r>
        <w:t xml:space="preserve"> purpose, two, alternative, reference; EU scope visible. This is a provisional connection, not an outcome finding.</w:t>
      </w:r>
    </w:p>
    <w:p>
      <w:pPr>
        <w:pStyle w:val="SourceNote"/>
      </w:pPr>
      <w:r>
        <w:rPr>
          <w:b/>
        </w:rPr>
        <w:t>Available abstract (not full text):</w:t>
      </w:r>
      <w:r>
        <w:t xml:space="preserve"> This dissertation investigates historical formulations of the white cube as a link between European modernism and Mediterranean vernacular. Architectural history consistently presents white and cubical modernist designs as resulting from the gradual erasure of ornaments as marks of pastness. The first two chapters of this dissertation shift this paradigm by reframing the historical appearance of bare volumes as resulting not only from the removal of ornament but also from the introduction of Mediterranean vernacular as a shared modernist reference. For this purpose, this dissertation locates the origin of white and cubical designs by seminal architects Adolf Loos (1870-1933), Marcel Breuer (1902-1981), and Le Corbusier (1887-1965) in their encounters with vernacular buildings in Mediterranean countries. Upon their return to Northern Europe, they re-introduced the white façades, flat roofs, and modularity they observed in Greek island villages and North African medinas into their own architectural proposals. This first pair of chapters argues that these architects’ designs for modernist white cubes stem from a primitivist gaze upon the work of vernacular builders. Parallel this demonstration, the third and fourth chapters of this dissertation measure this modernist gaze against discourses formulated by localized Mediterranean figures invested in vernacular traditions. These prot</w:t>
      </w:r>
    </w:p>
    <w:p>
      <w:pPr/>
      <w:r>
        <w:rPr>
          <w:b/>
        </w:rPr>
        <w:t>POSSIBLE 2021:</w:t>
      </w:r>
      <w:r>
        <w:t xml:space="preserve"> LEGAL BASES OF PUBLIC ADMINISTRATION IN THE CONTEXT OF EUROPEAN INTEGRATION OF UKRAINE: QUESTIONS OF FORMATION OF A PERSONNEL RESERVE — https://openalex.org/W3210655204</w:t>
      </w:r>
    </w:p>
    <w:p>
      <w:pPr/>
      <w:r>
        <w:rPr>
          <w:b/>
        </w:rPr>
        <w:t>Shared claim-specific concepts:</w:t>
      </w:r>
      <w:r>
        <w:t xml:space="preserve"> questions, context, role, purpose; EU scope visible. This is a provisional connection, not an outcome finding.</w:t>
      </w:r>
    </w:p>
    <w:p>
      <w:pPr>
        <w:pStyle w:val="SourceNote"/>
      </w:pPr>
      <w:r>
        <w:rPr>
          <w:b/>
        </w:rPr>
        <w:t>Available abstract (not full text):</w:t>
      </w:r>
      <w:r>
        <w:t xml:space="preserve"> Taking into account the realities of the context of Ukraine's European integration, the article emphasizes that the world practice of reforming the public administration system is based on the concept of New Public Management (NPM). It is based on the conditions for maintaining transparency in the activities of public services, restructuring their work to increase efficiency and reduce costs. The purpose of this study is to show the features of the formation of human resources, knowledge, and competence management in the public service of Ukraine. Among the tasks of the study, the following were identified and solved: to analyze the current situation in managing the development of the competence potential of civil service employees in the legal and social aspect, to identify existing problems and shortcomings in this area, to substantiate the role of the competence-based approach as an integral part of the civil service (public administration) personnel management system.</w:t>
      </w:r>
    </w:p>
    <w:p>
      <w:pPr/>
      <w:r>
        <w:rPr>
          <w:b/>
        </w:rPr>
        <w:t>POSSIBLE 2021:</w:t>
      </w:r>
      <w:r>
        <w:t xml:space="preserve"> Food Production Harms in the European Context: The EU as an Enabler or a Solution? — https://doi.org/10.46692/9781529212358.008</w:t>
      </w:r>
    </w:p>
    <w:p>
      <w:pPr/>
      <w:r>
        <w:rPr>
          <w:b/>
        </w:rPr>
        <w:t>Shared claim-specific concepts:</w:t>
      </w:r>
      <w:r>
        <w:t xml:space="preserve"> context, involve, observed; EU scope visible. This is a provisional connection, not an outcome finding.</w:t>
      </w:r>
    </w:p>
    <w:p>
      <w:pPr>
        <w:pStyle w:val="SourceNote"/>
      </w:pPr>
      <w:r>
        <w:rPr>
          <w:b/>
        </w:rPr>
        <w:t>Available abstract (not full text):</w:t>
      </w:r>
      <w:r>
        <w:t xml:space="preserve"> Introduction Food is vitally important for human subsistence. Moreover, the nature of socio-environmental and politico-economic conditions is particularly intricate in the process of food production. This intricacy begs the question, ‘who is producing what kind of food, for whose benefit, and to whose disadvantage?’ (Moragues-Faus and Marsden, 2017: 281). This chapter poses the question of whether food production-focused research can also become the lens that helps to open up new lines of inquiry about what is ‘European’ about European white-collar crime. Even though both isolated deviancy and systemic harm feature in the fabric of modern food systems, criminological engagement with intersections of food, crime and harm has not been prolific (see Walters, 2007; Cheng, 2011; Croall, 2012). Once the concept of food crime was introduced by Croall in 2007, avenues for research included food fraud, food poisoning (Tombs and Whyte, 2010), food mislabelling (Croall, 2012), trade practices and environmental law (Walters, 2006), food pricing, exploitation in food production (Tombs and Whyte, 2007) and cruelty to animals (Agnew, 1998; Yates, 2007). The intersection of food and criminological research in the European context can be observed in The Routledge Handbook of White-Collar and Corporate Crime in Europe (2015), which invokes the topic of food crime in relation to food adulteration</w:t>
      </w:r>
    </w:p>
    <w:p>
      <w:pPr/>
      <w:r>
        <w:rPr>
          <w:b/>
        </w:rPr>
        <w:t>POSSIBLE 2021:</w:t>
      </w:r>
      <w:r>
        <w:t xml:space="preserve"> Educational use of animals in Europe indicates a reluctance to implement alternatives — https://doi.org/10.14573/altex.2011111</w:t>
      </w:r>
    </w:p>
    <w:p>
      <w:pPr/>
      <w:r>
        <w:rPr>
          <w:b/>
        </w:rPr>
        <w:t>Shared claim-specific concepts:</w:t>
      </w:r>
      <w:r>
        <w:t xml:space="preserve"> two, alternative, specific, questions; EU scope visible. This is a provisional connection, not an outcome finding.</w:t>
      </w:r>
    </w:p>
    <w:p>
      <w:pPr>
        <w:pStyle w:val="SourceNote"/>
      </w:pPr>
      <w:r>
        <w:rPr>
          <w:b/>
        </w:rPr>
        <w:t>Available abstract (not full text):</w:t>
      </w:r>
      <w:r>
        <w:t xml:space="preserve"> Animals have been considered an indispensable tool to teach about the functioning of living organisms, to obtain skills necessary for practicing human and veterinary medicine, as well as for acquiring skills for caring for and conducting experiments on animals in laboratories. However, the efficacy of this practice has been questioned in recent decades, and societal views have evolved to place a much stronger emphasis on animal welfare and ethics that needs to be reflected in our teaching and training practices. Currently, many alternatives to harmful animal use are available, and it is not clear why thousands of animals continue to be used every year for educational and training purposes. Therefore, this study aimed to identify reasons for the lack of uptake of non-harmful educational and training methods by analyzing recently published non-technical summaries in the EU and EEA Member States and to provide examples of alternatives for specific learning objectives. Results from non-technical summaries from 18 countries spanning the most recent years (2017-2019) revealed that the two main perceived reasons for continued animal use are: 1) the necessity to use a living animal for “proper” learning and 2) the lack of an adequate alternative. We argue that these reasons often do not reflect reality. In conclusion, we consider it is necessary to place a stronger emphasis on engageme</w:t>
      </w:r>
    </w:p>
    <w:p>
      <w:pPr/>
      <w:r>
        <w:rPr>
          <w:b/>
        </w:rPr>
        <w:t>POSSIBLE 2020:</w:t>
      </w:r>
      <w:r>
        <w:t xml:space="preserve"> The Latest Stage of the German Question: Pax Germanica in the New Europe — https://doi.org/10.4324/9781003100737-7</w:t>
      </w:r>
    </w:p>
    <w:p>
      <w:pPr/>
      <w:r>
        <w:rPr>
          <w:b/>
        </w:rPr>
        <w:t>Shared claim-specific concepts:</w:t>
      </w:r>
      <w:r>
        <w:t xml:space="preserve"> posed, context, concerning, well; EU scope visible. This is a provisional connection, not an outcome finding.</w:t>
      </w:r>
    </w:p>
    <w:p>
      <w:pPr>
        <w:pStyle w:val="SourceNote"/>
      </w:pPr>
      <w:r>
        <w:rPr>
          <w:b/>
        </w:rPr>
        <w:t>Available abstract (not full text):</w:t>
      </w:r>
      <w:r>
        <w:t xml:space="preserve"> This chapter argues that the problem posed concerning the ‘German question’ in its latest form is novel, not only in the context in which it has developed but in the form that it takes. Germany’s unification engendered the emergence of a new stage of the ‘German question’ that has dominated modern European political, economic and military relations for over a century. The traditional formulation of this problematique has always started from the working assumption that Germany’s elites have sought to expand their economic and territorial base beyond their universally-defined geographic borders. Arguments stressing benign effect of German unification for European security and economic development reflect one of three critical elements. Although they might combine aspects of more than one form, this intellectual approach is preponderantly functional, institutional or sociological. The debate between optimists and pessimists therefore really focuses on degree of German centrality in new European order, as well as implications for Germany’s position in Europe and for global stability.</w:t>
      </w:r>
    </w:p>
    <w:p>
      <w:pPr/>
      <w:r>
        <w:rPr>
          <w:b/>
        </w:rPr>
        <w:t>POSSIBLE 2020:</w:t>
      </w:r>
      <w:r>
        <w:t xml:space="preserve"> Forty questions of importance to the policy and practice of native oyster reef restoration in Europe — https://doi.org/10.1002/aqc.3462</w:t>
      </w:r>
    </w:p>
    <w:p>
      <w:pPr/>
      <w:r>
        <w:rPr>
          <w:b/>
        </w:rPr>
        <w:t>Shared claim-specific concepts:</w:t>
      </w:r>
      <w:r>
        <w:t xml:space="preserve"> questions, well, two; EU scope visible. This is a provisional connection, not an outcome finding.</w:t>
      </w:r>
    </w:p>
    <w:p>
      <w:pPr>
        <w:pStyle w:val="SourceNote"/>
      </w:pPr>
      <w:r>
        <w:rPr>
          <w:b/>
        </w:rPr>
        <w:t>Available abstract (not full text):</w:t>
      </w:r>
      <w:r>
        <w:t xml:space="preserve"> Abstract Oyster reefs are among the most threatened marine habitats globally. In Europe, oyster reefs have been extirpated from most locations within their historical range. Active restoration of the native oyster (Ostrea edulis) in Europe has grown substantially in recent years. In sharing experiences between oyster restoration projects in Europe at the Native Oyster Restoration Alliance conference, NORA2, in Edinburgh in May 2019, it became apparent that a number of similar barriers are experienced. This study identified the top 40 questions, which, if answered, would have the greatest influence on the policy and practice of oyster restoration in Europe. Initially 71 people were consulted across 28 institutions and 11 European countries to generate 194 questions. An established process of one round of pre‐workshop voting followed by a one‐day online workshop and two post‐workshop rounds of voting resulted in the final 40 questions. Questions were broadly grouped into the following 10 themes: baselines, site selection, restoration methods, quantifying benefits, disease management, biosecurity, genetic diversity and population differentiation, policy and management, novel technologies, and current and future threats. We anticipate that this list will provide a starting point for developing collaborative projects across the NORA network, as well as assisting policy makers and fu</w:t>
      </w:r>
    </w:p>
    <w:p>
      <w:pPr/>
      <w:r>
        <w:rPr>
          <w:b/>
        </w:rPr>
        <w:t>POSSIBLE 2020:</w:t>
      </w:r>
      <w:r>
        <w:t xml:space="preserve"> Marketing an alternative transport method in Finland and in Europe — https://openalex.org/W3083452434</w:t>
      </w:r>
    </w:p>
    <w:p>
      <w:pPr/>
      <w:r>
        <w:rPr>
          <w:b/>
        </w:rPr>
        <w:t>Shared claim-specific concepts:</w:t>
      </w:r>
      <w:r>
        <w:t xml:space="preserve"> purpose, alternative, specific; EU scope visible. This is a provisional connection, not an outcome finding.</w:t>
      </w:r>
    </w:p>
    <w:p>
      <w:pPr>
        <w:pStyle w:val="SourceNote"/>
      </w:pPr>
      <w:r>
        <w:rPr>
          <w:b/>
        </w:rPr>
        <w:t>Available abstract (not full text):</w:t>
      </w:r>
      <w:r>
        <w:t xml:space="preserve"> This Bachelor’s thesis examines the relevant marketing methods required for the successful marketing of a transport method in the Finnish market and the European market. \n \nThe primary goal of the study was to offer information to the case company on the topic of digital marketing. The main focus was to understand which methods of digital marketing would be the most effective to implement for the purpose of marketing to customers in Finland and in Europe. \n \nThe thesis consists of a section dedicated to the theory of this subject as well as a section focused on the empirical research conducted for the case company. The theory section discusses the different types of digital marketing and how a company is able to choose and implement digital marketing. The considerations which must be made when considering global marketing are also discussed as part of the theory for this thesis. The empirical section of the thesis focuses on understanding which digital marketing methods companies similar to the case company implement and which digital marketing methods the current customers of the case company prefer. The study included qualitative and quantitative methods. The first phase of research involved benchmarking of the digital marketing channels of the competitors of the case company. The second phase involved a survey which was sent to the current customers of the case company v</w:t>
      </w:r>
    </w:p>
    <w:p>
      <w:pPr>
        <w:pStyle w:val="Heading2"/>
      </w:pPr>
      <w:r>
        <w:t>882.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2021:</w:t>
      </w:r>
      <w:r>
        <w:t xml:space="preserve"> The role of market drivers in explaining the EU milk supply after the milk quota abolition — https://doi.org/10.1016/j.eap.2021.11.020</w:t>
      </w:r>
    </w:p>
    <w:p>
      <w:pPr/>
      <w:r>
        <w:rPr>
          <w:b/>
        </w:rPr>
        <w:t>Shared claim-specific concepts:</w:t>
      </w:r>
      <w:r>
        <w:t xml:space="preserve"> milk, yield, data, respectively; EU scope visible. This is a provisional connection, not an outcome finding.</w:t>
      </w:r>
    </w:p>
    <w:p>
      <w:pPr>
        <w:pStyle w:val="SourceNote"/>
      </w:pPr>
      <w:r>
        <w:rPr>
          <w:b/>
        </w:rPr>
        <w:t>Available abstract (not full text):</w:t>
      </w:r>
      <w:r>
        <w:t xml:space="preserve"> The abolition of the EU milk quota system since 2015 has allowed the dairy sector to fully react to market forces. This change should be properly reflected within the tools that support the design of EU/national policy interventions. This paper focuses on updating the milk supply responses at EU member state level in a context where still limited data is available. Using a Mixed Estimator a set of equations for the yield per cow and the size of the dairy herd, has been estimated, leaving the milk supply derived as an identity. An important outcome of this study is that milk supply at country level is inelastic, with the (short-run) yield and herd milk price elasticities being 0.2 and 0.1 respectively. The study concludes that two thirds of the impact of a milk price change is resulting from dairy cow yield changes, while a third is resulting from changes in the number of dairy cows.</w:t>
      </w:r>
    </w:p>
    <w:p>
      <w:pPr/>
      <w:r>
        <w:rPr>
          <w:b/>
        </w:rPr>
        <w:t>POSSIBLE 2021:</w:t>
      </w:r>
      <w:r>
        <w:t xml:space="preserve"> Innovating feeding strategies in dairy sheep farming can reduce environmental impact of ewe milk — https://doi.org/10.1080/1828051x.2021.2003726</w:t>
      </w:r>
    </w:p>
    <w:p>
      <w:pPr/>
      <w:r>
        <w:rPr>
          <w:b/>
        </w:rPr>
        <w:t>Shared claim-specific concepts:</w:t>
      </w:r>
      <w:r>
        <w:t xml:space="preserve"> average, milk, compared; EU scope visible. This is a provisional connection, not an outcome finding.</w:t>
      </w:r>
    </w:p>
    <w:p>
      <w:pPr>
        <w:pStyle w:val="SourceNote"/>
      </w:pPr>
      <w:r>
        <w:rPr>
          <w:b/>
        </w:rPr>
        <w:t>Available abstract (not full text):</w:t>
      </w:r>
      <w:r>
        <w:t xml:space="preserve"> Dairy sheep systems are relevant for the economy of many rural areas of the Mediterranean Basin and the optimisation of their productive factors is necessary to improve their competitiveness and to reduce their environmental impact. The objective of this study was to assess, through a farm-scale life cycle assessment (LCA) approach, the potential of reducing environmental impacts on ewe milk of an innovative farming system (IF), based on the adoption of a precision feeding approach to improve milk production and quality, compared with a conventional farming system (CF) in dairy sheep farms in Tuscany region, Italy. The LCA analysis was carried out through a cradle-to-farm-gate LCA, comparing three conventional farms with three innovative farms, using 1 kg of fat protein corrected milk (FPCM) as a functional unit. The Small Ruminants Module of Nutritional Dynamic System (NDS) software was used to estimate methane emissions due to enteric fermentation. The introduction of precision feeding strategy reduced the environmental impacts of ewe milk as a consequence of the increased milk production efficiency (+50%). Indeed, the environmental impact of ewe milk was reduced in IF by 42% as the average of the impact categories being significantly different between the two farming systems.HighlightsPrecision feeding is recognised as a strategy to mitigate the environmental impacts of rumi</w:t>
      </w:r>
    </w:p>
    <w:p>
      <w:pPr/>
      <w:r>
        <w:rPr>
          <w:b/>
        </w:rPr>
        <w:t>POSSIBLE 2021:</w:t>
      </w:r>
      <w:r>
        <w:t xml:space="preserve"> Whole Genome DNA Methylation Variations in Mammary Gland Tissues from Holstein Cattle Producing Milk with Various Fat and Protein Contents — https://doi.org/10.3390/genes12111727</w:t>
      </w:r>
    </w:p>
    <w:p>
      <w:pPr/>
      <w:r>
        <w:rPr>
          <w:b/>
        </w:rPr>
        <w:t>Shared claim-specific concepts:</w:t>
      </w:r>
      <w:r>
        <w:t xml:space="preserve"> milk, yield, respectively; EU scope not established. This is a provisional connection, not an outcome finding.</w:t>
      </w:r>
    </w:p>
    <w:p>
      <w:pPr>
        <w:pStyle w:val="SourceNote"/>
      </w:pPr>
      <w:r>
        <w:rPr>
          <w:b/>
        </w:rPr>
        <w:t>Available abstract (not full text):</w:t>
      </w:r>
      <w:r>
        <w:t xml:space="preserve"> Milk fat and protein contents are among key elements of milk quality, and they are attracting more attention in response to consumers′ demand for high-quality dairy products. To investigate the potential regulatory roles of DNA methylation underlying milk component yield, whole genome bisulfite sequencing was employed to profile the global DNA methylation patterns of mammary gland tissues from 17 Canada Holstein cows with various milk fat and protein contents. A total of 706, 2420 and 1645 differentially methylated CpG sites (DMCs) were found between high vs. low milk fat (HMF vs. LMF), high vs. low milk protein (HMP vs. LMP), and high vs. low milk fat and protein (HMFP vs. LMFP) groups, respectively (q value &lt; 0.1). Twenty-seven, 56 and 67 genes harboring DMCs in gene regions (denoted DMC genes) were identified for HMF vs. LMF, HMP vs. LMP and HMFP vs. LMFP, respectively. DMC genes from HMP vs. LMP and HMFP vs. LMFP comparisons were significantly overrepresented in GO terms related to aerobic electron transport chain and/or mitochondrial ATP (adenosine triphosphate) synthesis coupled electron transport. A total of 83 (HMF vs. LMF), 708 (HMP vs. LMP) and 408 (HMFP vs. LMFP) DMCs were co-located with 87, 147 and 158 quantitative trait loci (QTL) for milk component and yield traits, respectively. In conclusion, the identified methylation changes are potentially involved in the re</w:t>
      </w:r>
    </w:p>
    <w:p>
      <w:pPr/>
      <w:r>
        <w:rPr>
          <w:b/>
        </w:rPr>
        <w:t>POSSIBLE 2020:</w:t>
      </w:r>
      <w:r>
        <w:t xml:space="preserve"> European Agriculture after Brexit: Does Anyone Benefit from the Divorce? — https://doi.org/10.1111/1477-9552.12396</w:t>
      </w:r>
    </w:p>
    <w:p>
      <w:pPr/>
      <w:r>
        <w:rPr>
          <w:b/>
        </w:rPr>
        <w:t>Shared claim-specific concepts:</w:t>
      </w:r>
      <w:r>
        <w:t xml:space="preserve"> capri, increase; EU scope visible. This is a provisional connection, not an outcome finding.</w:t>
      </w:r>
    </w:p>
    <w:p>
      <w:pPr>
        <w:pStyle w:val="SourceNote"/>
      </w:pPr>
      <w:r>
        <w:rPr>
          <w:b/>
        </w:rPr>
        <w:t>Available abstract (not full text):</w:t>
      </w:r>
      <w:r>
        <w:t xml:space="preserve"> Abstract The UK exited the EU on 31 January 2020, with a transition period agreed as part of the Withdrawal Agreement. During this transition period the UK and the EU will decide on their future trading relationship. No matter what form this relationship takes, there will be disturbances to agri‐food markets. This study analyses four different scenarios with increasing barriers to trade, ranging from a very close relationship similar to the European Economic Area to a distant relationship in which the UK and EU trade on Most Favoured Nation terms, using the EU focused global agricultural sector model CAPRI. In the UK, food prices will increase in all scenarios, making consumers in the UK the biggest losers. Only in a free trade agreement scenario does the UK show an unambiguous positive net welfare gain in just the agri‐food sector. In the case of the European Economic Area scenario, which assumes continued access to the single market, the net welfare impact would depend on the size of the UK’s continued contribution to the EU. In the EU, declining food prices would benefit consumers but the sum of the loss in farmers’ incomes and the UK’s EU CAP contribution would be much greater than the consumer’s gain. These impacts in agricultural markets under different future trade arrangements will also be influenced by the UK’s agricultural policy changes in direct payments as well as </w:t>
      </w:r>
    </w:p>
    <w:p>
      <w:pPr/>
      <w:r>
        <w:rPr>
          <w:b/>
        </w:rPr>
        <w:t>POSSIBLE 2020:</w:t>
      </w:r>
      <w:r>
        <w:t xml:space="preserve"> Nitrogen Surplus—A Unified Indicator for Water Pollution in Europe? — https://doi.org/10.3390/w12041197</w:t>
      </w:r>
    </w:p>
    <w:p>
      <w:pPr/>
      <w:r>
        <w:rPr>
          <w:b/>
        </w:rPr>
        <w:t>Shared claim-specific concepts:</w:t>
      </w:r>
      <w:r>
        <w:t xml:space="preserve"> according, increase, data; EU scope visible. This is a provisional connection, not an outcome finding.</w:t>
      </w:r>
    </w:p>
    <w:p>
      <w:pPr>
        <w:pStyle w:val="SourceNote"/>
      </w:pPr>
      <w:r>
        <w:rPr>
          <w:b/>
        </w:rPr>
        <w:t>Available abstract (not full text):</w:t>
      </w:r>
      <w:r>
        <w:t xml:space="preserve"> Pollution of ground-and surface waters with nitrates from agricultural sources poses a risk to drinking water quality and has negative impacts on the environment. At the national scale, the gross nitrogen budget (GNB) is accepted as an indicator of pollution caused by nitrates. There is, however, little common EU-wide knowledge on the budget application and its comparability at the farm level for the detection of ground-and surface water pollution caused by nitrates and the monitoring of mitigation measures. Therefore, a survey was carried out among experts of various European countries in order to assess the practice and application of fertilization planning and nitrogen budgeting at the farm level and the differences between countries within Europe. While fertilization planning is practiced in all of the fourteen countries analyzed in this paper, according to current legislation, nitrogen budgets have to be calculated only in Switzerland, Germany and Romania. The survey revealed that methods of fertilization planning and nitrogen budgeting at the farm level are not unified throughout Europe. In most of the cases where budgets are used regularly (Germany, Romania, Switzerland), standard values for the chemical composition of feed, organic fertilizers, animal and plant products are used. The example of the Dutch Annual Nutrient Cycling Assessment (ANCA) tool (and partly of the </w:t>
      </w:r>
    </w:p>
    <w:p>
      <w:pPr/>
      <w:r>
        <w:rPr>
          <w:b/>
        </w:rPr>
        <w:t>POSSIBLE 2019:</w:t>
      </w:r>
      <w:r>
        <w:t xml:space="preserve"> Blind prediction of homo‐ and hetero‐protein complexes: The CASP13‐CAPRI experiment — https://doi.org/10.1002/prot.25838</w:t>
      </w:r>
    </w:p>
    <w:p>
      <w:pPr/>
      <w:r>
        <w:rPr>
          <w:b/>
        </w:rPr>
        <w:t>Shared claim-specific concepts:</w:t>
      </w:r>
      <w:r>
        <w:t xml:space="preserve"> capri, average, data; EU scope not established. This is a provisional connection, not an outcome finding.</w:t>
      </w:r>
    </w:p>
    <w:p>
      <w:pPr>
        <w:pStyle w:val="SourceNote"/>
      </w:pPr>
      <w:r>
        <w:rPr>
          <w:b/>
        </w:rPr>
        <w:t>Available abstract (not full text):</w:t>
      </w:r>
      <w:r>
        <w:t xml:space="preserve"> We present the results for CAPRI Round 46, the third joint CASP-CAPRI protein assembly prediction challenge. The Round comprised a total of 20 targets including 14 homo-oligomers and 6 heterocomplexes. Eight of the homo-oligomer targets and one heterodimer comprised proteins that could be readily modeled using templates from the Protein Data Bank, often available for the full assembly. The remaining 11 targets comprised 5 homodimers, 3 heterodimers, and two higher-order assemblies. These were more difficult to model, as their prediction mainly involved "ab-initio" docking of subunit models derived from distantly related templates. A total of ~30 CAPRI groups, including 9 automatic servers, submitted on average ~2000 models per target. About 17 groups participated in the CAPRI scoring rounds, offered for most targets, submitting ~170 models per target. The prediction performance, measured by the fraction of models of acceptable quality or higher submitted across all predictors groups, was very good to excellent for the nine easy targets. Poorer performance was achieved by predictors for the 11 difficult targets, with medium and high quality models submitted for only 3 of these targets. A similar performance "gap" was displayed by scorer groups, highlighting yet again the unmet challenge of modeling the conformational changes of the protein components that occur upon binding or t</w:t>
      </w:r>
    </w:p>
    <w:p>
      <w:pPr/>
      <w:r>
        <w:rPr>
          <w:b/>
        </w:rPr>
        <w:t>POSSIBLE 2017:</w:t>
      </w:r>
      <w:r>
        <w:t xml:space="preserve"> Lignocellulosic Crops in Europe: Integrating Crop Yield Potentials with Land Potentials — https://doi.org/10.6092/unibo/amsdottorato/7854</w:t>
      </w:r>
    </w:p>
    <w:p>
      <w:pPr/>
      <w:r>
        <w:rPr>
          <w:b/>
        </w:rPr>
        <w:t>Shared claim-specific concepts:</w:t>
      </w:r>
      <w:r>
        <w:t xml:space="preserve"> according, capri, yield, data; EU scope visible. This is a provisional connection, not an outcome finding.</w:t>
      </w:r>
    </w:p>
    <w:p>
      <w:pPr>
        <w:pStyle w:val="SourceNote"/>
      </w:pPr>
      <w:r>
        <w:rPr>
          <w:b/>
        </w:rPr>
        <w:t>Available abstract (not full text):</w:t>
      </w:r>
      <w:r>
        <w:t xml:space="preserve"> Given the ambitious EU targets to further decarbonise the economy, it can be expected that the demand for lignocellulosic biomass will continue to grow. Provisioning of part of this biomass by dedicated biomass crops becomes an option. This study presents integrated approach for crop allocation based on land availability and crop requirements. The model analysis to investigate the potential extension of unused land and its suitability for lignocellulosic crops was carried out in 37 European countries at the NUTS3 level. The CAPRI model predicts future land use changes and was used as a basic input to assess the agricultural biomass potentials in Europe. It was then identified the total land resource with a post-modeling assessment for three different potentials to the year 2020 and 2030, according to sustainability criteria formulated in the Renewable Energy directive (RED). Furthermore, crop-specific suitability maps were generated for each crop based on the variability of biophysical factors such as climate, soil properties and topographical aspects. The yields and cost levels that can be reached in Europe with different perennial crops in different climatic, soil and management situations. The AquaCrop model developed by FAO was used and fed with phenological parameters per crop and detailed weather data to simulate the crop growth in all European Nuts 3 regions. Yield level</w:t>
      </w:r>
    </w:p>
    <w:p>
      <w:pPr>
        <w:pStyle w:val="Heading2"/>
      </w:pPr>
      <w:r>
        <w:t>883.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2024:</w:t>
      </w:r>
      <w:r>
        <w:t xml:space="preserve"> European maps of crop / livestock categories and N budget parameters (timeseries 2000 – 2018) based on disaggregated CAPRI model data — https://doi.org/10.5194/egusphere-egu24-18505</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agricultural sector holds the greatest reduction potential to limit adverse effects of reactive nitrogen in the environment. Assessing the negative impacts of excessive release of reactive nitrogen into the biosphere requires spatially explicit information to capture e.g. hot spots of nitrogen surplus, nitrogen use efficiency, the impact on sensitive ecosystems or on ground/drinking water quality.The agricultural economic model CAPRI is one of the main tools applied by the European Commission for the ex-ante analysis of the impact of agricultural policies and agro-environmental legislation at regional level (NUTS2) in Europe. CAPRI builds on long-term time series of regional, national and international agricultural statistics (e.g. crop and livestock production, fertilizer use), market and trade data. Inputs (e.g. inorganic fertilizer) in CAPRI are explicitly linked to production which delivers the basis for connecting environmental indicators (e.g. nitrogen surplus) directly to individual activities.To provide the link between the agro-economic model CAPRI and the impact assessment of nitrogen use in agriculture on the environment at higher spatial resolution, we developed a procedure to disaggregate CAPRI regional data and provide maps of nitrogen input/output, crop and livestock production for the time series 2000 – 2018 at the level of Farm Structure Units (FSU) for 26 </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based,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A simple method for preserving pollen viability and longevity in wheat — https://doi.org/10.21203/rs.3.rs-2580944/v1</w:t>
      </w:r>
    </w:p>
    <w:p>
      <w:pPr/>
      <w:r>
        <w:rPr>
          <w:b/>
        </w:rPr>
        <w:t>Shared claim-specific concepts:</w:t>
      </w:r>
      <w:r>
        <w:t xml:space="preserve"> based, wheat, determine; EU scope not established. This is a provisional connection, not an outcome finding.</w:t>
      </w:r>
    </w:p>
    <w:p>
      <w:pPr>
        <w:pStyle w:val="SourceNote"/>
      </w:pPr>
      <w:r>
        <w:rPr>
          <w:b/>
        </w:rPr>
        <w:t>Available abstract (not full text):</w:t>
      </w:r>
      <w:r>
        <w:t xml:space="preserve"> Abstract Wheat pollen grains have very short longevity and are non-viable after ~30 minute at room temperature and ~60 minutes at 4°C. Pollen grain viability can be prolonged to ~24 hrs with existing anther preservation methods. Herein, we developed a new and very simple method of spike preservation to prolong pollen viability up to 1 week. The present study was evaluated to determine the effect of storage temperature and duration on the viability and in vitro germination of pollen grains of 50 spring wheat genotypes from two preservation methods of pollens viz, Anther preservation method and Spike preservation method. Pollens collected from both methods were stored at room temperature (22°C), fridge (4°C) for 0 and 1 week. Pollen viability were assessed using Alexander staining techniques with both methods at storage conditions 22°C and 4°C. In vitro germination was determined using liquid germination medium with both methods at 4°C. The results revealed that the pollen viability and in vitro germination as determined by Spike preservation method was highest when pollens were stored at 4°C up to 1 week. In addition, in vitro pollen germination and pollen viability significantly reduced as storage duration increased. It was recorded, that no pollen germination was observed under anther preservation method at storage conditions 4°C after 1 week while 2 to 14% pollen germination </w:t>
      </w:r>
    </w:p>
    <w:p>
      <w:pPr/>
      <w:r>
        <w:rPr>
          <w:b/>
        </w:rPr>
        <w:t>POSSIBLE 2021:</w:t>
      </w:r>
      <w:r>
        <w:t xml:space="preserve"> Improved modelling framework for assessing the interactions between the energy, agriculture, forestry and land use change sectors: Integrating the CAPRI, LUISA-BEES, CBM and POTEnCIA models — https://doi.org/10.2760/900305</w:t>
      </w:r>
    </w:p>
    <w:p>
      <w:pPr/>
      <w:r>
        <w:rPr>
          <w:b/>
        </w:rPr>
        <w:t>Shared claim-specific concepts:</w:t>
      </w:r>
      <w:r>
        <w:t xml:space="preserve"> based, capri, dynamics; EU scope visible. This is a provisional connection, not an outcome finding.</w:t>
      </w:r>
    </w:p>
    <w:p>
      <w:pPr>
        <w:pStyle w:val="SourceNote"/>
      </w:pPr>
      <w:r>
        <w:rPr>
          <w:b/>
        </w:rPr>
        <w:t>Available abstract (not full text):</w:t>
      </w:r>
      <w:r>
        <w:t xml:space="preserve"> This report is an attempt to develop a modelling framework integrating different sectoral stand-alone models used at the JRC for policy impact assessment in the fields of agriculture, forestry, land use change and energy. The proposed quantitative framework should improve the capability of assessing greenhouse gas emissions and removals resulting from complex interactions between the agriculture, forestry, and other land use (AFOLU) sectors, and facilitate the analysis of policy scenarios relevant for a sustainable and carbon-neutral European economy. Four models are considered, for which a revised model specification and harmonization of relevant databases and model parameters is needed. The Common Agricultural Policy Regionalized Impact (CAPRI) Modelling System is a widely used large-scale multi-commodity agricultural economic model. The Land Use-based Integrated Sustainability Assessment modelling platform for BioEconomy and Ecosystem Services (LUISA-BEES) is primarily used for the ex-ante evaluation of European policies that have a direct or indirect territorial impact on the agricultural and forestry sectors. The Carbon Budget Model (CBM) is a stand-alone forestry model that simulates forest carbon dynamics. The Policy Oriented Tool for Energy and Climate Change Impact Assessment (POTEnCIA) model depicts a detailed EU energy system combining both techno-economic modules. A</w:t>
      </w:r>
    </w:p>
    <w:p>
      <w:pPr/>
      <w:r>
        <w:rPr>
          <w:b/>
        </w:rPr>
        <w:t>POSSIBLE 2021:</w:t>
      </w:r>
      <w:r>
        <w:t xml:space="preserve"> Co-benefits of a flexitarian diet for air quality and human health in Europe — https://doi.org/10.1016/j.ecolecon.2021.107232</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Agriculture is a major source of air pollution in Europe, with adverse impacts on human health. Having recognized the serious health outcomes, and in direct response to public demand for a cleaner environment, European public policies are aiming to reduce air pollution. This study proposes a shift to more plant-based human diets to help achieve bold reduction targets for air pollution from agriculture. To assess the potential reduction in agricultural air pollution, we combine a large-scale partial equilibrium model for agriculture (CAPRI) with an atmospheric chemistry model (WRF-Chem). The health impacts from improved air quality are summarized as premature mortality rates, which are estimated from simulated changes in annual mean PM2.5 concentrations. We find that a shift to plant-based (flexitarian) diets would reduce ammonia emissions by 33% in the European Union (EU), generating significant co-benefits for air quality and human health. The economic benefits from improved human health would also largely mitigate the economic losses in the agricultural sector (39% in the EU and 49% in Europe as a whole). Our results suggest that, by shifting to plant-based human diets, European agriculture could significantly contribute to the targets in the EU Zero Pollution Action Plan.</w:t>
      </w:r>
    </w:p>
    <w:p>
      <w:pPr/>
      <w:r>
        <w:rPr>
          <w:b/>
        </w:rPr>
        <w:t>POSSIBLE 2020:</w:t>
      </w:r>
      <w:r>
        <w:t xml:space="preserve"> European Agriculture after Brexit: Does Anyone Benefit from the Divorce? — https://doi.org/10.1111/1477-9552.12396</w:t>
      </w:r>
    </w:p>
    <w:p>
      <w:pPr/>
      <w:r>
        <w:rPr>
          <w:b/>
        </w:rPr>
        <w:t>Shared claim-specific concepts:</w:t>
      </w:r>
      <w:r>
        <w:t xml:space="preserve"> capri, increase; EU scope visible. This is a provisional connection, not an outcome finding.</w:t>
      </w:r>
    </w:p>
    <w:p>
      <w:pPr>
        <w:pStyle w:val="SourceNote"/>
      </w:pPr>
      <w:r>
        <w:rPr>
          <w:b/>
        </w:rPr>
        <w:t>Available abstract (not full text):</w:t>
      </w:r>
      <w:r>
        <w:t xml:space="preserve"> Abstract The UK exited the EU on 31 January 2020, with a transition period agreed as part of the Withdrawal Agreement. During this transition period the UK and the EU will decide on their future trading relationship. No matter what form this relationship takes, there will be disturbances to agri‐food markets. This study analyses four different scenarios with increasing barriers to trade, ranging from a very close relationship similar to the European Economic Area to a distant relationship in which the UK and EU trade on Most Favoured Nation terms, using the EU focused global agricultural sector model CAPRI. In the UK, food prices will increase in all scenarios, making consumers in the UK the biggest losers. Only in a free trade agreement scenario does the UK show an unambiguous positive net welfare gain in just the agri‐food sector. In the case of the European Economic Area scenario, which assumes continued access to the single market, the net welfare impact would depend on the size of the UK’s continued contribution to the EU. In the EU, declining food prices would benefit consumers but the sum of the loss in farmers’ incomes and the UK’s EU CAP contribution would be much greater than the consumer’s gain. These impacts in agricultural markets under different future trade arrangements will also be influenced by the UK’s agricultural policy changes in direct payments as well as </w:t>
      </w:r>
    </w:p>
    <w:p>
      <w:pPr/>
      <w:r>
        <w:rPr>
          <w:b/>
        </w:rPr>
        <w:t>POSSIBLE 2020:</w:t>
      </w:r>
      <w:r>
        <w:t xml:space="preserve"> To Study the Heat Resistance Features of Bread Wheat Varieties and Species for the Southern Regions of the Republic of Uzbekistan — https://doi.org/10.24247/ijmperdjun20201342</w:t>
      </w:r>
    </w:p>
    <w:p>
      <w:pPr/>
      <w:r>
        <w:rPr>
          <w:b/>
        </w:rPr>
        <w:t>Shared claim-specific concepts:</w:t>
      </w:r>
      <w:r>
        <w:t xml:space="preserve"> wheat, yield, determine; EU scope not established. This is a provisional connection, not an outcome finding.</w:t>
      </w:r>
    </w:p>
    <w:p>
      <w:pPr>
        <w:pStyle w:val="SourceNote"/>
      </w:pPr>
      <w:r>
        <w:rPr>
          <w:b/>
        </w:rPr>
        <w:t>Available abstract (not full text):</w:t>
      </w:r>
      <w:r>
        <w:t xml:space="preserve"> Wheat (Triticum aestivum L.) is considered one of the world's most important cereal crops.Every year 704 million tons of grain is produced worldwide.Bread wheat croplands cover 17% of the total crop area.In recent years, sudden changes in air temperatures have a negative impact on the morphological, physiological, biochemical and molecular properties of wheat and grain yield.Therefore, it is important to create high-yielding and resistant varieties of bread wheat to abiotic factors and to develop its primary source in the condition of different regions.In the result of this study, the influence of high temperature which varied from 30°С and above continuously during spiking and maturation period of grain, especially in the period of grain filling, on grain quality and productivity has been studied thoroughly for southern parts of Uzbekistan.Mostly, winter bread wheat varieties are grown in these southern regions.The optimal sowing time in autumn season is the second decade of October.In order to determine the heat resistance of the winter wheat varieties that are mostly grown in the Republic and selected in the result of breeding, the experiments and observations were carried out on optimal and late sowing periods.The optimal planting time was found to be appropriate on the 15 th of October and for late sowing the 15 th of November.At the same time, late sown varieties and samp</w:t>
      </w:r>
    </w:p>
    <w:p>
      <w:pPr/>
      <w:r>
        <w:rPr>
          <w:b/>
        </w:rPr>
        <w:t>POSSIBLE 2019:</w:t>
      </w:r>
      <w:r>
        <w:t xml:space="preserve"> Blind prediction of homo‐ and hetero‐protein complexes: The CASP13‐CAPRI experiment — https://doi.org/10.1002/prot.25838</w:t>
      </w:r>
    </w:p>
    <w:p>
      <w:pPr/>
      <w:r>
        <w:rPr>
          <w:b/>
        </w:rPr>
        <w:t>Shared claim-specific concepts:</w:t>
      </w:r>
      <w:r>
        <w:t xml:space="preserve"> capri, average; EU scope not established. This is a provisional connection, not an outcome finding.</w:t>
      </w:r>
    </w:p>
    <w:p>
      <w:pPr>
        <w:pStyle w:val="SourceNote"/>
      </w:pPr>
      <w:r>
        <w:rPr>
          <w:b/>
        </w:rPr>
        <w:t>Available abstract (not full text):</w:t>
      </w:r>
      <w:r>
        <w:t xml:space="preserve"> We present the results for CAPRI Round 46, the third joint CASP-CAPRI protein assembly prediction challenge. The Round comprised a total of 20 targets including 14 homo-oligomers and 6 heterocomplexes. Eight of the homo-oligomer targets and one heterodimer comprised proteins that could be readily modeled using templates from the Protein Data Bank, often available for the full assembly. The remaining 11 targets comprised 5 homodimers, 3 heterodimers, and two higher-order assemblies. These were more difficult to model, as their prediction mainly involved "ab-initio" docking of subunit models derived from distantly related templates. A total of ~30 CAPRI groups, including 9 automatic servers, submitted on average ~2000 models per target. About 17 groups participated in the CAPRI scoring rounds, offered for most targets, submitting ~170 models per target. The prediction performance, measured by the fraction of models of acceptable quality or higher submitted across all predictors groups, was very good to excellent for the nine easy targets. Poorer performance was achieved by predictors for the 11 difficult targets, with medium and high quality models submitted for only 3 of these targets. A similar performance "gap" was displayed by scorer groups, highlighting yet again the unmet challenge of modeling the conformational changes of the protein components that occur upon binding or t</w:t>
      </w:r>
    </w:p>
    <w:p>
      <w:pPr/>
      <w:r>
        <w:rPr>
          <w:b/>
        </w:rPr>
        <w:t>POSSIBLE 2019:</w:t>
      </w:r>
      <w:r>
        <w:t xml:space="preserve"> Significance of the CAPRI risk score to predict heart failure hospitalization post-TAVI: The CAPRI-HF study — https://doi.org/10.1016/j.ijcard.2019.08.033</w:t>
      </w:r>
    </w:p>
    <w:p>
      <w:pPr/>
      <w:r>
        <w:rPr>
          <w:b/>
        </w:rPr>
        <w:t>Shared claim-specific concepts:</w:t>
      </w:r>
      <w:r>
        <w:t xml:space="preserve"> capri, increase, aim; EU scope not established. This is a provisional connection, not an outcome finding.</w:t>
      </w:r>
    </w:p>
    <w:p>
      <w:pPr>
        <w:pStyle w:val="SourceNote"/>
      </w:pPr>
      <w:r>
        <w:rPr>
          <w:b/>
        </w:rPr>
        <w:t>Available abstract (not full text):</w:t>
      </w:r>
      <w:r>
        <w:t xml:space="preserve"> BACKGROUND: Predictors of heart failure (HF) hospitalization after transcatheter aortic valve implantation (TAVI) are not well defined. CAPRI is a score for predicting 1-year post-TAVI cardiovascular and all-cause mortality. The aim of the present study is to assess the prognostic significance of the CAPRI score for HF hospitalization 1 year after TAVI. METHODS AND RESULTS: CAPRI-HF is an ancillary study of the C4CAPRI trial, analyzing 409 consecutive patients treated by TAVI. The primary outcome was hospitalization for HF during the first year post-intervention. The prognostic value of the CAPRI score was assessed by multivariable analysis adjusted for diabetes, atrial fibrillation, vascular route, pacemaker implantation, post-TAVI aortic regurgitation, transfusion and pulmonary artery systolic pressure. A subanalysis focused on patients with low-gradient aortic stenosis (LGAS). At 1 year, HF hospitalization occurred in 78 (19.9%) patients. Patients with HF were more prone to have diabetes, atrial fibrillation, renal dysfunction, lower mean aortic gradient, higher logistic EuroSCORE and higher CAPRI score (p &lt; .05 for all associations). In the multivariable analysis, CAPRI score was the sole predictor of HF: hazard ratio (HR) for each 0.1 CAPRI score increase was 1.065, 95% confidence interval (CI) 1.021-1.110. This was confirmed when adjusted for EuroSCORE: HR 1.066, 95% CI 1</w:t>
      </w:r>
    </w:p>
    <w:p>
      <w:pPr>
        <w:pStyle w:val="Heading2"/>
      </w:pPr>
      <w:r>
        <w:t>884.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2022:</w:t>
      </w:r>
      <w:r>
        <w:t xml:space="preserve"> Encountering Diversity in France and “Eurafrica” — https://doi.org/10.7591/cornell/9781501765605.003.0005</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This chapter focuses on African students in European France in the 1950s. It looks at the European institution building that reframed the urgency of educating Africans—whether in France or French Africa—as a crucial building block in the construction of the modernist, technocratic project of “Eurafrica.” The chapter begins by considering the process of brassage, a term that can mean either intermixing or incorporation. French and African leaders championed brassage as a way to overcome the legacies of racism and colonialism. Despite its modest size, the African student population in France in the 1950s has generated considerable scholarly interest. The extant literature focuses on how African students and youth leaders inserted themselves in the process of decolonization by founding their own networks of associations, publications, and syndicalist movements. African students grouped themselves along multiple axes, including territory and religion, but they also transcended those divisions in a federated Black African student union, the Fédération des étudiants d'Afrique noire en France (FEANF). The literature also details French responses to African student mobilizations, particularly the surveillance of African youth and censorship of their journals.</w:t>
      </w:r>
    </w:p>
    <w:p>
      <w:pPr/>
      <w:r>
        <w:rPr>
          <w:b/>
        </w:rPr>
        <w:t>POSSIBLE 2022:</w:t>
      </w:r>
      <w:r>
        <w:t xml:space="preserve"> Domesticating models: On the contingency of Covid-19 modelling in UK media and policy — https://doi.org/10.1177/03063127221126166</w:t>
      </w:r>
    </w:p>
    <w:p>
      <w:pPr/>
      <w:r>
        <w:rPr>
          <w:b/>
        </w:rPr>
        <w:t>Shared claim-specific concepts:</w:t>
      </w:r>
      <w:r>
        <w:t xml:space="preserve"> emphasized, contingency, projections, thus; EU scope not established. This is a provisional connection, not an outcome finding.</w:t>
      </w:r>
    </w:p>
    <w:p>
      <w:pPr>
        <w:pStyle w:val="SourceNote"/>
      </w:pPr>
      <w:r>
        <w:rPr>
          <w:b/>
        </w:rPr>
        <w:t>Available abstract (not full text):</w:t>
      </w:r>
      <w:r>
        <w:t xml:space="preserve"> Our article traces the representation of pandemic modelling in UK print media from the emergence of Covid-19 to the early stages of implementing the first UK-wide lockdown in late March 2020. Covid modelling, it is widely assumed, has shaped policy decisions and public responses to the pandemic in unprecedented ways. We analyse how the UK print media has configured modelling as a significant evidence tool in the representation of the pandemic. Interrogating assumptions about infectious disease modelling, we ask why models became the trusted tool of choice for knowing and responding to the Covid pandemic in the UK. Our analysis has yielded four different periods in the evolution of intersecting policy and media frames. Initially, modellers, policymakers and media alike emphasized uncertainty about available data, and hence the speculative character of modelled projections, thus justifying a 'wait and see' approach to government intervention. With growing public pressure for government action, policy and media frames were adjusted to emphasize the importance of timing interventions for best effect, with modelling evidence mobilized to justify inaction. This gave way to a period of crisis, as the press increasingly questioned the reliability of the existing models and policies, leading modellers and policy makers to dramatically revise their projections. Finally, with the impositi</w:t>
      </w:r>
    </w:p>
    <w:p>
      <w:pPr/>
      <w:r>
        <w:rPr>
          <w:b/>
        </w:rPr>
        <w:t>POSSIBLE 2021:</w:t>
      </w:r>
      <w:r>
        <w:t xml:space="preserve"> Retrospection, Regret, and Contingency in Dickens’s Late Midlives — https://doi.org/10.7146/ageculturehumanities.v5i.130863</w:t>
      </w:r>
    </w:p>
    <w:p>
      <w:pPr/>
      <w:r>
        <w:rPr>
          <w:b/>
        </w:rPr>
        <w:t>Shared claim-specific concepts:</w:t>
      </w:r>
      <w:r>
        <w:t xml:space="preserve"> publication, contingency, population, representations, two, demographic; EU scope not established. This is a provisional connection, not an outcome finding.</w:t>
      </w:r>
    </w:p>
    <w:p>
      <w:pPr>
        <w:pStyle w:val="SourceNote"/>
      </w:pPr>
      <w:r>
        <w:rPr>
          <w:b/>
        </w:rPr>
        <w:t>Available abstract (not full text):</w:t>
      </w:r>
      <w:r>
        <w:t xml:space="preserve"> This essay explores Dickens’s representations of male anxieties over aging and argues both that contingency—a character’s dawning recognition that their life might have been otherwise—haunts Dickens’s midlife narratives and that a developing cultural awareness of midlife as a life-stage is central to the Victorian fascination with unlived lives. It traces developments in Dickens’s own sense of midlife’s particularity to two sources: a recognition of the bodily changes that accompany the process of aging (such as his own graying hair, which he sought to disguise cosmetically through hair and moustache dyes) and his membership of a generation whose life chances were determined by a demographic bulge caused by a rapid expansion of Britain’s middle-aged and elderly population. Both of these circumstances engender an overwhelming sense of regret in the aging protagonists of novels such as David Copperfield (1849-1850), Great Expectations (1860-1861), and Our Mutual Friend (1864-1865), whose midlives are spent thinking, and sometimes writing, about the youthful choices that shaped their later lives. It is only with the publication of the late portmanteau tale “Mugby Junction” that Dickens finds himself able to imagine a midlife in which the aging individuals possess agency and are empowered to cast off the determining and contingent events of their Bildungsroman narratives and engage</w:t>
      </w:r>
    </w:p>
    <w:p>
      <w:pPr/>
      <w:r>
        <w:rPr>
          <w:b/>
        </w:rPr>
        <w:t>POSSIBLE 2020:</w:t>
      </w:r>
      <w:r>
        <w:t xml:space="preserve"> Discourse and Strategic Use of the Military in France and Europe in the COVID‐19 Crisis — https://doi.org/10.1111/tesg.12451</w:t>
      </w:r>
    </w:p>
    <w:p>
      <w:pPr/>
      <w:r>
        <w:rPr>
          <w:b/>
        </w:rPr>
        <w:t>Shared claim-specific concepts:</w:t>
      </w:r>
      <w:r>
        <w:t xml:space="preserve"> france, population, national; EU scope visible. This is a provisional connection, not an outcome finding.</w:t>
      </w:r>
    </w:p>
    <w:p>
      <w:pPr>
        <w:pStyle w:val="SourceNote"/>
      </w:pPr>
      <w:r>
        <w:rPr>
          <w:b/>
        </w:rPr>
        <w:t>Available abstract (not full text):</w:t>
      </w:r>
      <w:r>
        <w:t xml:space="preserve"> In March 2020, the French President called to war against the COVID-19 which was followed by the launch of a military operation called Operation Resilience. This use of martial rhetoric initiated an effective mobilisation consisting in logistical assistance to the health sector. While armies are increasingly used to deal with environmental disasters, aside from their traditional role, this paper postulates that the geography of the French and international military engagement can be used to analyse both the institutional strategy of crisis management and the message governments send to their population. Military involvement differs in terms of missions given and of the amount of troops mobilised. It first questions the use of the military in the name of national resilience in the political discourse and the way it displays a symbolic message to the population, before analysing the role of armies in the crisis through the spatiality of their interventions.</w:t>
      </w:r>
    </w:p>
    <w:p>
      <w:pPr/>
      <w:r>
        <w:rPr>
          <w:b/>
        </w:rPr>
        <w:t>POSSIBLE 2020:</w:t>
      </w:r>
      <w:r>
        <w:t xml:space="preserve"> Piercing Proverbial Crows’ Eyes: Theft and Publication in Renaissance France — https://doi.org/10.33137/rr.v43i3.35300</w:t>
      </w:r>
    </w:p>
    <w:p>
      <w:pPr/>
      <w:r>
        <w:rPr>
          <w:b/>
        </w:rPr>
        <w:t>Shared claim-specific concepts:</w:t>
      </w:r>
      <w:r>
        <w:t xml:space="preserve"> france, publication, thus; EU scope visible. This is a provisional connection, not an outcome finding.</w:t>
      </w:r>
    </w:p>
    <w:p>
      <w:pPr>
        <w:pStyle w:val="SourceNote"/>
      </w:pPr>
      <w:r>
        <w:rPr>
          <w:b/>
        </w:rPr>
        <w:t>Available abstract (not full text):</w:t>
      </w:r>
      <w:r>
        <w:t xml:space="preserve"> The ironic Latin proverb “cornicum oculos configere” was classically illustrated by the example of Gnaeus Flavius, celebrated for his theft and valuable but unauthorized publication of Rome’s legal secrets. Erasmus’s discussion of the proverb in the Adages consequently focuses on the tension within the transfer of knowledge between openness and secrecy, and on the fragile status of intellectual authority within a scholarly domain made increasingly public by the printing press. This article uses the example of Flavius to trace the idea of theft within Renaissance attitudes to the possession and dissemination of knowledge. It compares the reception of Flavius in three contexts: Erasmus’s ambivalence towards publication as a form of theft in the Adages; ancient criticisms of theft as social presumption; and the more positive representation of epistemological theft in the works of four Renaissance French jurists. It thus argues that Erasmus represents a turning point both in the reception history of Flavius and in attitudes to intellectual theft—and thereby to intellectual property—in the Renaissance.</w:t>
      </w:r>
    </w:p>
    <w:p>
      <w:pPr/>
      <w:r>
        <w:rPr>
          <w:b/>
        </w:rPr>
        <w:t>POSSIBLE 2020:</w:t>
      </w:r>
      <w:r>
        <w:t xml:space="preserve"> Negotiating French Wine and European Identities at the European Community — https://doi.org/10.1017/s0960777320000405</w:t>
      </w:r>
    </w:p>
    <w:p>
      <w:pPr/>
      <w:r>
        <w:rPr>
          <w:b/>
        </w:rPr>
        <w:t>Shared claim-specific concepts:</w:t>
      </w:r>
      <w:r>
        <w:t xml:space="preserve"> due, national, created, countries; EU scope visible. This is a provisional connection, not an outcome finding.</w:t>
      </w:r>
    </w:p>
    <w:p>
      <w:pPr>
        <w:pStyle w:val="SourceNote"/>
      </w:pPr>
      <w:r>
        <w:rPr>
          <w:b/>
        </w:rPr>
        <w:t>Available abstract (not full text):</w:t>
      </w:r>
      <w:r>
        <w:t xml:space="preserve"> This article examines the French role in creating an integrated wine policy at the European level and demonstrates that political negotiations over the policy revealed competing European conceptions of agriculture and identity. Drawing on research in EEC and French historical archives, this article argues that in spite of the risks involved in relinquishing sovereignty over a key national industry with deep cultural resonance, the French government was determined to transfer responsibility for much of the sector to the European Community due to continued domestic pressure. Further, it suggests that common values around the centrality of agriculture in the European project meant that countries were persistent in realising a wine policy even though wine was not a natural fit in the pantheon of other goods for which common markets were created.</w:t>
      </w:r>
    </w:p>
    <w:p>
      <w:pPr/>
      <w:r>
        <w:rPr>
          <w:b/>
        </w:rPr>
        <w:t>POSSIBLE 2018:</w:t>
      </w:r>
      <w:r>
        <w:t xml:space="preserve"> Evolution of the Population Structure of Staphylococcus pseudintermedius in France — https://doi.org/10.3389/fmicb.2018.03055</w:t>
      </w:r>
    </w:p>
    <w:p>
      <w:pPr/>
      <w:r>
        <w:rPr>
          <w:b/>
        </w:rPr>
        <w:t>Shared claim-specific concepts:</w:t>
      </w:r>
      <w:r>
        <w:t xml:space="preserve"> france, multiple, population, decline, due, created; EU scope visible. This is a provisional connection, not an outcome finding.</w:t>
      </w:r>
    </w:p>
    <w:p>
      <w:pPr>
        <w:pStyle w:val="SourceNote"/>
      </w:pPr>
      <w:r>
        <w:rPr>
          <w:b/>
        </w:rPr>
        <w:t>Available abstract (not full text):</w:t>
      </w:r>
      <w:r>
        <w:t xml:space="preserve"> (MRSP) in the early 2000s, which were additionally resistant to most veterinary-licensed antibiotics, drew specific attention to these pathogens due to the limitations created in veterinary therapeutic options. Multiple studies showed that the sequence type (ST)71 was the most frequently identified clone in Europe. A few years ago, several publications have suggested a decline of the ST71 clone and the emergence of the ST258 lineage in Northern Europe. In this study, we show that ST71 is also decreasing over time in France and that the non-ST71 population is highly heterogeneous. Globally, the non-ST71 clones are more susceptible to antibiotics, which might be good news for veterinarians. Two other lineages, ST258 and ST496, seem to be successful in France. These isolates, as well as representatives of the ST71 clone, underwent whole-genome sequence. This study shows that the ST71 and ST496 clusters are highly homogenous while the ST258 cluster is more diverse. Each ST possesses a specific pattern of resistance and virulence genes. The reasons for the apparent and simultaneous success of the ST258 and ST496 clones remain unclear. But the emergence of the ST496 clone will require monitoring given its multi-resistant genotype and threat to canine health.</w:t>
      </w:r>
    </w:p>
    <w:p>
      <w:pPr/>
      <w:r>
        <w:rPr>
          <w:b/>
        </w:rPr>
        <w:t>POSSIBLE 2017:</w:t>
      </w:r>
      <w:r>
        <w:t xml:space="preserve"> New insights into the burden and costs of multiple sclerosis in Europe — https://doi.org/10.1177/1352458517694432</w:t>
      </w:r>
    </w:p>
    <w:p>
      <w:pPr/>
      <w:r>
        <w:rPr>
          <w:b/>
        </w:rPr>
        <w:t>Shared claim-specific concepts:</w:t>
      </w:r>
      <w:r>
        <w:t xml:space="preserve"> multiple, population, countries; EU scope visible. This is a provisional connection, not an outcome finding.</w:t>
      </w:r>
    </w:p>
    <w:p>
      <w:pPr>
        <w:pStyle w:val="SourceNote"/>
      </w:pPr>
      <w:r>
        <w:rPr>
          <w:b/>
        </w:rPr>
        <w:t>Available abstract (not full text):</w:t>
      </w:r>
      <w:r>
        <w:t xml:space="preserve"> BACKGROUND: The current focus in multiple sclerosis (MS) is on early diagnosis and drug intervention, with a view to modifying disease progression. Consequently, healthcare costs have shifted from inpatient care and rehabilitation to outpatient care. OBJECTIVES: This European burden of illness study provides data that can be combined with other evidence to assess whether management approaches provide value to society. METHODS: A cross-sectional study was conducted in 16 countries. Patients reported on their disease, health-related quality of life (HRQoL) and resource consumption. Descriptive analyses were performed by disease severity. Costs are reported from a societal perspective in 2015€ PPP (adjusted for purchasing power parity). RESULTS: The 16,808 participants had a mean age of 51.5 years, and 52% had relapsing-remitting multiple sclerosis (RRMS). Work capacity declined from 82% to 8%, and utility declined from normal population values to less than zero with advancing disease. Mean costs were 22,800€ PPP in mild, 37,100€ PPP in moderate and 57,500€ PPP in severe disease; healthcare accounted for 68%, 47% and 26%, respectively. Fatigue and cognitive difficulties were reported by 95% and 71% of participants, respectively; both had a significant independent effect on utility. CONCLUSION: Costs and utility were highly correlated with disease severity, but resource consumption</w:t>
      </w:r>
    </w:p>
    <w:p>
      <w:pPr/>
      <w:r>
        <w:rPr>
          <w:b/>
        </w:rPr>
        <w:t>POSSIBLE 2016:</w:t>
      </w:r>
      <w:r>
        <w:t xml:space="preserve"> Raising European citizens: Constructing European identities in French and English textbooks — https://doi.org/10.5964/jspp.v4i1.350</w:t>
      </w:r>
    </w:p>
    <w:p>
      <w:pPr/>
      <w:r>
        <w:rPr>
          <w:b/>
        </w:rPr>
        <w:t>Shared claim-specific concepts:</w:t>
      </w:r>
      <w:r>
        <w:t xml:space="preserve"> national, representations, two, countries; EU scope visible. This is a provisional connection, not an outcome finding.</w:t>
      </w:r>
    </w:p>
    <w:p>
      <w:pPr>
        <w:pStyle w:val="SourceNote"/>
      </w:pPr>
      <w:r>
        <w:rPr>
          <w:b/>
        </w:rPr>
        <w:t>Available abstract (not full text):</w:t>
      </w:r>
      <w:r>
        <w:t xml:space="preserve"> Schools play a pivotal role in the formation of identities and in the political socialization of youth. This study explores the social representations of European integration in French and English school textbooks and shows how the social representations are discursively used to construct national and European identities. By analysing the history and civics textbooks of major educational publishers, this study aims to demonstrate how European integration is understood, made familiar and concretized in the school textbooks of the two influential but different European countries. The findings suggest some shared and some diverse patterns in the way the two European countries portray and construct the political project of European integration. These representations, constructed around French Europe in French textbooks and ambivalent Europe in English textbooks, share the images of a strong European economy and a French-led political Europe. However, they position themselves differently with respect to the United States, motivation for the European unification process and the significance of common values and heritage. In both countries textbooks draw upon memories that are important for group identity. While the French textbooks make European integration meaningful in reference to a shared post-war collective memory and to a cultural memory based on a more ancient idea of Europe, </w:t>
      </w:r>
    </w:p>
    <w:p>
      <w:pPr>
        <w:pStyle w:val="Heading2"/>
      </w:pPr>
      <w:r>
        <w:t>885.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r>
        <w:rPr>
          <w:b/>
        </w:rPr>
        <w:t>POSSIBLE 2025:</w:t>
      </w:r>
      <w:r>
        <w:t xml:space="preserve"> Research Performance on the UN Sustainable Development Goals in the EU27 (2019–2023) — https://doi.org/10.3390/admsci15090361</w:t>
      </w:r>
    </w:p>
    <w:p>
      <w:pPr/>
      <w:r>
        <w:rPr>
          <w:b/>
        </w:rPr>
        <w:t>Shared claim-specific concepts:</w:t>
      </w:r>
      <w:r>
        <w:t xml:space="preserve"> eu27, consumption, production, health; EU scope visible. This is a provisional connection, not an outcome finding.</w:t>
      </w:r>
    </w:p>
    <w:p>
      <w:pPr>
        <w:pStyle w:val="SourceNote"/>
      </w:pPr>
      <w:r>
        <w:rPr>
          <w:b/>
        </w:rPr>
        <w:t>Available abstract (not full text):</w:t>
      </w:r>
      <w:r>
        <w:t xml:space="preserve">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pPr/>
      <w:r>
        <w:rPr>
          <w:b/>
        </w:rPr>
        <w:t>POSSIBLE 2025:</w:t>
      </w:r>
      <w:r>
        <w:t xml:space="preserve"> The Role of Aquaculture and Fisheries in EU27 Food Security: A Comparative Analysis of EU13 and EU14 States — https://doi.org/10.46989/001c.140761</w:t>
      </w:r>
    </w:p>
    <w:p>
      <w:pPr/>
      <w:r>
        <w:rPr>
          <w:b/>
        </w:rPr>
        <w:t>Shared claim-specific concepts:</w:t>
      </w:r>
      <w:r>
        <w:t xml:space="preserve"> eu27, production, products, allows, food; EU scope visible. This is a provisional connection, not an outcome finding.</w:t>
      </w:r>
    </w:p>
    <w:p>
      <w:pPr>
        <w:pStyle w:val="SourceNote"/>
      </w:pPr>
      <w:r>
        <w:rPr>
          <w:b/>
        </w:rPr>
        <w:t>Available abstract (not full text):</w:t>
      </w:r>
      <w:r>
        <w:t xml:space="preserve"> Ocean-sourced foods are essential for providing food security, putting an end to starvation, and building healthy, environmentally friendly, and resilient food systems. Still, it is important to keep these in mind while discussing food. More money was made for developing countries by exporting blue foods than by exporting any other agricultural products combined. The European Union Region (EU27) has countries with diverse economic structures, from highly developed industrial economies in older members to those in Central and Eastern Europe still catching up. Splitting them allows for in-depth study of economic structures, models, and growth mechanisms, and can inform targeted policy recommendations for growth and convergence. The core objective of this study is to analyse how aquaculture and fisheries production impact food security in the EU2 members based on their economic structure development; European Union Developing State (EU13) and European Union Developed State (EU14) countries from 1990 to 2023. To address potential endogeneity issues, robust least squares (RLS), two-stage least squares (2SLS), and ordinary least squares (OLS) estimators were employed, leading to significant findings. The findings confirm the existing knowledge and indicate that the role of aquaculture and fisheries production in ensuring food security is more pronounced in developing EU13 countries c</w:t>
      </w:r>
    </w:p>
    <w:p>
      <w:pPr/>
      <w:r>
        <w:rPr>
          <w:b/>
        </w:rPr>
        <w:t>POSSIBLE 2023:</w:t>
      </w:r>
      <w:r>
        <w:t xml:space="preserve"> RETRACTED: Assessment of Building Materials in the European Residential Building Stock: An Analysis at EU27 Level — https://doi.org/10.3390/su15118840</w:t>
      </w:r>
    </w:p>
    <w:p>
      <w:pPr/>
      <w:r>
        <w:rPr>
          <w:b/>
        </w:rPr>
        <w:t>Shared claim-specific concepts:</w:t>
      </w:r>
      <w:r>
        <w:t xml:space="preserve"> eu27, reducing, consumption; EU scope visible. This is a provisional connection, not an outcome finding.</w:t>
      </w:r>
    </w:p>
    <w:p>
      <w:pPr>
        <w:pStyle w:val="SourceNote"/>
      </w:pPr>
      <w:r>
        <w:rPr>
          <w:b/>
        </w:rPr>
        <w:t>Available abstract (not full text):</w:t>
      </w:r>
      <w:r>
        <w:t xml:space="preserve"> Reducing greenhouse gas (GHG) emissions and energy consumption in the building sector requires not only improving the energy efficiency of buildings but also minimising material requirements, embodied emissions, and waste generation. Circular Economy (CE) principles can be applied to minimize resource extraction and waste generation in the building industry. However, to implement effective CE strategies, quantification and evaluation of materials accumulated in buildings are required. This study aims to provide accurate data and a detailed analysis of the materials available in the EU27 residential building sector. By elaborating the data provided by the H2020 European projects Hotmaps and AmBIENCe, the different materials used for floors, roofs, walls, windows, and insulation layers in single-family houses, multifamily houses, and apartment blocks in the different construction periods were quantified for each EU27 country. Considering results at the EU27 level, concrete and brick characterize the largest part of the European residential building stock, whereas materials such as wood and different types of rock are used in much more limited amounts. These results form the basis for policymakers to monitor the status of the residential building sector, evaluate the potential of CE policies at a national level, and assess the environmental impact of building practices through lif</w:t>
      </w:r>
    </w:p>
    <w:p>
      <w:pPr/>
      <w:r>
        <w:rPr>
          <w:b/>
        </w:rPr>
        <w:t>POSSIBLE 2023:</w:t>
      </w:r>
      <w:r>
        <w:t xml:space="preserve"> Supplementary material to "The consolidated European synthesis of CO2 emissions and removals for EU27 and UK: 1990–2020" — https://doi.org/10.5194/essd-2022-412-supplement</w:t>
      </w:r>
    </w:p>
    <w:p>
      <w:pPr/>
      <w:r>
        <w:rPr>
          <w:b/>
        </w:rPr>
        <w:t>Shared claim-specific concepts:</w:t>
      </w:r>
      <w:r>
        <w:t xml:space="preserve"> eu27, products, land, increased; EU scope visible. This is a provisional connection, not an outcome finding.</w:t>
      </w:r>
    </w:p>
    <w:p>
      <w:pPr>
        <w:pStyle w:val="SourceNote"/>
      </w:pPr>
      <w:r>
        <w:rPr>
          <w:b/>
        </w:rPr>
        <w:t>Available abstract (not full text):</w:t>
      </w:r>
      <w:r>
        <w:t xml:space="preserve"> Quantification of land surface-atmosphere fluxes of carbon dioxide (CO2) fluxes and their trends and uncertainties is essential for monitoring progress of the EU27+UK bloc as it strives to meet ambitious targets determined by both international agreements and internal regulation.This study provides a consolidated synthesis of fossil sources (CO2 fossil) and natural sources and sinks over land (CO2 land) using bottom-up (BU) and top-down (TD) approaches for the European Union and United Kingdom (EU27+UK), updating earlier syntheses (Petrescu et al., 2020(Petrescu et al., , 2021b)).Given the wide scope of the work and the variety of approaches involved, this study aims to answer essential questions identified in the previous syntheses and understand the differences between datasets, particularly for poorly characterized fluxes from managed ecosystems.The work integrates updated emission inventory data, process-based model results, data-driven sectoral model results, and inverse modeling estimates, extending the previous period 1990-2018 to the year 2020 to the extent possible.BU and TD products are compared with European National Greenhouse Gas Inventories (NGHGIs) reported by Parties including the year 2019 under the United Nations Framework Convention on Climate Change (UNFCCC).The uncertainties of the EU27+UK NGHGI were evaluated using the standard deviation reported by the EU</w:t>
      </w:r>
    </w:p>
    <w:p>
      <w:pPr/>
      <w:r>
        <w:rPr>
          <w:b/>
        </w:rPr>
        <w:t>POSSIBLE 2023:</w:t>
      </w:r>
      <w:r>
        <w:t xml:space="preserve"> Reduced grazing and changes in the area of agroforestry in Europe — https://doi.org/10.3389/fenvs.2023.1258697</w:t>
      </w:r>
    </w:p>
    <w:p>
      <w:pPr/>
      <w:r>
        <w:rPr>
          <w:b/>
        </w:rPr>
        <w:t>Shared claim-specific concepts:</w:t>
      </w:r>
      <w:r>
        <w:t xml:space="preserve"> production, food, land, increased;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Temperate nuts by-products as animal feed: A review — https://doi.org/10.1016/j.anifeedsci.2023.115787</w:t>
      </w:r>
    </w:p>
    <w:p>
      <w:pPr/>
      <w:r>
        <w:rPr>
          <w:b/>
        </w:rPr>
        <w:t>Shared claim-specific concepts:</w:t>
      </w:r>
      <w:r>
        <w:t xml:space="preserve"> production, animal, products, health; EU scope not established. This is a provisional connection, not an outcome finding.</w:t>
      </w:r>
    </w:p>
    <w:p>
      <w:pPr>
        <w:pStyle w:val="SourceNote"/>
      </w:pPr>
      <w:r>
        <w:rPr>
          <w:b/>
        </w:rPr>
        <w:t>Available abstract (not full text):</w:t>
      </w:r>
      <w:r>
        <w:t xml:space="preserve"> Using agro-industrial by-products in replacement of conventional feedstuff is a strategy to reduce the environmental impact of feed production and transport, and the feed-food competition. This article reviews the effects of feeding nuts by-products on digestion, metabolism, and product quality in ruminant and monogastric animals. In particular, it focuses on nuts from temperate climate (mainly almond, pistachio, hazelnut, and walnut). These crops produce a variety of by-products of potential interest: hulls, skins (perisperm), oil cake, or mixtures of them. Nuts by-products generally have a low moisture content, making them easy to handle and store. They also contain moderate to high levels of phenolic compounds, which on the one hand have antinutritional properties, but on the other hand may exert positive effects on animal health and product quality. The composition of nuts by-products varies considerably from one species to another and within the same species, depending on variety, climatic and agronomic conditions, and processing. This, in combination with a lack of knowledge on production volumes, limits the current use of nuts by-products as animal feed to the farm level. However, some general considerations can be drawn. Almond hulls are rich in digestible fibre and can be used as energy feed for ruminants at doses up to 250 g/kg (dry matter basis). Nuts oil cake can pa</w:t>
      </w:r>
    </w:p>
    <w:p>
      <w:pPr/>
      <w:r>
        <w:rPr>
          <w:b/>
        </w:rPr>
        <w:t>POSSIBLE 2022:</w:t>
      </w:r>
      <w:r>
        <w:t xml:space="preserve"> EU27&amp;UK gas supply-storage-consumption and potential solutions to fill Russian gap with daily resolutions — https://doi.org/10.5281/zenodo.6833533</w:t>
      </w:r>
    </w:p>
    <w:p>
      <w:pPr/>
      <w:r>
        <w:rPr>
          <w:b/>
        </w:rPr>
        <w:t>Shared claim-specific concepts:</w:t>
      </w:r>
      <w:r>
        <w:t xml:space="preserve"> eu27, consumption, production; EU scope visible. This is a provisional connection, not an outcome finding.</w:t>
      </w:r>
    </w:p>
    <w:p>
      <w:pPr>
        <w:pStyle w:val="SourceNote"/>
      </w:pPr>
      <w:r>
        <w:rPr>
          <w:b/>
        </w:rPr>
        <w:t>Available abstract (not full text):</w:t>
      </w:r>
      <w:r>
        <w:t xml:space="preserve"> Russia was the primary natural gas supplier to the EU before the 2022 invasion of Ukraine. The substantial reduction in Russian gas supplies to many EU countries precipitated a severe energy crisis across the EU27&amp;UK, leading to significant alterations in their natural gas supply, transmission, and consumption dynamics. To analyze these shifts, we updated our natural gas supply dataset, EUGasSC (originally described in version 1.0), incorporating daily country- and sector-specific supply sources. In version 2.0 of the dataset, we introduce EUGasNet, a newly constructed dataset detailing daily intra-EU natural gas transmission with specific supply sources, utilizing data from ENTSOG (European Network of Transmission System Operators for Gas) alongside EUGasSC data. Furthermore, we developed EUGasImpact, a daily dataset capturing sector-specific drivers of consumption changes based on change attribution models employing multiple open datasets. The EUGasSC and EUGasNet dataset was developed with a gas network flow simulation based on flow mass balance by combining data from multiple datasets including ENTSO-G, ENTSO-E, and Eurostat energy balance (annual and monthly). The EUGasSC dataset was validated with BP Statistical Review of World Energy and multiple Eurostat datasets. The EUGasSC shows the share of gas supplied by Russia in each country to analyze the ‘gap’ that would resul</w:t>
      </w:r>
    </w:p>
    <w:p>
      <w:pPr>
        <w:pStyle w:val="Heading2"/>
      </w:pPr>
      <w:r>
        <w:t>886.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2024:</w:t>
      </w:r>
      <w:r>
        <w:t xml:space="preserve"> A unifying modelling of multiple land degradation pathways in Europe — https://doi.org/10.1038/s41467-024-48252-x</w:t>
      </w:r>
    </w:p>
    <w:p>
      <w:pPr/>
      <w:r>
        <w:rPr>
          <w:b/>
        </w:rPr>
        <w:t>Shared claim-specific concepts:</w:t>
      </w:r>
      <w:r>
        <w:t xml:space="preserve"> here, two, currently;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2023:</w:t>
      </w:r>
      <w:r>
        <w:t xml:space="preserve"> Predictive performance of multi-model ensemble forecasts of COVID-19 across European nations — https://doi.org/10.7554/elife.81916</w:t>
      </w:r>
    </w:p>
    <w:p>
      <w:pPr/>
      <w:r>
        <w:rPr>
          <w:b/>
        </w:rPr>
        <w:t>Shared claim-specific concepts:</w:t>
      </w:r>
      <w:r>
        <w:t xml:space="preserve"> here, data, globally, based; EU scope visible. This is a provisional connection, not an outcome finding.</w:t>
      </w:r>
    </w:p>
    <w:p>
      <w:pPr>
        <w:pStyle w:val="SourceNote"/>
      </w:pPr>
      <w:r>
        <w:rPr>
          <w:b/>
        </w:rPr>
        <w:t>Available abstract (not full text):</w:t>
      </w:r>
      <w:r>
        <w:t xml:space="preserve">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by a standardised source for 32 countries over the next 1-4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f</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here, climate, bioclimatic, data, two, predict;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The Capability of Deep Learning Model to Predict Ozone Across Continents in China, the United States and Europe — https://doi.org/10.1029/2023gl104928</w:t>
      </w:r>
    </w:p>
    <w:p>
      <w:pPr/>
      <w:r>
        <w:rPr>
          <w:b/>
        </w:rPr>
        <w:t>Shared claim-specific concepts:</w:t>
      </w:r>
      <w:r>
        <w:t xml:space="preserve"> here, data, predict, indicate; EU scope visible. This is a provisional connection, not an outcome finding.</w:t>
      </w:r>
    </w:p>
    <w:p>
      <w:pPr>
        <w:pStyle w:val="SourceNote"/>
      </w:pPr>
      <w:r>
        <w:rPr>
          <w:b/>
        </w:rPr>
        <w:t>Available abstract (not full text):</w:t>
      </w:r>
      <w:r>
        <w:t xml:space="preserve"> Abstract Data‐driven methods have been extensively applied to predict atmospheric compositions. Here, we explore the capability of a deep learning (DL) model to make ozone (O3) predictions across continents in China, the United States (US) and Europe. The DL model was trained and validated with surface O3 observations in China and the US in 2015–2018. The DL model was applied to predict hourly surface O3 over three continents in 2015–2022. Compared to baseline simulations using GEOS‐Chem (GC) model, our analysis exhibits mean biases of 2.6 and 4.8 μg/m3 with correlation coefficients of 0.94 and 0.93 (DL); and mean biases of 3.7 and 5.4 μg/m3 with correlation coefficients of 0.95 and 0.92 (GC) in Europe in 2015–2018 and 2019–2022, respectively. The comparable performances between DL and GC indicate the potential of DL to make reliable predictions over spatial and temporal domains where a wealth of local observations for training is not available.</w:t>
      </w:r>
    </w:p>
    <w:p>
      <w:pPr/>
      <w:r>
        <w:rPr>
          <w:b/>
        </w:rPr>
        <w:t>POSSIBLE 2022:</w:t>
      </w:r>
      <w:r>
        <w:t xml:space="preserve"> Trade‐Offs for Climate‐Smart Forestry in Europe Under Uncertain Future Climate — https://doi.org/10.1029/2022ef002796</w:t>
      </w:r>
    </w:p>
    <w:p>
      <w:pPr/>
      <w:r>
        <w:rPr>
          <w:b/>
        </w:rPr>
        <w:t>Shared claim-specific concepts:</w:t>
      </w:r>
      <w:r>
        <w:t xml:space="preserve"> here, climate, emission; EU scope visible. This is a provisional connection, not an outcome finding.</w:t>
      </w:r>
    </w:p>
    <w:p>
      <w:pPr>
        <w:pStyle w:val="SourceNote"/>
      </w:pPr>
      <w:r>
        <w:rPr>
          <w:b/>
        </w:rPr>
        <w:t>Available abstract (not full text):</w:t>
      </w:r>
      <w:r>
        <w:t xml:space="preserve"> Abstract Forests mitigate climate change by storing carbon and reducing emissions via substitution effects of wood products. Additionally, they provide many other important ecosystem services (ESs), but are vulnerable to climate change; therefore, adaptation is necessary. Climate‐smart forestry combines mitigation with adaptation, whilst facilitating the provision of many ESs. This is particularly challenging due to large uncertainties about future climate. Here, we combined ecosystem modeling with robust multi‐criteria optimization to assess how the provision of various ESs (climate change mitigation, timber provision, local cooling, water availability, and biodiversity habitat) can be guaranteed under a broad range of climate futures across Europe. Our optimized portfolios contain 29% unmanaged forests, and implicate a successive conversion of 34% of coniferous to broad‐leaved forests (11% vice versa). Coppices practically vanish from Southern Europe, mainly due to their high water requirement. We find the high shares of unmanaged forests necessary to keep European forests a carbon sink while broad‐leaved and unmanaged forests contribute to local cooling through biogeophysical effects. Unmanaged forests also pose the largest benefit for biodiversity habitat. However, the increased shares of unmanaged and broad‐leaved forests lead to reductions in harvests. This raises the que</w:t>
      </w:r>
    </w:p>
    <w:p>
      <w:pPr/>
      <w:r>
        <w:rPr>
          <w:b/>
        </w:rPr>
        <w:t>POSSIBLE 2022:</w:t>
      </w:r>
      <w:r>
        <w:t xml:space="preserve"> Predictive performance of multi-model ensemble forecasts of COVID-19 across European nations — https://doi.org/10.1101/2022.06.16.22276024</w:t>
      </w:r>
    </w:p>
    <w:p>
      <w:pPr/>
      <w:r>
        <w:rPr>
          <w:b/>
        </w:rPr>
        <w:t>Shared claim-specific concepts:</w:t>
      </w:r>
      <w:r>
        <w:t xml:space="preserve"> here, data, two, globally, based; EU scope visible. This is a provisional connection, not an outcome finding.</w:t>
      </w:r>
    </w:p>
    <w:p>
      <w:pPr>
        <w:pStyle w:val="SourceNote"/>
      </w:pPr>
      <w:r>
        <w:rPr>
          <w:b/>
        </w:rPr>
        <w:t>Available abstract (not full text):</w:t>
      </w:r>
      <w:r>
        <w:t xml:space="preserve"> Abstract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from a standardised source over the next one to four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and </w:t>
      </w:r>
    </w:p>
    <w:p>
      <w:pPr/>
      <w:r>
        <w:rPr>
          <w:b/>
        </w:rPr>
        <w:t>POSSIBLE 2022:</w:t>
      </w:r>
      <w:r>
        <w:t xml:space="preserve"> Predicting European cities’ climate mitigation performance using machine learning — https://doi.org/10.1038/s41467-022-35108-5</w:t>
      </w:r>
    </w:p>
    <w:p>
      <w:pPr/>
      <w:r>
        <w:rPr>
          <w:b/>
        </w:rPr>
        <w:t>Shared claim-specific concepts:</w:t>
      </w:r>
      <w:r>
        <w:t xml:space="preserve"> here, climate, data, predict; EU scope visible. This is a provisional connection, not an outcome finding.</w:t>
      </w:r>
    </w:p>
    <w:p>
      <w:pPr>
        <w:pStyle w:val="SourceNote"/>
      </w:pPr>
      <w:r>
        <w:rPr>
          <w:b/>
        </w:rPr>
        <w:t>Available abstract (not full text):</w:t>
      </w:r>
      <w:r>
        <w:t xml:space="preserve"> Although cities have risen to prominence as climate actors, emissions' data scarcity has been the primary challenge to evaluating their performance. Here we develop a scalable, replicable machine learning approach for evaluating the mitigation performance for nearly all local administrative areas in Europe from 2001-2018. By combining publicly available, spatially explicit environmental and socio-economic data with self-reported emissions data from European cities, we predict annual carbon dioxide emissions to explore trends in city-scale mitigation performance. We find that European cities participating in transnational climate initiatives have likely decreased emissions since 2001, with slightly more than half likely to have achieved their 2020 emissions reduction target. Cities who report emissions data are more likely to have achieved greater reductions than those who fail to report any data. Despite its limitations, our model provides a replicable, scalable starting point for understanding city-level climate emissions mitigation performance.</w:t>
      </w:r>
    </w:p>
    <w:p>
      <w:pPr/>
      <w:r>
        <w:rPr>
          <w:b/>
        </w:rPr>
        <w:t>POSSIBLE 2022:</w:t>
      </w:r>
      <w:r>
        <w:t xml:space="preserve"> A hydrological model to estimate pollution from combined sewer overflows at the regional scale: Application to Europe — https://doi.org/10.1016/j.ejrh.2022.101080</w:t>
      </w:r>
    </w:p>
    <w:p>
      <w:pPr/>
      <w:r>
        <w:rPr>
          <w:b/>
        </w:rPr>
        <w:t>Shared claim-specific concepts:</w:t>
      </w:r>
      <w:r>
        <w:t xml:space="preserve"> data, predict; EU scope visible. This is a provisional connection, not an outcome finding.</w:t>
      </w:r>
    </w:p>
    <w:p>
      <w:pPr>
        <w:pStyle w:val="SourceNote"/>
      </w:pPr>
      <w:r>
        <w:rPr>
          <w:b/>
        </w:rPr>
        <w:t>Available abstract (not full text):</w:t>
      </w:r>
      <w:r>
        <w:t xml:space="preserve"> Combined Sewer Overflows (CSO) of 671 Functional Urban Areas (FUAs) throughout the European Union + UK (EU28), representing almost half of the EU28 population. CSO loads can be quantified at the local scale through measurements, or with calibrated hydrological models. However, they are difficult to quantify at a large scale (e.g. regional or national), due to a lack of data, and the models used at local scale cannot be applied in the absence of knowledge of the combined sewer (CS) network. This paper presents a 6-parameter lumped hydrological model to simulate a CS network and its overflows, using population and rainfall data of 671 EU28 FUAs. When properly calibrated, the model can predict the CSO hydrographs as well as aggregated CSO descriptors of a catchment with known impervious surface area connected to a CS with a reasonable reliability. When model calibration is not possible, using default values of the parameters enables a first approximation estimate of CSOs, accurate within one order of magnitude, which can be used to support scenario analysis for regional and continental CSO management. At the EU28 scale, the estimated total CSO volume is 5.7·103 Mm3/y, with a dry weather flow content in CSOs of 460 Mm3/y (assuming a dry weather flow of 200 l/population equivalent (PE)/day including sanitary discharges, industrial discharge and infiltration). A collection of case st</w:t>
      </w:r>
    </w:p>
    <w:p>
      <w:pPr/>
      <w:r>
        <w:rPr>
          <w:b/>
        </w:rPr>
        <w:t>POSSIBLE 2021:</w:t>
      </w:r>
      <w:r>
        <w:t xml:space="preserve"> Climate and Society in Europe The Last Thousand Years — https://doi.org/10.2445/9783258482347</w:t>
      </w:r>
    </w:p>
    <w:p>
      <w:pPr/>
      <w:r>
        <w:rPr>
          <w:b/>
        </w:rPr>
        <w:t>Shared claim-specific concepts:</w:t>
      </w:r>
      <w:r>
        <w:t xml:space="preserve"> here, climate, data, two, leading, based; EU scope visible. This is a provisional connection, not an outcome finding.</w:t>
      </w:r>
    </w:p>
    <w:p>
      <w:pPr>
        <w:pStyle w:val="SourceNote"/>
      </w:pPr>
      <w:r>
        <w:rPr>
          <w:b/>
        </w:rPr>
        <w:t>Available abstract (not full text):</w:t>
      </w:r>
      <w:r>
        <w:t xml:space="preserve"> A richly illustrated book on the history of climate change in Europe. Two perspectives, one unique book: two leading experts, a historian and a climatologist, co-author a new standard work on climate history. An overview of the connection between climatic and social developments over the last 1000 years. For the first time, a historian and a climatologist with knowledge of climate history have worked closely together to create a unique book, combining climate reconstructions based on documented data in their human-historical context with temporally highly resolved analyses of climate and glaciers. "Here we can clearly see how changes in climate affected the environment and people of Europe over many centuries, with important lessons for the future. A wonderfully engaging and well-documented account by two of Europe's leading climate scientists." Prof. Dr.</w:t>
      </w:r>
    </w:p>
    <w:p>
      <w:pPr/>
      <w:r>
        <w:rPr>
          <w:b/>
        </w:rPr>
        <w:t>POSSIBLE 2021:</w:t>
      </w:r>
      <w:r>
        <w:t xml:space="preserve"> European transport simulator modeling of JET-ILW baseline plasmas: predictive code validation and DTE2 predictions — https://doi.org/10.1088/1741-4326/ac0b34</w:t>
      </w:r>
    </w:p>
    <w:p>
      <w:pPr/>
      <w:r>
        <w:rPr>
          <w:b/>
        </w:rPr>
        <w:t>Shared claim-specific concepts:</w:t>
      </w:r>
      <w:r>
        <w:t xml:space="preserve"> here, data, species; EU scope visible. This is a provisional connection, not an outcome finding.</w:t>
      </w:r>
    </w:p>
    <w:p>
      <w:pPr>
        <w:pStyle w:val="SourceNote"/>
      </w:pPr>
      <w:r>
        <w:rPr>
          <w:b/>
        </w:rPr>
        <w:t>Available abstract (not full text):</w:t>
      </w:r>
      <w:r>
        <w:t xml:space="preserve"> The European transport simulator is a fusion machine simulator useful for making predictions of high-performance fusion plasmas, in particular for DT reactors. Recent developments introducing self-consistent simulations of combined RF + NBI heating schemes in which majority, minority and beam ions are simultaneously heated is documented. The predictive simulations are first validated by comparison with the experimental data on a DD JET baseline plasma. In order to prepare the next JET DTE2 experimental campaign, extrapolations of fusion performance on DT plasma from DD plasma are made with a particular focus on ion cyclotron resonance heating (ICRH) computation. Traditional ion cyclotron range of frequency heating models do not permit the study of Coulomb collisional interaction of various ion species simultaneously including neutral beam injection ions, and generally forces one to consider only minority populations. Accounting for multi-population interaction is made possible here by solving coupled sets of Fokker–Planck equations for all ion species adopting the non-linear collision operator for arbitrary distribution functions, accounting for effects, such as the self-collisions of majority (or large minority) populations. To answer the question whether H minority scheme or 3 He minority ICRH scheme is better for boosting the DT fusion performance, minority concentration sca</w:t>
      </w:r>
    </w:p>
    <w:p>
      <w:pPr/>
      <w:r>
        <w:rPr>
          <w:b/>
        </w:rPr>
        <w:t>POSSIBLE 2021:</w:t>
      </w:r>
      <w:r>
        <w:t xml:space="preserve"> Predicting hotspots for invasive species introduction in Europe — https://doi.org/10.1088/1748-9326/ac2f19</w:t>
      </w:r>
    </w:p>
    <w:p>
      <w:pPr/>
      <w:r>
        <w:rPr>
          <w:b/>
        </w:rPr>
        <w:t>Shared claim-specific concepts:</w:t>
      </w:r>
      <w:r>
        <w:t xml:space="preserve"> here, climate, data, species, currently; EU scope visible. This is a provisional connection, not an outcome finding.</w:t>
      </w:r>
    </w:p>
    <w:p>
      <w:pPr>
        <w:pStyle w:val="SourceNote"/>
      </w:pPr>
      <w:r>
        <w:rPr>
          <w:b/>
        </w:rPr>
        <w:t>Available abstract (not full text):</w:t>
      </w:r>
      <w:r>
        <w:t xml:space="preserve"> Abstract Plant pest invasions cost billions of Euros each year in Europe. Prediction of likely places of pest introduction could greatly help focus efforts on prevention and control and thus reduce societal costs of pest invasions. Here, we test whether generic data-driven risk maps of pest introduction, valid for multiple species and produced by machine learning methods, could supplement the costly species-specific risk analyses currently conducted by governmental agencies. An elastic-net algorithm was trained on a dataset covering 243 invasive species to map risk of new introductions in Europe as a function of climate, soils, water, and anthropogenic factors. Results revealed that the BeNeLux states, Northern Italy, the Northern Balkans, and the United Kingdom, and areas around container ports such as Antwerp, London, Rijeka, and Saint Petersburg were at higher risk of introductions. Our analysis shows that machine learning can produce hotspot maps for pest introductions with a high predictive accuracy, but that systematically collected data on species’ presences and absences are required to further validate and improve these maps.</w:t>
      </w:r>
    </w:p>
    <w:p>
      <w:pPr>
        <w:pStyle w:val="Heading2"/>
      </w:pPr>
      <w:r>
        <w:t>887.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2023:</w:t>
      </w:r>
      <w:r>
        <w:t xml:space="preserve"> EUROPEAN UNION AT THE DAWN OF TECHNOLOGICAL COLD WAR — https://doi.org/10.12775/tis.2023.015</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The purpose of the study was to construct a picture of the EU’s global position in a world defined by the US-Chinese technological Cold War. Morphological analysis has been used to enable a comprehensive analysis of the relationship between the technological and social domains. Structured interviews were also used to support the analytical process. The results of the exploration showed a picture of the EU’s multi-level technological weakness compared to competing powers. While the EU is not a weak entity, its future international position will depend on the creation of its own technological capabilities and on cooperation with the United States. Both lines of action are subject to multiple risks. Firstly, some aggressive technological developments (such as the plans to place microchips production in Europe) can generate more problems than diversification. Secondly, the EU must extend its work on high-tech (primarily AI) beyond the logic of market regulation and focus on their geopolitical and military dimension. It must also be ready for possible obstacles in cooperation with the United States. The alternative to this track, as the analysis shows, is the technological, and hence the political and economic peripheral status, where two technological superpowers – the United States and authoritarian China will compete. The most negative result for the EU is the status of “digital </w:t>
      </w:r>
    </w:p>
    <w:p>
      <w:pPr/>
      <w:r>
        <w:rPr>
          <w:b/>
        </w:rPr>
        <w:t>POSSIBLE 2023:</w:t>
      </w:r>
      <w:r>
        <w:t xml:space="preserve"> Technological Challenges and Opportunities to Plastics Valorization in the Context of a Circular Economy in Europe — https://doi.org/10.3390/su15043741</w:t>
      </w:r>
    </w:p>
    <w:p>
      <w:pPr/>
      <w:r>
        <w:rPr>
          <w:b/>
        </w:rPr>
        <w:t>Shared claim-specific concepts:</w:t>
      </w:r>
      <w:r>
        <w:t xml:space="preserve"> further, technological, issues, economy; EU scope visible. This is a provisional connection, not an outcome finding.</w:t>
      </w:r>
    </w:p>
    <w:p>
      <w:pPr>
        <w:pStyle w:val="SourceNote"/>
      </w:pPr>
      <w:r>
        <w:rPr>
          <w:b/>
        </w:rPr>
        <w:t>Available abstract (not full text):</w:t>
      </w:r>
      <w:r>
        <w:t xml:space="preserve"> The transition to a fully-fledged circular economy (CE) has proven to be challenging for many industries. Despite possible competitive advantages of moving industries towards CE activities, their practical implementation is still limited. This communication article delivers ad interim an identification of technological challenges and opportunities for the European plastics industries to facilitate circularity ambitions. In applying the qualitative-empirical Gioia-method utilizing the GABEK-WinRelan tool, specific technological challenges and opportunities for plastics industries were identified. Major findings indicate that technological challenges for plastics are predominantly seen in (C1) secondary material contamination; (C2) recycling processing issues; (C3) production processing issues; (C4) production material quality issues; and (C5) end-product quality issues, while the opportunities lie in (O1) effective secondary material management; (O2) innovation for chemical recycling; (O3) innovation for production and processability; (O4) innovative materials; and (O5) innovative end-products. This article contributes to the contemporary debate of CE challenges and opportunities to plastics valorization by highlighting the promising role of chemical recycling on a monomer-level as a key facilitator to a circular plastics economy. Further, it was found that technological transit</w:t>
      </w:r>
    </w:p>
    <w:p>
      <w:pPr/>
      <w:r>
        <w:rPr>
          <w:b/>
        </w:rPr>
        <w:t>POSSIBLE 2023:</w:t>
      </w:r>
      <w:r>
        <w:t xml:space="preserve"> Latest developments in Social Europe: Promising steps in need for future monitoring — https://doi.org/10.1111/jcms.13556</w:t>
      </w:r>
    </w:p>
    <w:p>
      <w:pPr/>
      <w:r>
        <w:rPr>
          <w:b/>
        </w:rPr>
        <w:t>Shared claim-specific concepts:</w:t>
      </w:r>
      <w:r>
        <w:t xml:space="preserve"> steps, further; EU scope visible. This is a provisional connection, not an outcome finding.</w:t>
      </w:r>
    </w:p>
    <w:p>
      <w:pPr>
        <w:pStyle w:val="SourceNote"/>
      </w:pPr>
      <w:r>
        <w:rPr>
          <w:b/>
        </w:rPr>
        <w:t>Available abstract (not full text):</w:t>
      </w:r>
      <w:r>
        <w:t xml:space="preserve"> After 2 years of dealing with the social consequences of the pandemic, European citizens and policy-makers entered 2022 with glimpses of hope regarding the prospects for economic, labour market and social recovery.Despite cross-country and within-country variation, the real output in the European Union (EU) had returned to its 2019 level by 2021.By spring of the same year, the average EU unemployment rate had reached January 2019 levels.Then, less than 2 months into the New Year, the Russian invasion of Ukraine brought war on the EU borders, altering previous patterns of recovery and established policy agendas.At the social level, the most relevant implication experienced by European citizens was the deepening of the inflationary trends that had started manifesting in 2021, which turned into a cost-of-living crisis over the course of 2022.While the actual impact of this further shock will be assessed fully in the coming years, the insecurity and precariousness that characterized the most vulnerable social groups revealed once again the existing gaps within welfare states and social protection systems from the local level to the supranational level.Similarly to what happened after the outbreak of the coronavirus pandemic, the responses by national policy-makers were swift and largely in the form of compensatory measures.The EU contributed to the financial effort by allowing memb</w:t>
      </w:r>
    </w:p>
    <w:p>
      <w:pPr/>
      <w:r>
        <w:rPr>
          <w:b/>
        </w:rPr>
        <w:t>POSSIBLE 2023:</w:t>
      </w:r>
      <w:r>
        <w:t xml:space="preserve"> Reviving Social Europe: a critical assessment of EU social policy in the wake of multiple crises — https://doi.org/10.17979/ejge.2023.12.2.9541</w:t>
      </w:r>
    </w:p>
    <w:p>
      <w:pPr/>
      <w:r>
        <w:rPr>
          <w:b/>
        </w:rPr>
        <w:t>Shared claim-specific concepts:</w:t>
      </w:r>
      <w:r>
        <w:t xml:space="preserve"> further, issues, focus, economy; EU scope visible. This is a provisional connection, not an outcome finding.</w:t>
      </w:r>
    </w:p>
    <w:p>
      <w:pPr>
        <w:pStyle w:val="SourceNote"/>
      </w:pPr>
      <w:r>
        <w:rPr>
          <w:b/>
        </w:rPr>
        <w:t>Available abstract (not full text):</w:t>
      </w:r>
      <w:r>
        <w:t xml:space="preserve"> The concept of "Social Europe" encompasses the European Union's social policy framework. This paper argues that the financial crisis of 2007-2009, the subsequent Euro crisis, and the ensuing austerity measures diverted significant attention away from Social Europe. This neglect led to declining living standards, reductions in public services, and the emergence of critical challenges such as the gig economy. In recent years, the COVID-19 pandemic has further exacerbated these issues, prompting a renewed focus on Social Europe by EU institutions. This paper conducts a chronological analysis of recent legislative (acquis) and non-legislative (soft power) instruments implemented to address these challenges and assesses the prospects of Social Europe in the near term.</w:t>
      </w:r>
    </w:p>
    <w:p>
      <w:pPr/>
      <w:r>
        <w:rPr>
          <w:b/>
        </w:rPr>
        <w:t>POSSIBLE 2021:</w:t>
      </w:r>
      <w:r>
        <w:t xml:space="preserve"> The state of innovative development and further steps towards the neo-economy of Ukraine in the first quarter of the XXI century — https://doi.org/10.33731/52020.233745</w:t>
      </w:r>
    </w:p>
    <w:p>
      <w:pPr/>
      <w:r>
        <w:rPr>
          <w:b/>
        </w:rPr>
        <w:t>Shared claim-specific concepts:</w:t>
      </w:r>
      <w:r>
        <w:t xml:space="preserve"> steps, further, technological; EU scope visible. This is a provisional connection, not an outcome finding.</w:t>
      </w:r>
    </w:p>
    <w:p>
      <w:pPr>
        <w:pStyle w:val="SourceNote"/>
      </w:pPr>
      <w:r>
        <w:rPr>
          <w:b/>
        </w:rPr>
        <w:t>Available abstract (not full text):</w:t>
      </w:r>
      <w:r>
        <w:t xml:space="preserve"> Revutsky S. The state of innovative development and further steps towards the neo-economy of Ukraine in the first quarter of the XXI century. The article examines the state of innovative development in Ukraine in comparison with world leaders. Comparative analysis of goals, priorities and directions of development and modernization of public policy to achieve the level of neo-economy, which is formed under the influence of the new paradigm of scientific and technological development and technological revolution, which is now observed in many countries. From the above data we see that among the common shortcomings of our economic strategy and development program are: ambiguity and inconsistency of goals, mechanisms and objectives, sources of funding and general backwardness in approaches, which requires the use of European approaches to achieve the goal. Relying only on outdated methods of production and labor, the country loses competitiveness in the world market, lagging behind in technological development due to lack of innovation and research in the necessary areas, while the existing system is uncertain and has no financial or legal basis for efficient operation. When the whole world moves to new technological levels, raising its level to the fifth and sixth levels, our state, without a clear leadership and base, lags behind in innovation. That is why the article substantia</w:t>
      </w:r>
    </w:p>
    <w:p>
      <w:pPr/>
      <w:r>
        <w:rPr>
          <w:b/>
        </w:rPr>
        <w:t>POSSIBLE 2020:</w:t>
      </w:r>
      <w:r>
        <w:t xml:space="preserve"> Technological readiness in Europe — https://doi.org/10.4324/9780429057984-12</w:t>
      </w:r>
    </w:p>
    <w:p>
      <w:pPr/>
      <w:r>
        <w:rPr>
          <w:b/>
        </w:rPr>
        <w:t>Shared claim-specific concepts:</w:t>
      </w:r>
      <w:r>
        <w:t xml:space="preserve"> technological, industrial, issues; EU scope visible. This is a provisional connection, not an outcome finding.</w:t>
      </w:r>
    </w:p>
    <w:p>
      <w:pPr>
        <w:pStyle w:val="SourceNote"/>
      </w:pPr>
      <w:r>
        <w:rPr>
          <w:b/>
        </w:rPr>
        <w:t>Available abstract (not full text):</w:t>
      </w:r>
      <w:r>
        <w:t xml:space="preserve"> The technological and innovative developments promised by the next industrial revolution come with their corollaries of optimistic and pessimistic scenarios for our societies. Public policy is tackling digital transition issues; meanwhile, it is already acting on and anticipating the challenges and opportunities, and the risks and uncertainties, of the emerging Industry 4.0 paradigm. The qualitative analysis mainly relies upon official European Commission communications and European Union (EU) reports as well as thematic national and regional strategies. It brings together an updated and structured picture of some of the rationales and directions of I4.0-enabling policies in the EU. The initial efforts to develop key enabling technologies and advanced manufacturing as engines of the EU’s growth trajectory led to the identification of priority action lines for the EU’s industrial policy and investments into new technologies. The priority areas underlined in the previous communications also constituted important building blocks of the EU Regional and Cohesion Policy for the period 2014–2020.</w:t>
      </w:r>
    </w:p>
    <w:p>
      <w:pPr/>
      <w:r>
        <w:rPr>
          <w:b/>
        </w:rPr>
        <w:t>POSSIBLE 2020:</w:t>
      </w:r>
      <w:r>
        <w:t xml:space="preserve"> The sustainability transition in Europe in an age of demographic and technological change — https://doi.org/10.2800/571570</w:t>
      </w:r>
    </w:p>
    <w:p>
      <w:pPr/>
      <w:r>
        <w:rPr>
          <w:b/>
        </w:rPr>
        <w:t>Shared claim-specific concepts:</w:t>
      </w:r>
      <w:r>
        <w:t xml:space="preserve"> technological, industrial, economy; EU scope visible. This is a provisional connection, not an outcome finding.</w:t>
      </w:r>
    </w:p>
    <w:p>
      <w:pPr>
        <w:pStyle w:val="SourceNote"/>
      </w:pPr>
      <w:r>
        <w:rPr>
          <w:b/>
        </w:rPr>
        <w:t>Available abstract (not full text):</w:t>
      </w:r>
      <w:r>
        <w:t xml:space="preserve"> EU policy clearly recognises that achieving long-term sustainability will require fundamental transformation of the core socio-economic systems such as the food, energy and mobility systems. This understanding forms a key pillar of the new European Green Deal, as well as the growing body of complementary goals, strategies and tools, including the Energy Union, the New Industrial Strategy for Europe, the just transition mechanism and the proposal for a European Climate Law. In their different ways, these instruments all aim to enable society to meet its material and socio-economic needs while protecting and enhancing the environment in Europe and globally. Achieving this balance, as detailed in the European Environment Agency's recent five-yearly assessment, SOER 2020, represents a major governance challenge, characterised by widespread lock-ins, feedback loops, trade-offs and uncertainties. Achieving the sustainability transition will require that all areas and levels of government work together to enable the emergence and diffusion of new ways of living and working. Fiscal and financial policy tools have a critical role to play in each phase — from enabling experimentation and innovation, and correcting market incentives, to ensuring a fair sharing of the costs and benefits across society. Yet Europe's financial and fiscal systems themselves face significant disruption and cha</w:t>
      </w:r>
    </w:p>
    <w:p>
      <w:pPr/>
      <w:r>
        <w:rPr>
          <w:b/>
        </w:rPr>
        <w:t>POSSIBLE 2020:</w:t>
      </w:r>
      <w:r>
        <w:t xml:space="preserve"> Mechanisms of empowerment for the Roma in a New Social Europe — https://doi.org/10.51952/9781447357520.ch002</w:t>
      </w:r>
    </w:p>
    <w:p>
      <w:pPr/>
      <w:r>
        <w:rPr>
          <w:b/>
        </w:rPr>
        <w:t>Shared claim-specific concepts:</w:t>
      </w:r>
      <w:r>
        <w:t xml:space="preserve"> realm, focus, economy; EU scope visible. This is a provisional connection, not an outcome finding.</w:t>
      </w:r>
    </w:p>
    <w:p>
      <w:pPr>
        <w:pStyle w:val="SourceNote"/>
      </w:pPr>
      <w:r>
        <w:rPr>
          <w:b/>
        </w:rPr>
        <w:t>Available abstract (not full text):</w:t>
      </w:r>
      <w:r>
        <w:t xml:space="preserve"> Recent years have been turbulent for the European Union (EU), as evidenced by the UK’s departure (Brexit) and increasing levels of Euroscepticism that charge the body with excessive bureaucracy and centralization. However, critics from the progressive spectrum of politics feel that the EU has neglected the social dimension and has lacked the energy and impetus of the Delors-led European Commission (EC) of 1985–95 in the realm of social policy. Indeed, it was under Delors that the EC established a Social Charter of the European Community and sought to steer the EU away from just being a free-trade area towards an expansive social contract-based market economy. Although there was a security and economic focus in the early manifestations of the EU (the Schuman Plan and the Common Market), alongside this has been a social dimension, in particular, after the Treaty of Amsterdam in 1997 strengthened EU competences in employment and social policy. Reflecting the dominance of the centre-right in European politics, in particular, the European Peoples’ Party, the EU institutions can be characterized as cautious in the social sphere, and the concept of Social Europe appears to have gone neglected for much of the past two decades (Graziano and Hartlaap, 2019). In part, this results from the EU’s response to the financial and Eurozone crisis, and strategies within the EU centred on austerit</w:t>
      </w:r>
    </w:p>
    <w:p>
      <w:pPr>
        <w:pStyle w:val="Heading2"/>
      </w:pPr>
      <w:r>
        <w:t>888.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2022:</w:t>
      </w:r>
      <w:r>
        <w:t xml:space="preserve"> Topic-based classification and identification of global trends for startup companies — https://doi.org/10.1007/s11187-022-00609-6</w:t>
      </w:r>
    </w:p>
    <w:p>
      <w:pPr/>
      <w:r>
        <w:rPr>
          <w:b/>
        </w:rPr>
        <w:t>Shared claim-specific concepts:</w:t>
      </w:r>
      <w:r>
        <w:t xml:space="preserve"> finally, trend; EU scope visible. This is a provisional connection, not an outcome finding.</w:t>
      </w:r>
    </w:p>
    <w:p>
      <w:pPr>
        <w:pStyle w:val="SourceNote"/>
      </w:pPr>
      <w:r>
        <w:rPr>
          <w:b/>
        </w:rPr>
        <w:t>Available abstract (not full text):</w:t>
      </w:r>
      <w:r>
        <w:t xml:space="preserve"> To foresee global economic trends, one needs to understand the present startup companies that soon may become new market leaders. In this paper, we explore textual descriptions of more than 250 thousand startups in the Crunchbase database. We analyze the 2009-2019 period by using topic modeling. We propose a novel classification of startup companies free from expert bias that contains 38 topics and quantifies the weight of each of these topics for all the startups. Taking the year of establishment and geographical location of the startups into account, we measure which topics were increasing or decreasing their share over time, and which of them were predominantly present in Europe, North America, or other regions. We find that the share of startups focused on data analytics, social platforms, and financial transfers, and time management has risen, while an opposite trend is observed for mobile gaming, online news, and online social networks as well as legal and professional services. We also identify strong regional differences in topic distribution, suggesting certain concentration of the startups. For example, sustainable agriculture is presented stronger in South America and Africa, while pharmaceutics, in North America and Europe. Furthermore, we explore which pairs of topics tend to co-occur more often together, quantify how multisectoral the startups are, and which start</w:t>
      </w:r>
    </w:p>
    <w:p>
      <w:pPr/>
      <w:r>
        <w:rPr>
          <w:b/>
        </w:rPr>
        <w:t>POSSIBLE 2022:</w:t>
      </w:r>
      <w:r>
        <w:t xml:space="preserve"> Experimental study on basic mechanical properties of recycled steel fiber reinforced concrete — https://doi.org/10.1515/rams-2022-0041</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Abstract Recycled steel fiber (RSF)-reinforced concrete is not only an innovative research trend in the field of civil engineering materials, but also a new type of civil engineering composites under the trend of low-carbon development. This article deals with the experimental study of applying waste steel fibers to form recycled steel fiber concrete (RSFC). The main materials in this study are RSF, coarse and fine aggregate, fly ash, silica fume, and water reducer agent formed by machining surplus materials as the main materials. Three types of concrete were prepared. They were normal concrete, primary steel fiber concrete (PSFC), and RSFC with six different volume contents. The slump and air content of the three types of concrete are compared and analyzed. Then, the effects of the volume content of RSF on the cube compressive strength, splitting tensile strength, flexural strength, and axial compressive strength of RSFC are studied. Finally, the toughness of RSFC is discussed. The test results show that with the increase in the volume content of RSF, the slump of RSFC is significantly reduced, the compressive strength, tensile strength, and flexural strength are enhanced, the increase in tensile strength and flexural strength is significantly higher than the cube compressive strength, and the RSF has an obvious inhibitory effect on the development of concrete cracks which can</w:t>
      </w:r>
    </w:p>
    <w:p>
      <w:pPr/>
      <w:r>
        <w:rPr>
          <w:b/>
        </w:rPr>
        <w:t>POSSIBLE 2021:</w:t>
      </w:r>
      <w:r>
        <w:t xml:space="preserve"> Identifying and correcting spatial bias in opportunistic citizen science data for wild ungulates in Norway — https://doi.org/10.1002/ece3.8200</w:t>
      </w:r>
    </w:p>
    <w:p>
      <w:pPr/>
      <w:r>
        <w:rPr>
          <w:b/>
        </w:rPr>
        <w:t>Shared claim-specific concepts:</w:t>
      </w:r>
      <w:r>
        <w:t xml:space="preserve"> finally, rsf, use, level; EU scope visible. This is a provisional connection, not an outcome finding.</w:t>
      </w:r>
    </w:p>
    <w:p>
      <w:pPr>
        <w:pStyle w:val="SourceNote"/>
      </w:pPr>
      <w:r>
        <w:rPr>
          <w:b/>
        </w:rPr>
        <w:t>Available abstract (not full text):</w:t>
      </w:r>
      <w:r>
        <w:t xml:space="preserve"> Many publications make use of opportunistic data, such as citizen science observation data, to infer large-scale properties of species' distributions. However, the few publications that use opportunistic citizen science data to study animal ecology at a habitat level do so without accounting for spatial biases in opportunistic records or using methods that are difficult to generalize. In this study, we explore the biases that exist in opportunistic observations and suggest an approach to correct for them. We first examined the extent of the biases in opportunistic citizen science observations of three wild ungulate species in Norway by comparing them to data from GPS telemetry. We then quantified the extent of the biases by specifying a model of the biases. From the bias model, we sampled available locations within the species' home range. Along with opportunistic observations, we used the corrected availability locations to estimate a resource selection function (RSF). We tested this method with simulations and empirical datasets for the three species. We compared the results of our correction method to RSFs obtained using opportunistic observations without correction and to RSFs using GPS-telemetry data. Finally, we compared habitat suitability maps obtained using each of these models. Opportunistic observations are more affected by human access and visibility than locations </w:t>
      </w:r>
    </w:p>
    <w:p>
      <w:pPr/>
      <w:r>
        <w:rPr>
          <w:b/>
        </w:rPr>
        <w:t>POSSIBLE 2019:</w:t>
      </w:r>
      <w:r>
        <w:t xml:space="preserve"> Laminin-Coated Electrospun Regenerated Silk Fibroin Mats Promote Neural Progenitor Cell Proliferation, Differentiation, and Survival in vitro — https://doi.org/10.3389/fbioe.2019.00190</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Neural progenitor cell (NPC) transplantation is a promising technique for central nervous system (CNS) reconstruction and regeneration. Biomaterial scaffolds, frameworks, and platforms can support NPC proliferation and differentiation in vitro as well as serve as a temporary extracellular matrix after transplantation. However, further applications of biomaterials require improved biological attributes. Silk fibroin (SF), which is produced by Bombyx mori, is a widely used and studied protein polymer for biomaterial application. Here, we prepared aligned and random eletrospun regenerated SF (RSF) scaffolds, and evaluated their impact on the growth of NPCs. First, we isolated NPCs and then cultured them on either laminin-coated RSF mats or conventional laminin-coated coverslips for cell assays. We found that aligned and random RSF led to increases in NPC proliferation of 143.8 ± 13.3% and 156.3 ± 14.7%, respectively, compared to controls. Next, we investigated neuron differentiation and found that the aligned and the random RSF led to increases in increase in neuron differentiation of about 93.2 ± 6.4%, and 3167.1 ± 4.8%, respectively, compared to controls. Furthermore, we measured the survival of NPCs and found that RSF promoted NPC survival, and found there was no difference among those three groups. Finally, signaling pathways in cells cultured on RSF mats were studied for thei</w:t>
      </w:r>
    </w:p>
    <w:p>
      <w:pPr/>
      <w:r>
        <w:rPr>
          <w:b/>
        </w:rPr>
        <w:t>POSSIBLE 2018:</w:t>
      </w:r>
      <w:r>
        <w:t xml:space="preserve"> Have wolves (Canis lupus) finally scared moose (Alces alces) in Sweden — https://openalex.org/W2902161450</w:t>
      </w:r>
    </w:p>
    <w:p>
      <w:pPr/>
      <w:r>
        <w:rPr>
          <w:b/>
        </w:rPr>
        <w:t>Shared claim-specific concepts:</w:t>
      </w:r>
      <w:r>
        <w:t xml:space="preserve"> finally, use; EU scope visible. This is a provisional connection, not an outcome finding.</w:t>
      </w:r>
    </w:p>
    <w:p>
      <w:pPr>
        <w:pStyle w:val="SourceNote"/>
      </w:pPr>
      <w:r>
        <w:rPr>
          <w:b/>
        </w:rPr>
        <w:t>Available abstract (not full text):</w:t>
      </w:r>
      <w:r>
        <w:t xml:space="preserve"> Carnivores are coming back to Europe and the repercussions of their return on prey species is not fully understood. Research from North American studies suggests predators can indirectly affect how ungulates will select their habitat which can result in a change in vegetation growth as browsing pressure is relaxed in risky areas. The highly human dominated landscapes of European countries could limit the effect predators have, as humans alter so much of the environment, from forestry to hunting. I use resource selection functions to analyse 20 years of data collected in the Grimsö Wildlife Research Area (140 km2), in a before/after study design to see if the return of the wolf (Canis lupus) in Scandinavia has caused moose (Alces alces) to change how they select winter habitat. I show a change in moose habitat selection after wolf recolonization, but find no conclusive evidence of an indirect effect of wolves. A more likely explanation for the observed changes in moose habitat selection within the Grimsö Wildlife Research Area is a functional response between moose and forage availability.</w:t>
      </w:r>
    </w:p>
    <w:p>
      <w:pPr/>
      <w:r>
        <w:rPr>
          <w:b/>
        </w:rPr>
        <w:t>POSSIBLE 2018:</w:t>
      </w:r>
      <w:r>
        <w:t xml:space="preserve"> Integrating telemetry data into spatial capture–recapture modifies inferences on multi‐scale resource selection — https://doi.org/10.1002/ecs2.2203</w:t>
      </w:r>
    </w:p>
    <w:p>
      <w:pPr/>
      <w:r>
        <w:rPr>
          <w:b/>
        </w:rPr>
        <w:t>Shared claim-specific concepts:</w:t>
      </w:r>
      <w:r>
        <w:t xml:space="preserve"> rsf, use, integration; EU scope not established. This is a provisional connection, not an outcome finding.</w:t>
      </w:r>
    </w:p>
    <w:p>
      <w:pPr>
        <w:pStyle w:val="SourceNote"/>
      </w:pPr>
      <w:r>
        <w:rPr>
          <w:b/>
        </w:rPr>
        <w:t>Available abstract (not full text):</w:t>
      </w:r>
      <w:r>
        <w:t xml:space="preserve"> Abstract Estimating population size and resource selection functions ( RSF s) are common approaches in applied ecology for addressing wildlife conservation and management objectives. Traditionally such approaches have been undertaken separately with different sources of data. Spatial capture–recapture ( SCR ) provides a hierarchical framework for jointly estimating density and multi‐scale resource selection, and data integration techniques provide opportunities for improving inferences from SCR models. Despite the added benefits, there have been few applications of SCR ‐ RSF integration, potentially due to complexities of specifying and fitting such models. Here, we extend a previous integrated SCR ‐ RSF model to accommodate overlap of individuals between data sources and add the functionality to an open‐source R package ( oSCR ). We illustrate an application of the integrated model to a population of American marten ( Martes americana ) in alpine forests of northern New England. Spatial encounter data from camera traps were combined with telemetry locations from radio‐collared individuals to examine how density and space use varied with spatial environmental features. We compared multi‐model inferences between the integrated SCR ‐ RSF model with telemetry and a standard SCR model with no telemetry. The integrated SCR ‐ RSF model supported more complex relationships with spatia</w:t>
      </w:r>
    </w:p>
    <w:p>
      <w:pPr>
        <w:pStyle w:val="Heading2"/>
      </w:pPr>
      <w:r>
        <w:t>889.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r>
        <w:rPr>
          <w:b/>
        </w:rPr>
        <w:t>POSSIBLE 2023:</w:t>
      </w:r>
      <w:r>
        <w:t xml:space="preserve"> Relationships between factors of regional competitiveness in Central and Eastern Europe — https://doi.org/10.14254/2071-8330.2023/16-3/4</w:t>
      </w:r>
    </w:p>
    <w:p>
      <w:pPr/>
      <w:r>
        <w:rPr>
          <w:b/>
        </w:rPr>
        <w:t>Shared claim-specific concepts:</w:t>
      </w:r>
      <w:r>
        <w:t xml:space="preserve"> applied, reveal, different, general, across; EU scope visible. This is a provisional connection, not an outcome finding.</w:t>
      </w:r>
    </w:p>
    <w:p>
      <w:pPr>
        <w:pStyle w:val="SourceNote"/>
      </w:pPr>
      <w:r>
        <w:rPr>
          <w:b/>
        </w:rPr>
        <w:t>Available abstract (not full text):</w:t>
      </w:r>
      <w:r>
        <w:t xml:space="preserve"> The divide between the eastern and western parts of the European Union has been widely discussed. However, significant territorial differences are undoubtedly present even within the narrower eastern region of the EU. This study focuses on the competitiveness of regions in Central and Eastern Europe (CEE). The analysis relies on the pyramid model, the theoretical background of which provides the basis for investigating the factors affecting the competitiveness of the 51 NUTS 2 regions across six CEE countries. Partial least squares structural equation modelling (PLS-SEM) is applied to examine the relationships and effect mechanisms between the model’s factors (more specifically, between the latent variables representing the factors). We have adapted our general model to the so-called overperforming and underperforming regions described by Iammarino et al. (2019), exploring the connections of their competitiveness factors in this context. Research results reveal that the effect mechanisms observed between the above-mentioned regions are completely different. Various factors can be considered as either important or less decisive in terms of competitiveness development, which could have implications for regional policy moving forward.</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different, need, across;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three, across;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Exploring Factors Associated with Parent Engagement in A Parenting Program in Southeastern Europe — https://doi.org/10.1007/s10826-022-02411-0</w:t>
      </w:r>
    </w:p>
    <w:p>
      <w:pPr/>
      <w:r>
        <w:rPr>
          <w:b/>
        </w:rPr>
        <w:t>Shared claim-specific concepts:</w:t>
      </w:r>
      <w:r>
        <w:t xml:space="preserve"> three, different, there; EU scope visible. This is a provisional connection, not an outcome finding.</w:t>
      </w:r>
    </w:p>
    <w:p>
      <w:pPr>
        <w:pStyle w:val="SourceNote"/>
      </w:pPr>
      <w:r>
        <w:rPr>
          <w:b/>
        </w:rPr>
        <w:t>Available abstract (not full text):</w:t>
      </w:r>
      <w:r>
        <w:t xml:space="preserve"> Abstract Parental engagement in parenting programs is essential for good outcomes but can be challenging for many families. In low- and middle-income countries, where resources are limited and there are fewer support services, there is little research examining the factors that influence engagement. This mixed-methods study explored factors associated with parent engagement, as well as barriers and supports, in a pilot evaluation of a parenting program with 140 parents in North Macedonia, Republic of Moldova, and Romania. The relationship between various quantitative types of engagement (e.g., premature drop-out, participation) and a range of demographic, personal, and implementation factors were examined. Qualitative parent interviews explored barriers and supports to program engagement. Implementation variables (e.g., phone calls with parents, program fidelity and text messages sent to parents) were consistently positively associated with different types of engagement after controlling for other factors. Parents of boys, being a victim of intimate partner violence, more children in the household and better parental well-being were positively associated with premature drop-out whilst having a child enrolled in school was positively associated with participation. Barriers included logistical factors such as timing and lack of childcare facilities. Factors that increased engagem</w:t>
      </w:r>
    </w:p>
    <w:p>
      <w:pPr/>
      <w:r>
        <w:rPr>
          <w:b/>
        </w:rPr>
        <w:t>POSSIBLE 2022:</w:t>
      </w:r>
      <w:r>
        <w:t xml:space="preserve"> Exploring scale in social licence to operate: European perspectives — https://doi.org/10.1016/j.jclepro.2022.135552</w:t>
      </w:r>
    </w:p>
    <w:p>
      <w:pPr/>
      <w:r>
        <w:rPr>
          <w:b/>
        </w:rPr>
        <w:t>Shared claim-specific concepts:</w:t>
      </w:r>
      <w:r>
        <w:t xml:space="preserve"> three, although, there; EU scope visible. This is a provisional connection, not an outcome finding.</w:t>
      </w:r>
    </w:p>
    <w:p>
      <w:pPr>
        <w:pStyle w:val="SourceNote"/>
      </w:pPr>
      <w:r>
        <w:rPr>
          <w:b/>
        </w:rPr>
        <w:t>Available abstract (not full text):</w:t>
      </w:r>
      <w:r>
        <w:t xml:space="preserve"> This article explores the issue of scale in the social licence to operate (SLO) which, to date, is understudied. The community-company relationship is the original, and still predominant, conceptualization of the term with the less tangible society-industry relationship still not typically in focus. Although the literature distinguishes between community and societal scales, there is no research on why the distinction is important, how the two scales are integrated or whether they interact with and influence one another. Exploring scale in SLO is important for theoretical clarification of the concept, for better empirical understanding of the role mining plays in host localities and the broader society and for the potential to incentivize industry toward more responsible and sustainable practices. Europe's multi-layered governance structure combined with its push for more domestic mining activities provides an ideal crucible for debates of scale to play out. To investigate the community and societal scales in the European context within a single study, three main research questions guide the work: how do orientations toward SLO differ at the community and societal scales; how do these orientations influence the acceptance of mining at both scales; and how do these orientations interact and influence one another? Through quantitative analyses, we found that site level factors te</w:t>
      </w:r>
    </w:p>
    <w:p>
      <w:pPr/>
      <w:r>
        <w:rPr>
          <w:b/>
        </w:rPr>
        <w:t>POSSIBLE 2021:</w:t>
      </w:r>
      <w:r>
        <w:t xml:space="preserve"> A dynamic factor model applied to investor sentiment in the European context — https://doi.org/10.21511/imfi.18(1).2021.25</w:t>
      </w:r>
    </w:p>
    <w:p>
      <w:pPr/>
      <w:r>
        <w:rPr>
          <w:b/>
        </w:rPr>
        <w:t>Shared claim-specific concepts:</w:t>
      </w:r>
      <w:r>
        <w:t xml:space="preserve"> factor, applied, three, like; EU scope visible. This is a provisional connection, not an outcome finding.</w:t>
      </w:r>
    </w:p>
    <w:p>
      <w:pPr>
        <w:pStyle w:val="SourceNote"/>
      </w:pPr>
      <w:r>
        <w:rPr>
          <w:b/>
        </w:rPr>
        <w:t>Available abstract (not full text):</w:t>
      </w:r>
      <w:r>
        <w:t xml:space="preserve"> This paper proposes an Investor Sentiment Index for the European market and tests its predictability power over returns and volatility. The constructed Investor Sentiment Index for Europe draws upon three well-established and two recent individual sentiment proxies through a novel dynamic factor modeling addressed to behavioral finance. The index is obtained through an extended period of analysis and validated with other sentiment index measures. The work relies on individual sentiment proxies based on a dynamic factor model and tests it using a TGARCH model for volatility and returns. It carries out an in-sample and out-of-sample analysis to examine this sentiment index’s forecasting power over returns sustained on a recursive rolling window prediction against Fama and French’s three-factor model. The findings demonstrate that the proposed index closely predicts STOXX600 variance and returns and confirms a strong spillover effect between European and US stock markets. This study also concludes that the proposed European Sentiment Index is a valid alternative method for investors to monitor and predict market behaviors. The developed sentiment measure is a vital market prediction movement tool for financial information providers, investors, bankers, and financial analysts. The research combines the sentiment index with a TGARCH approach over the extended period of analysis and </w:t>
      </w:r>
    </w:p>
    <w:p>
      <w:pPr/>
      <w:r>
        <w:rPr>
          <w:b/>
        </w:rPr>
        <w:t>POSSIBLE 2020:</w:t>
      </w:r>
      <w:r>
        <w:t xml:space="preserve"> Factors Influencing Human Mobility During The COVID-19 Pandemic in Selected Countries of Europe and North America — https://doi.org/10.1109/bigdata50022.2020.9377932</w:t>
      </w:r>
    </w:p>
    <w:p>
      <w:pPr/>
      <w:r>
        <w:rPr>
          <w:b/>
        </w:rPr>
        <w:t>Shared claim-specific concepts:</w:t>
      </w:r>
      <w:r>
        <w:t xml:space="preserve"> principal, component, applied; EU scope visible. This is a provisional connection, not an outcome finding.</w:t>
      </w:r>
    </w:p>
    <w:p>
      <w:pPr>
        <w:pStyle w:val="SourceNote"/>
      </w:pPr>
      <w:r>
        <w:rPr>
          <w:b/>
        </w:rPr>
        <w:t>Available abstract (not full text):</w:t>
      </w:r>
      <w:r>
        <w:t xml:space="preserve"> A novel coronavirus (COVID-19) was first reported in Wuhan, China in December 2109 and was declared a global pandemic by the World Health Organization on 11 March 2020. Identification of the critical factors that predict reduced mobility and human interaction is critical to developing successful transmission mitigation efforts globally. Governments and localities around the world have responded with wide-ranging policies related to containment and closure such as travel restrictions and stay-at-home-orders, as well as economic benefits, expanded testing, and public health education, among others. Anonymized GPS-enabled smartphone data is a novel tool to track human mobility and is becoming widely available. This study explores the relationships between containment and closure policies, disease trends, and human mobility patterns in 40 countries in Western, Eastern, Northern, and Southern Europe and North America. The principal component analysis was applied to reduce variable dimensions, followed by multivariate multiple regression. The model parameter estimations indicate that total cases, canceling activities (school, work, events), mask policies and the pandemic declaration all were significant predictors (p&lt;; .001) of change in workplace mobility from baseline.</w:t>
      </w:r>
    </w:p>
    <w:p>
      <w:pPr>
        <w:pStyle w:val="Heading2"/>
      </w:pPr>
      <w:r>
        <w:t>890.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2023:</w:t>
      </w:r>
      <w:r>
        <w:t xml:space="preserve"> Entry modes used in the internationalization process of automotive enterprises — https://doi.org/10.29119/1641-3466.2023.180.16</w:t>
      </w:r>
    </w:p>
    <w:p>
      <w:pPr/>
      <w:r>
        <w:rPr>
          <w:b/>
        </w:rPr>
        <w:t>Shared claim-specific concepts:</w:t>
      </w:r>
      <w:r>
        <w:t xml:space="preserve"> conclusions, recommendations, internationalization, process, findings; EU scope visible. This is a provisional connection, not an outcome finding.</w:t>
      </w:r>
    </w:p>
    <w:p>
      <w:pPr>
        <w:pStyle w:val="SourceNote"/>
      </w:pPr>
      <w:r>
        <w:rPr>
          <w:b/>
        </w:rPr>
        <w:t>Available abstract (not full text):</w:t>
      </w:r>
      <w:r>
        <w:t xml:space="preserve"> Purpose: The main aim of the article is to identify and describe strategies for entering foreign markets and forms of serving these markets by automotive sector enterprises as part of the internationalization process.The secondary goal is to find links between these strategies, their forms and their importance for the overall course of internationalization of activities of the surveyed enterprises.Design, methodology and approach: The article uses mixed research methods.The starting point was literature studies to determine the current state of knowledge in the research area and to formulate the problem.The research proper was conducted using a qualitative approach.The core consisted of case studies supported by data from secondary sources.Findings: It is not possible to design a universal internationalization model for all enterprises in the automotive sector.Strategies adopted depend on many factors: general conditions of the country's economy and its size, level of technological advancement in production, capital resources, product range and vision of development.Therefore, the greatest similarities occur in the geographical layout.Asian, European and North American companies followed different paths of internationalization. Research limitations and implications:The research expands knowledge about internationalization of automotive companies.It shows the context of the proc</w:t>
      </w:r>
    </w:p>
    <w:p>
      <w:pPr/>
      <w:r>
        <w:rPr>
          <w:b/>
        </w:rPr>
        <w:t>POSSIBLE 2022:</w:t>
      </w:r>
      <w:r>
        <w:t xml:space="preserve"> Navigating the internationalization process: Strategic resources for early internationalizing firms — https://doi.org/10.1007/s10843-022-00308-z</w:t>
      </w:r>
    </w:p>
    <w:p>
      <w:pPr/>
      <w:r>
        <w:rPr>
          <w:b/>
        </w:rPr>
        <w:t>Shared claim-specific concepts:</w:t>
      </w:r>
      <w:r>
        <w:t xml:space="preserve"> recommendations, internationalization, based, process; EU scope not established. This is a provisional connection, not an outcome finding.</w:t>
      </w:r>
    </w:p>
    <w:p>
      <w:pPr>
        <w:pStyle w:val="SourceNote"/>
      </w:pPr>
      <w:r>
        <w:rPr>
          <w:b/>
        </w:rPr>
        <w:t>Available abstract (not full text):</w:t>
      </w:r>
      <w:r>
        <w:t xml:space="preserve"> Abstract Despite an increasing number of studies identifying factors that influence the internationalization process for early internationalizing firms (EIFs), it remains unclear which of these numerous factors could play a strategic role and, more specifically, when. This paper develops a new conceptual framework anchored in the resource-based view to identify strategic resources that can explain EIFs’ internationalization process accurately over time. Building on a systematic literature review based on 102 papers covering a period of 29 years, we methodically present a phase-by-phase observation of EIFs’ internationalization process to identify the strategic relevance of different influential resources. The results highlight the importance of the shift from individual to organizational resources, which occurs at a critical phase of transition from the entry to the post-entry phase. Studying the evolution of strategic resources along four phases allows us to determine that the progress of EIFs through the phases of their internationalization process is closely linked to their resources’ development process. This study suggests some promising research avenues, at theoretical and methodological levels, and results in a series of concrete recommendations intended for entrepreneurs and/or managers of EIFs.</w:t>
      </w:r>
    </w:p>
    <w:p>
      <w:pPr/>
      <w:r>
        <w:rPr>
          <w:b/>
        </w:rPr>
        <w:t>POSSIBLE 2022:</w:t>
      </w:r>
      <w:r>
        <w:t xml:space="preserve"> Management of inflammation in dry eye disease: Recommendations from a European panel of experts — https://doi.org/10.1177/11206721221141481</w:t>
      </w:r>
    </w:p>
    <w:p>
      <w:pPr/>
      <w:r>
        <w:rPr>
          <w:b/>
        </w:rPr>
        <w:t>Shared claim-specific concepts:</w:t>
      </w:r>
      <w:r>
        <w:t xml:space="preserve"> recommendations, education, based, experts, key, including; EU scope visible. This is a provisional connection, not an outcome finding.</w:t>
      </w:r>
    </w:p>
    <w:p>
      <w:pPr>
        <w:pStyle w:val="SourceNote"/>
      </w:pPr>
      <w:r>
        <w:rPr>
          <w:b/>
        </w:rPr>
        <w:t>Available abstract (not full text):</w:t>
      </w:r>
      <w:r>
        <w:t xml:space="preserve"> INTRODUCTION: Early initiation of anti-inflammatory therapies is recommended for dry eye disease (DED) to break the vicious cycle of pathophysiology. However, there is limited guidance on how to implement topical ciclosporin (CsA) and corticosteroid treatment into clinical practice. This expert-led consensus provides practical guidance on the management of DED, including when and how to use topical CsA. METHODS: A steering committee (SC) of seven European DED experts developed a questionnaire to gain information on the unmet needs and management of DED in clinical practice. Consensus statements on four key areas (disease severity and progression; patient management; efficacy, safety and tolerability of CsA; and patient education) were generated based on the responses. The SC and an expanded expert panel of 22 members used a nine-point scale (1 = strongly disagree; 9 = strongly agree) to rate statements; a consensus was reached if ≥75% of experts scored a statement ≥7. RESULTS: A stepwise approach to DED management is required in patients presenting with moderate corneal staining. Early topical CsA initiation, alone or with corticosteroids, should be considered in patients with clinical risk factors for severe DED. Patient education is required before and during treatment to manage expectations regarding efficacy and tolerability in order to optimise adherence. Follow-up visits </w:t>
      </w:r>
    </w:p>
    <w:p>
      <w:pPr/>
      <w:r>
        <w:rPr>
          <w:b/>
        </w:rPr>
        <w:t>POSSIBLE 2021:</w:t>
      </w:r>
      <w:r>
        <w:t xml:space="preserve"> European Recommendations on Robotics and Related Issues in Education in Different Countries — https://doi.org/10.1007/978-3-030-77040-2_34</w:t>
      </w:r>
    </w:p>
    <w:p>
      <w:pPr/>
      <w:r>
        <w:rPr>
          <w:b/>
        </w:rPr>
        <w:t>Shared claim-specific concepts:</w:t>
      </w:r>
      <w:r>
        <w:t xml:space="preserve"> recommendations, education, based; EU scope visible. This is a provisional connection, not an outcome finding.</w:t>
      </w:r>
    </w:p>
    <w:p>
      <w:pPr>
        <w:pStyle w:val="SourceNote"/>
      </w:pPr>
      <w:r>
        <w:rPr>
          <w:b/>
        </w:rPr>
        <w:t>Available abstract (not full text):</w:t>
      </w:r>
      <w:r>
        <w:t xml:space="preserve"> Abstract This short paper describes the preliminary phase in an innovative line of research comparing educational robotics in Italy and other countries, from the perspective of media education, and based on the European Parliament recommendations to the Commission on civil law rules on robotics. More specifically, all decision processes that affect digital citizenship should have the support of children and teenagers. For these reasons, this paper looks at the work of a group of Italian high school students in the fifth year of upper secondary school, who formulated a SWOT analysis to highlight their attitudes to robotics issues in relation to the European Union recommendations. This research started in 2018 and will be repeated this academic year with Italian and Congolese students—from the Institut Supérieur des Techniques Appliquées—with a qualitative analysis to establish student attitudes to robotics issues. Qualitative analysis was selected because the SWOT analysis is already divided into information categories, revealing a variety of concepts that are grouped together from the collected data. These results will be compared with any obtained in future years in Italy and other countries, to find further potential patterns.</w:t>
      </w:r>
    </w:p>
    <w:p>
      <w:pPr/>
      <w:r>
        <w:rPr>
          <w:b/>
        </w:rPr>
        <w:t>POSSIBLE 2020:</w:t>
      </w:r>
      <w:r>
        <w:t xml:space="preserve"> Collaboration and Internationalization of SMEs: Insights and Recommendations from a Systematic Review — https://doi.org/10.1111/ijmr.12238</w:t>
      </w:r>
    </w:p>
    <w:p>
      <w:pPr/>
      <w:r>
        <w:rPr>
          <w:b/>
        </w:rPr>
        <w:t>Shared claim-specific concepts:</w:t>
      </w:r>
      <w:r>
        <w:t xml:space="preserve"> recommendations, internationalization, process, key; EU scope not established. This is a provisional connection, not an outcome finding.</w:t>
      </w:r>
    </w:p>
    <w:p>
      <w:pPr>
        <w:pStyle w:val="SourceNote"/>
      </w:pPr>
      <w:r>
        <w:rPr>
          <w:b/>
        </w:rPr>
        <w:t>Available abstract (not full text):</w:t>
      </w:r>
      <w:r>
        <w:t xml:space="preserve"> Abstract This paper performs a systematic literature review of the undeniably diverse – and somewhat fragmented – current state of research on the collaborations and internationalization of small and medium‐sized enterprises (SMEs). We analyze key works and synthesize them into a framework that conceptually maps key antecedents, mediators, and moderators that influence the internationalization of SMEs. In addition, we highlight limitations of the literature, most notably in terms of theoretical fragmentation; extant theories are deployed and illustrated but rarely extended in a manner that significantly informs subsequent work. At an applied (but related) level, we argue the need for supplementary work that explores the distinct stages of internationalization – and the scope and scale of this process – rather than assuming closure around particular events. With this, we highlight the need for more rigorous and empirically informed explorations of contextual effects that take account of the consequences of developments in the global economic ecosystem.</w:t>
      </w:r>
    </w:p>
    <w:p>
      <w:pPr/>
      <w:r>
        <w:rPr>
          <w:b/>
        </w:rPr>
        <w:t>POSSIBLE 2020:</w:t>
      </w:r>
      <w:r>
        <w:t xml:space="preserve"> Make Banking Simple Again : A multiple case-study about the internationalization of the largest online retail banks in Europe — https://openalex.org/W3047438540</w:t>
      </w:r>
    </w:p>
    <w:p>
      <w:pPr/>
      <w:r>
        <w:rPr>
          <w:b/>
        </w:rPr>
        <w:t>Shared claim-specific concepts:</w:t>
      </w:r>
      <w:r>
        <w:t xml:space="preserve"> recommendations, internationalization, process, international, findings; EU scope visible. This is a provisional connection, not an outcome finding.</w:t>
      </w:r>
    </w:p>
    <w:p>
      <w:pPr>
        <w:pStyle w:val="SourceNote"/>
      </w:pPr>
      <w:r>
        <w:rPr>
          <w:b/>
        </w:rPr>
        <w:t>Available abstract (not full text):</w:t>
      </w:r>
      <w:r>
        <w:t xml:space="preserve"> Digitalization is increasing in our society and continues to move in that direction. The shift from traditional banks to online banks is becoming more popular, and with an online bank, the international markets open. Although previous research about internationalization exists, there is no in-depth research on the specific topic of online banks. This study aims to provide information regarding how online banks internationalize, to understand the underlying factors for the process better as well as provide recommendations for both online banks but also traditional banks. Factors such as motivators, the entrepreneur, and resources are investigated to find an answer to the given research question. The way of internationalization is connected to the already pre-existing strategies of global or regional markets. The third theoretical concept that is applied to understand the internationalization process is which path of internationalization is used, either Born Global or Born Regional. This thesis is a qualitative study with a deductive approach. The empirical findings are derived from case studies through semi-structured interviews, and the sampling selection is online retail banks operating in Europe, with more than one million customers. The selected cases are Revolut, N26, Monzo, and Monese, where one interview per bank is conducted. The interviewee’s understanding of the subjec</w:t>
      </w:r>
    </w:p>
    <w:p>
      <w:pPr/>
      <w:r>
        <w:rPr>
          <w:b/>
        </w:rPr>
        <w:t>POSSIBLE 2020:</w:t>
      </w:r>
      <w:r>
        <w:t xml:space="preserve"> Evidence‐based treatment recommendations for neck and low back pain across Europe: A systematic review of guidelines — https://doi.org/10.1002/ejp.1679</w:t>
      </w:r>
    </w:p>
    <w:p>
      <w:pPr/>
      <w:r>
        <w:rPr>
          <w:b/>
        </w:rPr>
        <w:t>Shared claim-specific concepts:</w:t>
      </w:r>
      <w:r>
        <w:t xml:space="preserve"> conclusions, recommendations, education, based; EU scope visible. This is a provisional connection, not an outcome finding.</w:t>
      </w:r>
    </w:p>
    <w:p>
      <w:pPr>
        <w:pStyle w:val="SourceNote"/>
      </w:pPr>
      <w:r>
        <w:rPr>
          <w:b/>
        </w:rPr>
        <w:t>Available abstract (not full text):</w:t>
      </w:r>
      <w:r>
        <w:t xml:space="preserve"> BACKGROUND AND OBJECTIVE: This systematic review synthesized evidence from European neck and low back pain (NLBP) clinical practice guidelines (CPGs) to identify recommended treatment options for use across Europe. DATABASES AND DATA TREATMENT: Comprehensive searches of thirteen databases were conducted, from 1st January 2013 to 4th May 2020 to identify up-to-date evidence-based European CPGs for primary care management of NLBP, issued by professional bodies/organizations. Data extracted included; aim and target population, methods for development and implementation and treatment recommendations. The AGREE II checklist was used to critically appraise guidelines. Criteria were devised to summarize and synthesize the direction and strength of recommendations across guidelines. RESULTS: Seventeen CPGs (11 low back; 5 neck; 1 both) from eight European countries were identified, of which seven were high quality. For neck pain, there were consistent weak or moderate strength recommendations for: reassurance, advice and education, manual therapy, referral for exercise therapy/programme, oral analgesics and topical medications, plus psychological therapies or multidisciplinary treatment for specific subgroups. Notable recommendation differences between back and neck pain included, i) analgesics for neck pain (not for back pain); ii) options for back pain-specific subgroups-work-based i</w:t>
      </w:r>
    </w:p>
    <w:p>
      <w:pPr/>
      <w:r>
        <w:rPr>
          <w:b/>
        </w:rPr>
        <w:t>POSSIBLE 2020:</w:t>
      </w:r>
      <w:r>
        <w:t xml:space="preserve"> Evidence-Based Policies in Education: Initiatives and Challenges in Europe — https://doi.org/10.1177/2096531120924670</w:t>
      </w:r>
    </w:p>
    <w:p>
      <w:pPr/>
      <w:r>
        <w:rPr>
          <w:b/>
        </w:rPr>
        <w:t>Shared claim-specific concepts:</w:t>
      </w:r>
      <w:r>
        <w:t xml:space="preserve"> education, process, findings; EU scope visible. This is a provisional connection, not an outcome finding.</w:t>
      </w:r>
    </w:p>
    <w:p>
      <w:pPr>
        <w:pStyle w:val="SourceNote"/>
      </w:pPr>
      <w:r>
        <w:rPr>
          <w:b/>
        </w:rPr>
        <w:t>Available abstract (not full text):</w:t>
      </w:r>
      <w:r>
        <w:t xml:space="preserve"> Purpose: This article examines the state of progress of evidence-based educational policies in Europe and identifies organizations for the generation and dissemination of evidence. Further, it discusses some of the most relevant challenges facing the development of evidence-informed education policies in Europe. Design/Approach/Methods: This article analyzes official documents by the European Commission (EC) and other organizations. Literature in the field of evidence-based education worldwide is examined to identify the primary challenges and issues related to the development of a culture of evidence in Europe’s education sector. Findings: The EC has recently prioritized evidence-informed policy and practice in education, increasingly encouraging member states to utilize evidence in the policy decision-making process. According to official documents, this process began in 2006 and has since enjoyed remarkable progress through several initiatives intended to spread a culture of evidence in education. However, several challenges and issues remain regarding the promotion of evidence-informed policymaking. Originality/Value: Having prioritized evidence-informed policy and practice, the EC strongly encourages the adoption of evidence in the policymaking process. This article provides a point of reference regarding the initiatives already undertaken and the challenges facing evidenc</w:t>
      </w:r>
    </w:p>
    <w:p>
      <w:pPr/>
      <w:r>
        <w:rPr>
          <w:b/>
        </w:rPr>
        <w:t>POSSIBLE 2020:</w:t>
      </w:r>
      <w:r>
        <w:t xml:space="preserve"> Congenital Hypothyroidism: A 2020–2021 Consensus Guidelines Update—An ENDO-European Reference Network Initiative Endorsed by the European Society for Pediatric Endocrinology and the European Society for Endocrinology — https://doi.org/10.1089/thy.2020.0333</w:t>
      </w:r>
    </w:p>
    <w:p>
      <w:pPr/>
      <w:r>
        <w:rPr>
          <w:b/>
        </w:rPr>
        <w:t>Shared claim-specific concepts:</w:t>
      </w:r>
      <w:r>
        <w:t xml:space="preserve"> conclusions, recommendations, education, based, summary, key; EU scope visible. This is a provisional connection, not an outcome finding.</w:t>
      </w:r>
    </w:p>
    <w:p>
      <w:pPr>
        <w:pStyle w:val="SourceNote"/>
      </w:pPr>
      <w:r>
        <w:rPr>
          <w:b/>
        </w:rPr>
        <w:t>Available abstract (not full text):</w:t>
      </w:r>
      <w:r>
        <w:t xml:space="preserve"> Background: An ENDO-European Reference Network (ERN) initiative was launched that was endorsed by the European Society for Pediatric Endocrinology and the European Society for Endocrinology with 22 participants from the ENDO-ERN and the two societies. The aim was to update the practice guidelines for the diagnosis and management of congenital hypothyroidism (CH). A systematic literature search was conducted to identify key articles on neonatal screening, diagnosis, and management of primary and central CH. The evidence-based guidelines were graded with the Grading of Recommendations, Assessment, Development and Evaluation system, describing both the strength of recommendations and the quality of evidence. In the absence of sufficient evidence, conclusions were based on expert opinion. Summary: The recommendations include the various neonatal screening approaches for CH as well as the etiology (also genetics), diagnostics, treatment, and prognosis of both primary and central CH. When CH is diagnosed, the expert panel recommends the immediate start of correctly dosed levothyroxine treatment and frequent follow-up including laboratory testing to keep thyroid hormone levels in their target ranges, timely assessment of the need to continue treatment, attention for neurodevelopment and neurosensory functions, and, if necessary, consulting other health professionals, and education of </w:t>
      </w:r>
    </w:p>
    <w:p>
      <w:pPr/>
      <w:r>
        <w:rPr>
          <w:b/>
        </w:rPr>
        <w:t>POSSIBLE 2019:</w:t>
      </w:r>
      <w:r>
        <w:t xml:space="preserve"> Pathways of SME internationalization: a bibliometric and systematic review — https://doi.org/10.1007/s11187-019-00181-6</w:t>
      </w:r>
    </w:p>
    <w:p>
      <w:pPr/>
      <w:r>
        <w:rPr>
          <w:b/>
        </w:rPr>
        <w:t>Shared claim-specific concepts:</w:t>
      </w:r>
      <w:r>
        <w:t xml:space="preserve"> internationalization, international, findings; EU scope not established. This is a provisional connection, not an outcome finding.</w:t>
      </w:r>
    </w:p>
    <w:p>
      <w:pPr>
        <w:pStyle w:val="SourceNote"/>
      </w:pPr>
      <w:r>
        <w:rPr>
          <w:b/>
        </w:rPr>
        <w:t>Available abstract (not full text):</w:t>
      </w:r>
      <w:r>
        <w:t xml:space="preserve"> Business is dynamic and rapidly changing. Global markets were previously the playing field of multinational corporations (MNCs), while small and medium enterprises (SMEs) were local; however, the removal of imposed barriers and recent technological advances in manufacturing, transportation, and communications have indorsed SMEs and international entrepreneurs (IEs) global access. SMEs and IEs are increasingly fueling economic growth and innovation, and these trends are presenting both opportunities and challenges to both MNCs and SMEs in the global arena. This review systematically examines comparative SME and IE research, analyzing (after fine-tuning) 762 articles published in leading journals from 1992 to September 2018. Our bibliometric and systematic review classifies SME and IE research findings into three echelons: (i) subjects, (ii) theories, and (iii) methods.</w:t>
      </w:r>
    </w:p>
    <w:p>
      <w:pPr>
        <w:pStyle w:val="Heading2"/>
      </w:pPr>
      <w:r>
        <w:t>891.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2023:</w:t>
      </w:r>
      <w:r>
        <w:t xml:space="preserve"> Le rôle du commerce pour une adaptation résiliente au changement climatique dans l’agriculture africaine — https://doi.org/10.3917/edd.363.0041</w:t>
      </w:r>
    </w:p>
    <w:p>
      <w:pPr/>
      <w:r>
        <w:rPr>
          <w:b/>
        </w:rPr>
        <w:t>Shared claim-specific concepts:</w:t>
      </w:r>
      <w:r>
        <w:t xml:space="preserve"> tudie, les, pour, une, vers; EU scope visible. This is a provisional connection, not an outcome finding.</w:t>
      </w:r>
    </w:p>
    <w:p>
      <w:pPr>
        <w:pStyle w:val="SourceNote"/>
      </w:pPr>
      <w:r>
        <w:rPr>
          <w:b/>
        </w:rPr>
        <w:t>Available abstract (not full text):</w:t>
      </w:r>
      <w:r>
        <w:t xml:space="preserve"> Cette étude explore les connaissances scientifiques sur la manière dont le commerce peut aider l’Afrique à s’adapter au changement climatique (CC) dans trois domaines : (i) les événements à déclenchement rapide provenant d’événements extrêmes de courte durée (inondations, températures extrêmes) ; (ii) les événements à évolution lente (augmentation des températures moyennes et élévation du niveau de la mer) ; et enfin (iii) les politiques de facilitation du commerce. Événements à déclenchement rapide . Le commerce réduit l’amplitude des dommages liés aux événements extrêmes, par exemple, les sécheresses. Mais certaines réactions de politiques économiques peuvent augmenter l’amplitude de ces chocs. Lors de la sécheresse sud-africaine de 2015-2016, les politiques ont eu des retombées dans les pays voisins. Après la crise financière de 2008-2009, les restrictions à l’exportation imposées par les principaux exportateurs de denrées alimentaires et la réduction des droits de douane par les importateurs ont amplifié le choc. La coordination des politiques est donc nécessaire pour en contrôler les retombées négatives. Événements à évolution lente. Les efforts de modélisation relevés dans la littérature se sont concentrés sur l’exploration des « marges » d’ajustement au changement climatique : changements dans les niveaux de production des cultures existantes ; changements dans les denré</w:t>
      </w:r>
    </w:p>
    <w:p>
      <w:pPr/>
      <w:r>
        <w:rPr>
          <w:b/>
        </w:rPr>
        <w:t>POSSIBLE 2023:</w:t>
      </w:r>
      <w:r>
        <w:t xml:space="preserve"> Les « groupes Medvedkine » (1967-1974), transfert tardif de la culture d’agit-prop soviétique ? — https://openalex.org/W4364379400</w:t>
      </w:r>
    </w:p>
    <w:p>
      <w:pPr/>
      <w:r>
        <w:rPr>
          <w:b/>
        </w:rPr>
        <w:t>Shared claim-specific concepts:</w:t>
      </w:r>
      <w:r>
        <w:t xml:space="preserve"> lui, les, pour, une; EU scope visible. This is a provisional connection, not an outcome finding.</w:t>
      </w:r>
    </w:p>
    <w:p>
      <w:pPr>
        <w:pStyle w:val="SourceNote"/>
      </w:pPr>
      <w:r>
        <w:rPr>
          <w:b/>
        </w:rPr>
        <w:t>Available abstract (not full text):</w:t>
      </w:r>
      <w:r>
        <w:t xml:space="preserve"> De 1967 à 1974, des collectifs d’ouvriers-cinéastes appelés « groupes Medvedkine » se formèrent en France, dans le sillon des grèves de l’industrie textile et automobile de Besançon et de Sochaux, sous l’impulsion du cinéaste Chris Marker (1921-2012). Ces groupes représentèrent en France une expérience à la fois sociale et créatrice de cinéma militant, caractérisée par l’appropriation par les ouvriers eux-mêmes du processus de création des films au service d’une représentation autonome et réflexive de leurs luttes. Mais de quoi Medvedkine est-il le nom ? Il s’agit pour Marker de matérialiser un lien de filiation : celle qu’il souhaite établir entre le combat idéologique et militant du cinéaste soviétique Alexandre Medvedkine (1900-1989), dans les années 1920 et au début des années 1930 en URSS (incarnée par son « Ciné-train »), et celui des ouvriers français, dont le projet lui semble fondamentalement lié, puisque ceux-ci expriment dès la fin de l’année 1967 la volonté, comme Medvedkine y invitait ouvriers et paysans russes, de s’approprier le discours cinématographique qui les concerne.</w:t>
      </w:r>
    </w:p>
    <w:p>
      <w:pPr/>
      <w:r>
        <w:rPr>
          <w:b/>
        </w:rPr>
        <w:t>POSSIBLE 2022:</w:t>
      </w:r>
      <w:r>
        <w:t xml:space="preserve"> Persécution des juifs et espace urbain — https://doi.org/10.3917/rhu.062.0081</w:t>
      </w:r>
    </w:p>
    <w:p>
      <w:pPr/>
      <w:r>
        <w:rPr>
          <w:b/>
        </w:rPr>
        <w:t>Shared claim-specific concepts:</w:t>
      </w:r>
      <w:r>
        <w:t xml:space="preserve"> les, pour, une, article; EU scope not established. This is a provisional connection, not an outcome finding.</w:t>
      </w:r>
    </w:p>
    <w:p>
      <w:pPr>
        <w:pStyle w:val="SourceNote"/>
      </w:pPr>
      <w:r>
        <w:rPr>
          <w:b/>
        </w:rPr>
        <w:t>Available abstract (not full text):</w:t>
      </w:r>
      <w:r>
        <w:t xml:space="preserve"> Les relations sociales entre juifs et non-juifs pendant la Shoah ont fait l’objet de nombreux travaux depuis vingt ans. Dans ces études, la figure des « voisins » est très présente sans être circonscrite d’un point de vue géographique. L’article construit les termes de « voisin » et de « voisinage » pour faire de ces catégories des outils de compréhension de la persécution. À partir d’une vaste enquête concernant les réaffectations de logements de familles juives à Paris pendant l’Occupation sous l’égide de la préfecture de la Seine, les auteurs observent au plus près les relations sociales des Parisiens avec leurs voisins juifs et les caractéristiques spatiales de leur trajectoire résidentielle.</w:t>
      </w:r>
    </w:p>
    <w:p>
      <w:pPr/>
      <w:r>
        <w:rPr>
          <w:b/>
        </w:rPr>
        <w:t>POSSIBLE 2022:</w:t>
      </w:r>
      <w:r>
        <w:t xml:space="preserve"> The public stigma of facial disfigurement : investigating the relationships between visual attention, affective reactions and dehumanization — https://openalex.org/W7214250308</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Les personnes présentant une différence faciale (DF) sont stigmatisées. Cette stigmatisation semanifeste particulièrement par les réactions affectives des percevant·e·s, notamment par le dégout etla peur, émotions généralement associées au processus de déshumanisation d’autrui. Par ailleurs, entant que stigmate visible, la DF semble influencer la répartition de l’attention visuelle sur un visagemais peu de travaux ont associé ces champs. Ainsi, ce projet de thèse avait pour objectif de mieuxcomprendre la stigmatisation sociale de la DF, et plus particulièrement les liens entre perceptionvisuelle, réactions affectives stigmatisantes et déshumanisation. En se focalisant sur les réactionsaffectives, il s’agissait préalablement de proposer une typologie de ces réactions affectivesstigmatisantes, puis de mettre en lumière leurs liens avec les changements dans l’attention visuelle,pour finalement déterminer si ces réactions témoignent d’un processus de déshumanisation. Nosrésultats montrent que la DF modifie globalement la répartition de l’attention visuelle et influencel’émergence de réactions affectives stigmatisantes en engendrant moins de neutralité et plus desurprise, dégoût, peur et mépris. La perception visuelle de la DF semble déterminante puisque lamodification de l’attention visuelle était liée à la fois aux réactions affectives stigmatisantes et auxattributions déshumanisa</w:t>
      </w:r>
    </w:p>
    <w:p>
      <w:pPr/>
      <w:r>
        <w:rPr>
          <w:b/>
        </w:rPr>
        <w:t>POSSIBLE 2022:</w:t>
      </w:r>
      <w:r>
        <w:t xml:space="preserve"> Faire diaspora en ville, XIII e -XIX e siècle — https://doi.org/10.3917/rhu.064.0097</w:t>
      </w:r>
    </w:p>
    <w:p>
      <w:pPr/>
      <w:r>
        <w:rPr>
          <w:b/>
        </w:rPr>
        <w:t>Shared claim-specific concepts:</w:t>
      </w:r>
      <w:r>
        <w:t xml:space="preserve"> les, effets, pour, une, cet, article; EU scope not established. This is a provisional connection, not an outcome finding.</w:t>
      </w:r>
    </w:p>
    <w:p>
      <w:pPr>
        <w:pStyle w:val="SourceNote"/>
      </w:pPr>
      <w:r>
        <w:rPr>
          <w:b/>
        </w:rPr>
        <w:t>Available abstract (not full text):</w:t>
      </w:r>
      <w:r>
        <w:t xml:space="preserve"> La ville de Rouen, une des plus grandes du royaume, fut depuis sa fondation soumise aux aléas météorologiques tels que les excès de pluie, les froids intenses ou encore les tempêtes. Ces extrêmes climatiques avaient des conséquences directes (destructions d’édifices, rupture des communications) et indirectes (baisse des disponibilités alimentaires, apparition d’épidémies). Face à cette vulnérabilité les autorités mirent en place dès le Moyen Âge des parades plus ou moins efficientes pour atténuer en amont et en aval les effets négatifs de ces aléas. Au xviii e le courant intellectuel et scientifique des Lumières se diffusa à la ville de Rouen. Par la promotion de théories sanitaires, urbanistiques, agricoles et commerciales modernes, les hommes des Lumières se proposaient d’améliorer la résilience urbaine sous toutes ces facettes. L’objet de cet article est de percevoir le degré de pénétration et d’application des Lumières dans la société rouennaise.</w:t>
      </w:r>
    </w:p>
    <w:p>
      <w:pPr/>
      <w:r>
        <w:rPr>
          <w:b/>
        </w:rPr>
        <w:t>POSSIBLE 2022:</w:t>
      </w:r>
      <w:r>
        <w:t xml:space="preserve"> Des albums plurilingues à l’école pour les lecteurs… plurilingues ? — https://doi.org/10.63723/publije.202110161</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L’article propose une typologie des albums bi-, multi-, plurilingues en s’inspirant du fonctionnement du sujet plurilingue, ce qui conduit à distinguer les albums multilingues (langues cloisonnées) des albums plurilingues (langues en interaction). Il rend compte dans un second temps d’un atelier de formation initiale en INSPE, mené par les deux chercheuses avec un groupe de quinze professeures des écoles stagiaires. Ces stagiaires ont été amenées à mettre en œuvre des séquences dans les classes, à partir de 4 albums (un imagier multilingue, trois albums plurilingues), dans les 3 cycles de l’école primaire. Les séquences devaient mobiliser des objectifs d’apprentissage transversaux, langagiers et métalangagiers. Les deux chercheuses ont souhaité observé les formes d’appropriation par les professeures des écoles stagiaires des scénarios pédagogiques succincts proposés autour des albums, afin de voir comment des professeurs débutants dans le métier parvenaient à s’emparer de la question complexe du plurilinguisme. The article provides a typology of bi-, multi- and plurilingual picture books based on the functioning of the plurilingual subject, which leads to a distinction between multilingual picture books (partitioned languages) and plurilingual picture books (interacting languages). It then reports on an initial training workshop in INSPE, conducted by the two researchers with a</w:t>
      </w:r>
    </w:p>
    <w:p>
      <w:pPr/>
      <w:r>
        <w:rPr>
          <w:b/>
        </w:rPr>
        <w:t>POSSIBLE 2022:</w:t>
      </w:r>
      <w:r>
        <w:t xml:space="preserve"> Un virus mis en scène par son vaccin ? La prise en charge du HPV et des pathologies associées en belgique — https://doi.org/10.1684/sss.2021.0211</w:t>
      </w:r>
    </w:p>
    <w:p>
      <w:pPr/>
      <w:r>
        <w:rPr>
          <w:b/>
        </w:rPr>
        <w:t>Shared claim-specific concepts:</w:t>
      </w:r>
      <w:r>
        <w:t xml:space="preserve"> les, une, vers, cet, article; EU scope not established. This is a provisional connection, not an outcome finding.</w:t>
      </w:r>
    </w:p>
    <w:p>
      <w:pPr>
        <w:pStyle w:val="SourceNote"/>
      </w:pPr>
      <w:r>
        <w:rPr>
          <w:b/>
        </w:rPr>
        <w:t>Available abstract (not full text):</w:t>
      </w:r>
      <w:r>
        <w:t xml:space="preserve"> Cet article s’intéresse à la mise en place de la détection du papillomavirus humain (HPV) et aux conséquences qui en découlent en Belgique. L’établissement de technologies de détection et de prévention contre le cancer du col de l’utérus et l’agent infectieux – le HPV – ont redéfini les contours d’un problème de santé publique. La systématisation du test HPV en lien avec l’arrivée des vaccins témoigne du glissement de la prise en charge du cancer du col à la prévention du virus. Alors que le frottis utérin permet de détecter le cancer et des lésions précancéreuses, l’utilisation des vaccins anti-HPV est un pas vers une étape de prévention plus précoce qui induit des conséquences sanitaires et sociales. La compréhension de ce qui fait « pathologie » ou de ce qui peut être désigné comme « normal » s’est modifiée ignorant parfois certaines populations ou au contraire élargissant les caractéristiques des populations dites « à risque ». L’attention ou l’absence d’importance donnée à certains organes et populations laisse à voir des normes autour de la sexualité et du genre et contribue à construire des identités sexuelles et de genre affectées par certaines maladies – les hommes homosexuels par le cancer de l’anus et les femmes par le cancer du col utérin – alors que d’autres cancers comme celui de l’oropharynx sont semblablement présents. Parallèlement, bien que les inégalités soci</w:t>
      </w:r>
    </w:p>
    <w:p>
      <w:pPr/>
      <w:r>
        <w:rPr>
          <w:b/>
        </w:rPr>
        <w:t>POSSIBLE 2021:</w:t>
      </w:r>
      <w:r>
        <w:t xml:space="preserve"> Neuro-socio-cognitive approach of social perception : new perspectives for disability studies — https://openalex.org/W7214254807</w:t>
      </w:r>
    </w:p>
    <w:p>
      <w:pPr/>
      <w:r>
        <w:rPr>
          <w:b/>
        </w:rPr>
        <w:t>Shared claim-specific concepts:</w:t>
      </w:r>
      <w:r>
        <w:t xml:space="preserve"> les, pour, une, mesure; EU scope not established. This is a provisional connection, not an outcome finding.</w:t>
      </w:r>
    </w:p>
    <w:p>
      <w:pPr>
        <w:pStyle w:val="SourceNote"/>
      </w:pPr>
      <w:r>
        <w:rPr>
          <w:b/>
        </w:rPr>
        <w:t>Available abstract (not full text):</w:t>
      </w:r>
      <w:r>
        <w:t xml:space="preserve"> Ce travail de thèse est pensé comme une contribution originale à la recherche sur le handicap, en adoptant une approche neuro-socio-cognitive de la perception sociale. L’objectif général est de poursuivre l’analyse des facteurs contribuant à comprendre les barrières à l’inclusion sociale auxquelles font face les personnes en situation de handicap. Dans ces recherches, nous discutons l’opérationnalisation du handicap comme une catégorie univoque. Nous abordons également la question centrale de la mesure en psychologie sociale et comment celle-ci peut approcher au mieux la réalité sociale. A partir de ces réflexions, ce travail de thèse suit une ambition double. D’une part, élargir l’objet d’étude du handicap en prenant en compte l’(in)visibilité de la déficience. D’autre part, diversifier les outils d’investigation concernant notre objet d’étude. Pour répondre à ceci, la thèse s’organise autour de deux volets principaux. Le premier volet, centré sur la perception de Soi des individus en situation de handicap, propose quatre études dont deux font l’objet de publications. Globalement, les résultats mettent en évidence le rôle déterminant de facteurs subjectifs, tels que les jugements de soi en terme de compétence. Le deuxième volet de cette thèse se focalise sur l’étude de la perception sociale à l’égard des personnes en situation de handicap. Il s’organise autour de sept études d</w:t>
      </w:r>
    </w:p>
    <w:p>
      <w:pPr/>
      <w:r>
        <w:rPr>
          <w:b/>
        </w:rPr>
        <w:t>POSSIBLE 2021:</w:t>
      </w:r>
      <w:r>
        <w:t xml:space="preserve"> Approche neuro-socio-cognitive de la perception sociale : nouvelles perspectives pour la recherche sur le handicap — https://doi.org/10.70675/71d44d6az4a73z4885zb629za45d7782d05d</w:t>
      </w:r>
    </w:p>
    <w:p>
      <w:pPr/>
      <w:r>
        <w:rPr>
          <w:b/>
        </w:rPr>
        <w:t>Shared claim-specific concepts:</w:t>
      </w:r>
      <w:r>
        <w:t xml:space="preserve"> les, pour, une, mesure; EU scope not established. This is a provisional connection, not an outcome finding.</w:t>
      </w:r>
    </w:p>
    <w:p>
      <w:pPr>
        <w:pStyle w:val="SourceNote"/>
      </w:pPr>
      <w:r>
        <w:rPr>
          <w:b/>
        </w:rPr>
        <w:t>Available abstract (not full text):</w:t>
      </w:r>
      <w:r>
        <w:t xml:space="preserve"> Ce travail de thèse est pensé comme une contribution originale à la recherche sur le handicap, en adoptant une approche neuro-socio-cognitive de la perception sociale. L’objectif général est de poursuivre l’analyse des facteurs contribuant à comprendre les barrières à l’inclusion sociale auxquelles font face les personnes en situation de handicap. Dans ces recherches, nous discutons l’opérationnalisation du handicap comme une catégorie univoque. Nous abordons également la question centrale de la mesure en psychologie sociale et comment celle-ci peut approcher au mieux la réalité sociale. A partir de ces réflexions, ce travail de thèse suit une ambition double. D’une part, élargir l’objet d’étude du handicap en prenant en compte l’(in)visibilité de la déficience. D’autre part, diversifier les outils d’investigation concernant notre objet d’étude. Pour répondre à ceci, la thèse s’organise autour de deux volets principaux. Le premier volet, centré sur la perception de Soi des individus en situation de handicap, propose quatre études dont deux font l’objet de publications. Globalement, les résultats mettent en évidence le rôle déterminant de facteurs subjectifs, tels que les jugements de soi en terme de compétence. Le deuxième volet de cette thèse se focalise sur l’étude de la perception sociale à l’égard des personnes en situation de handicap. Il s’organise autour de sept études d</w:t>
      </w:r>
    </w:p>
    <w:p>
      <w:pPr>
        <w:pStyle w:val="Heading2"/>
      </w:pPr>
      <w:r>
        <w:t>892.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r>
        <w:rPr>
          <w:b/>
        </w:rPr>
        <w:t>POSSIBLE 2025:</w:t>
      </w:r>
      <w:r>
        <w:t xml:space="preserve"> Changes in Biological and Chemical Soil Properties in an Austrian Long‐Term Tillage Experiment — https://doi.org/10.1111/ejss.70037</w:t>
      </w:r>
    </w:p>
    <w:p>
      <w:pPr/>
      <w:r>
        <w:rPr>
          <w:b/>
        </w:rPr>
        <w:t>Shared claim-specific concepts:</w:t>
      </w:r>
      <w:r>
        <w:t xml:space="preserve"> biological, however; EU scope visible. This is a provisional connection, not an outcome finding.</w:t>
      </w:r>
    </w:p>
    <w:p>
      <w:pPr>
        <w:pStyle w:val="SourceNote"/>
      </w:pPr>
      <w:r>
        <w:rPr>
          <w:b/>
        </w:rPr>
        <w:t>Available abstract (not full text):</w:t>
      </w:r>
      <w:r>
        <w:t xml:space="preserve"> ABSTRACT Conventional tillage, including ploughing after harvest and/or for seedbed preparation, aims to incorporate crop residues and weeds and to loosen, mix and aerate the soil. However, less beneficial effects, such as a loss of soil organic carbon (SOC), are also associated with intensive tillage. This has made reduced and minimum tillage systems without ploughing increasingly popular in agriculture, contributing to soil health and climate change mitigation. We studied the effects of different tillage systems on chemical and microbial soil properties in a long‐term field experiment established on a fine‐sandy loamy Haplic Chernozem in Fuchsenbigl, Austria, in 1988. The tillage treatments include conventional tillage (CT) with a plough and a cultivator down to 30 cm soil depth, reduced tillage (RT) with a cultivator down to 15 cm two to three times a year, as well as minimum tillage (MT) treated with a rotary driller once a year down to 5–8 cm soil depth. In 2016, a soil sampling campaign was conducted, and alkaline phosphatase, phospholipid fatty acids (PLFAs), and the nitrogen (N) mineralisation potential were analysed along with chemical properties including SOC, active C, total nitrogen (N t ), CAL extractable phosphorus (P CAL ) and potassium (K CAL ). Under MT, these properties were significantly higher compared to CT in 0–10 cm. In deeper soil layers, these parameter</w:t>
      </w:r>
    </w:p>
    <w:p>
      <w:pPr/>
      <w:r>
        <w:rPr>
          <w:b/>
        </w:rPr>
        <w:t>POSSIBLE 2025:</w:t>
      </w:r>
      <w:r>
        <w:t xml:space="preserve"> Long-Term Obesity and Biological Aging in Young Adults — https://doi.org/10.1001/jamanetworkopen.2025.20011</w:t>
      </w:r>
    </w:p>
    <w:p>
      <w:pPr/>
      <w:r>
        <w:rPr>
          <w:b/>
        </w:rPr>
        <w:t>Shared claim-specific concepts:</w:t>
      </w:r>
      <w:r>
        <w:t xml:space="preserve"> long-term, biological, data; EU scope not established. This is a provisional connection, not an outcome finding.</w:t>
      </w:r>
    </w:p>
    <w:p>
      <w:pPr>
        <w:pStyle w:val="SourceNote"/>
      </w:pPr>
      <w:r>
        <w:rPr>
          <w:b/>
        </w:rPr>
        <w:t>Available abstract (not full text):</w:t>
      </w:r>
      <w:r>
        <w:t xml:space="preserve"> Importance: It remains unclear whether obesity accelerates biological aging, potentially leading to early-onset chronic diseases. Objective: To investigate the association between long-term obesity and the expression of biochemical aging markers in younger adults. Design, Setting, and Participants: This multiple-events case-control study, conducted from April 5, 2022, to June 29, 2023, was embedded in the Santiago Longitudinal Study, a prospective Chilean birth cohort of adults aged 28 to 31 years among whom health and nutrition data were collected from September 1992 onward. Exposure: Body mass index (BMI) trajectory across the life course, recorded multiple times since birth. Group 1 had healthy BMI across the life course, group 2 had persistent obesity since adolescence, and group 3 had persistent obesity since childhood. Main Outcomes and Measures: Smoothed BMI trajectories (cubic polynomials) were used to estimate obesity duration. Primary outcomes were DNA methylation-based age and telomere length (TL). Secondary outcomes included levels of aging-related cytokines, growth factors, and adipomyokines. Results: In the sample of 205 adults (mean [SD] age, 28.9 [0.6] years; 100 females [49%]), 89 (43%) were in group 1, 43 (21%) in group 2, and 73 (36%) in group 3. Mean (SD) obesity duration was 12.9 (4.8) years in group 2 and 26.6 (2.3) years in group 3. Long-term obesity was </w:t>
      </w:r>
    </w:p>
    <w:p>
      <w:pPr/>
      <w:r>
        <w:rPr>
          <w:b/>
        </w:rPr>
        <w:t>POSSIBLE 2025:</w:t>
      </w:r>
      <w:r>
        <w:t xml:space="preserve"> Biological invasions: a global assessment of geographic distributions, long‐term trends, and data gaps — https://doi.org/10.1111/brv.70058</w:t>
      </w:r>
    </w:p>
    <w:p>
      <w:pPr/>
      <w:r>
        <w:rPr>
          <w:b/>
        </w:rPr>
        <w:t>Shared claim-specific concepts:</w:t>
      </w:r>
      <w:r>
        <w:t xml:space="preserve"> biological, often, data, other, drivers, however; EU scope not established. This is a provisional connection, not an outcome finding.</w:t>
      </w:r>
    </w:p>
    <w:p>
      <w:pPr>
        <w:pStyle w:val="SourceNote"/>
      </w:pPr>
      <w:r>
        <w:rPr>
          <w:b/>
        </w:rPr>
        <w:t>Available abstract (not full text):</w:t>
      </w:r>
      <w:r>
        <w:t xml:space="preserve"> Biological invasions are one of the major drivers of biodiversity decline and have been shown to have far-reaching consequences for society and the economy. Preventing the introduction and spread of alien species represents the most effective solution to reducing their impacts on nature and human well-being. However, implementing effective solutions requires a good understanding of where the species are established and how biological invasions develop over time. Knowledge of the status and trends of biological invasions is thus key for guiding research efforts, informing stakeholders and policymakers, for targeted management efforts, and preparing for the future. However, information about the status and trends of alien species is scattered, patchy, and highly incomplete, making it difficult to assess. Published reports for individual regions and taxonomic groups are available, but large-scale overviews are scarce. A global assessment therefore requires a review of available knowledge with careful consideration of sampling and reporting biases. This paper provides a comprehensive global assessment of the status and trends of alien species for major taxonomic groups [Bacteria, Protozoa, Stramenopila, Alveolata, and Rhizaria (SAR), fungi, plants, and animals] for Intergovernmental Panel of Biodiversity and Ecosystem Services (IPBES) regions. The review provides irrefutable eviden</w:t>
      </w:r>
    </w:p>
    <w:p>
      <w:pPr/>
      <w:r>
        <w:rPr>
          <w:b/>
        </w:rPr>
        <w:t>POSSIBLE 2024:</w:t>
      </w:r>
      <w:r>
        <w:t xml:space="preserve"> Machine learning for efficient segregation and labeling of potential biological sounds in long-term underwater recordings — https://doi.org/10.3389/frsen.2024.1390687</w:t>
      </w:r>
    </w:p>
    <w:p>
      <w:pPr/>
      <w:r>
        <w:rPr>
          <w:b/>
        </w:rPr>
        <w:t>Shared claim-specific concepts:</w:t>
      </w:r>
      <w:r>
        <w:t xml:space="preserve"> long-term, biological, provide, data, however; EU scope visible. This is a provisional connection, not an outcome finding.</w:t>
      </w:r>
    </w:p>
    <w:p>
      <w:pPr>
        <w:pStyle w:val="SourceNote"/>
      </w:pPr>
      <w:r>
        <w:rPr>
          <w:b/>
        </w:rPr>
        <w:t>Available abstract (not full text):</w:t>
      </w:r>
      <w:r>
        <w:t xml:space="preserve"> Studying marine soundscapes by detecting known sound events and quantifying their spatio-temporal patterns can provide ecologically relevant information. However, the exploration of underwater sound data to find and identify possible sound events of interest can be highly time-intensive for human analysts. To speed up this process, we propose a novel methodology that first detects all the potentially relevant acoustic events and then clusters them in an unsupervised way prior to manual revision. We demonstrate its applicability on a short deployment. To detect acoustic events, a deep learning object detection algorithm from computer vision (YOLOv8) is re-trained to detect any (short) acoustic event. This is done by converting the audio to spectrograms using sliding windows longer than the expected sound events of interest. The model detects any event present on that window and provides their time and frequency limits. With this approach, multiple events happening simultaneously can be detected. To further explore the possibilities to limit the human input needed to create the annotations to train the model, we propose an active learning approach to select the most informative audio files in an iterative manner for subsequent manual annotation. The obtained detection models are trained and tested on a dataset from the Belgian Part of the North Sea, and then further evaluated for</w:t>
      </w:r>
    </w:p>
    <w:p>
      <w:pPr/>
      <w:r>
        <w:rPr>
          <w:b/>
        </w:rPr>
        <w:t>POSSIBLE 2024:</w:t>
      </w:r>
      <w:r>
        <w:t xml:space="preserve"> Toward DNA-Based Recording of Biological Processes — https://doi.org/10.3390/ijms25179233</w:t>
      </w:r>
    </w:p>
    <w:p>
      <w:pPr/>
      <w:r>
        <w:rPr>
          <w:b/>
        </w:rPr>
        <w:t>Shared claim-specific concepts:</w:t>
      </w:r>
      <w:r>
        <w:t xml:space="preserve"> biological, recording, data; EU scope not established. This is a provisional connection, not an outcome finding.</w:t>
      </w:r>
    </w:p>
    <w:p>
      <w:pPr>
        <w:pStyle w:val="SourceNote"/>
      </w:pPr>
      <w:r>
        <w:rPr>
          <w:b/>
        </w:rPr>
        <w:t>Available abstract (not full text):</w:t>
      </w:r>
      <w:r>
        <w:t xml:space="preserve"> Exploiting the inherent compatibility of DNA-based data storage with living cells, various cellular recording approaches have been developed for recording and retrieving biologically relevant signals in otherwise inaccessible locations, such as inside the body. This review provides an overview of the current state of engineered cellular memory systems, highlighting their design principles, advantages, and limitations. We examine various technologies, including CRISPR-Cas systems, recombinases, retrons, and DNA methylation, that enable these recording systems. Additionally, we discuss potential strategies for improving recording accuracy, scalability, and durability to address current limitations in the field. This emerging modality of biological measurement will be key to gaining novel insights into diverse biological processes and fostering the development of various biotechnological applications, from environmental sensing to disease monitoring and beyond.</w:t>
      </w:r>
    </w:p>
    <w:p>
      <w:pPr/>
      <w:r>
        <w:rPr>
          <w:b/>
        </w:rPr>
        <w:t>POSSIBLE 2024:</w:t>
      </w:r>
      <w:r>
        <w:t xml:space="preserve"> Acute to long-term characteristics of impedance recordings during neurostimulation in humans — https://doi.org/10.1088/1741-2552/ad3416</w:t>
      </w:r>
    </w:p>
    <w:p>
      <w:pPr/>
      <w:r>
        <w:rPr>
          <w:b/>
        </w:rPr>
        <w:t>Shared claim-specific concepts:</w:t>
      </w:r>
      <w:r>
        <w:t xml:space="preserve"> long-term, biological, recording, data, other; EU scope not established. This is a provisional connection, not an outcome finding.</w:t>
      </w:r>
    </w:p>
    <w:p>
      <w:pPr>
        <w:pStyle w:val="SourceNote"/>
      </w:pPr>
      <w:r>
        <w:rPr>
          <w:b/>
        </w:rPr>
        <w:t>Available abstract (not full text):</w:t>
      </w:r>
      <w:r>
        <w:t xml:space="preserve"> Objective: This study aims to characterize the time course of impedance, a crucial electrophysiological property of brain tissue, in the human thalamus (THL), amygdala-hippocampus (AMG-HPC), and posterior hippocampus (post-HPC) over an extended period. Approach: Impedance was periodically sampled every 5-15 minutes over several months in five subjects with drug-resistant epilepsy using an experimental neuromodulation device. Initially, we employed descriptive piecewise and continuous mathematical models to characterize the impedance response for approximately three weeks post-electrode implantation. We then explored the temporal dynamics of impedance during periods when electrical stimulation was temporarily halted, observing a monotonic increase (rebound) in impedance before it stabilized at a higher value. Lastly, we assessed the stability of amplitude and phase over the 24-hour impedance cycle throughout the multi-month recording. Main results: Immediately post-implantation, the impedance decreased, reaching a minimum value in all brain regions within approximately two days, and then increased monotonically over about 14 days to a stable value. The models accounted for the variance in short-term impedance changes. Notably, the minimum impedance of the THL in the most epileptogenic hemisphere was significantly lower than in other regions. During the gaps in electrical stimula</w:t>
      </w:r>
    </w:p>
    <w:p>
      <w:pPr>
        <w:pStyle w:val="Heading2"/>
      </w:pPr>
      <w:r>
        <w:t>893.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2025:</w:t>
      </w:r>
      <w:r>
        <w:t xml:space="preserve"> Digital Currencies in Context: A Cross-Regional Study of Blockchain Adoption in the U.S. and Europe — https://doi.org/10.33423/jabe.v27i6.7943</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This article examines the adoption of blockchain and cryptocurrency within the digital transformation of the U.S. and European economies. It analyzes external and internal factors limiting diffusion and outlines three schools of thought among economists—from skeptics to advocates of technological growth. Using theoretical analysis, empirical data, and assessments from international organizations, the study finds that blockchain and cryptocurrencies hold significant yet delayed potential as drivers of structural economic transformation. The authors emphasize the importance of institutional maturity, regulatory harmonization, and the development of digital literacy to achieve a macro-level impact.</w:t>
      </w:r>
    </w:p>
    <w:p>
      <w:pPr/>
      <w:r>
        <w:rPr>
          <w:b/>
        </w:rPr>
        <w:t>POSSIBLE 2024:</w:t>
      </w:r>
      <w:r>
        <w:t xml:space="preserve"> Three idiosyncratic registers — https://openalex.org/W7112475832</w:t>
      </w:r>
    </w:p>
    <w:p>
      <w:pPr/>
      <w:r>
        <w:rPr>
          <w:b/>
        </w:rPr>
        <w:t>Shared claim-specific concepts:</w:t>
      </w:r>
      <w:r>
        <w:t xml:space="preserve"> author, outlines, three; EU scope visible. This is a provisional connection, not an outcome finding.</w:t>
      </w:r>
    </w:p>
    <w:p>
      <w:pPr>
        <w:pStyle w:val="SourceNote"/>
      </w:pPr>
      <w:r>
        <w:rPr>
          <w:b/>
        </w:rPr>
        <w:t>Available abstract (not full text):</w:t>
      </w:r>
      <w:r>
        <w:t xml:space="preserve"> This paper outlines three public academic registers of a single author, Professor Donna Rose Miller. Miller has had significant impact on the Systemic Functional Linguistics (SFL) community, particularly but by no means exclusively in Europe, through her contributions to discussion lists, through her involvement on the European SFL Association (ESFLA) committee, and through her numerous publications. Texts from these three strands form the focus of the analysis of her idiosyncratic registers in this paper.</w:t>
      </w:r>
    </w:p>
    <w:p>
      <w:pPr/>
      <w:r>
        <w:rPr>
          <w:b/>
        </w:rPr>
        <w:t>POSSIBLE 2024:</w:t>
      </w:r>
      <w:r>
        <w:t xml:space="preserve"> Three Exercises in the Regionalization of Europe — https://doi.org/10.1002/9781394284375.ch11</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The identification of Europe with a larger whole than the state is due to the advanced interweaving of national territories in terms of the circulation of wealth, linguistic practices and international mobility. The institutional inclusion of European states in supranational structures is complex. This chapter proposes three empirical illustrations of Europe through the systems of relations between states in a space. The first illustration deals with the position of European states within diplomatic relations through the establishment of embassies. The second illustration proposes a reflection on Turkey's membership in supranational entities, a state in an interface position between an integrated Europe and other regional spaces invested by Turkish diplomacy, such as the Black Sea area or the Turkish-speaking world of Central Asia. The third illustration poses the links between European states and macro-regional geographical objects in the text of highly consulted newspapers, considered as references, in the French media landscape.</w:t>
      </w:r>
    </w:p>
    <w:p>
      <w:pPr/>
      <w:r>
        <w:rPr>
          <w:b/>
        </w:rPr>
        <w:t>POSSIBLE 2023:</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r>
        <w:rPr>
          <w:b/>
        </w:rPr>
        <w:t>Shared claim-specific concepts:</w:t>
      </w:r>
      <w:r>
        <w:t xml:space="preserve"> abstract, outlines, agenda; EU scope visible. This is a provisional connection, not an outcome finding.</w:t>
      </w:r>
    </w:p>
    <w:p>
      <w:pPr>
        <w:pStyle w:val="SourceNote"/>
      </w:pPr>
      <w:r>
        <w:rPr>
          <w:b/>
        </w:rPr>
        <w:t>Available abstract (not full text):</w:t>
      </w:r>
      <w:r>
        <w:t xml:space="preserve"> This systematic literature review (SLR) investigates migrant entrepreneurship in Europe, addressing their characteristics, encountered challenges, and policy support. The SLR uses a repeatable search protocol for sources published from 1970 to 2021, retrieved from Scopus and Web of Science databases. Inclusion criteria focused on migrant entrepreneurship support studies, excluding domestic migration and non-European contexts. The methods align the data with the research questions to reduce bias. The authors developed an analytical framework inspired by Bourdieu's forms of capital and created tables to synthesize the data. The SLR covers 91 peer-reviewed studies published from 1994 to 2021. The authors categorized challenges into financial, human, and social capital, alongside external factors. Challenges encompassed assimilation, language barriers, networking, funding constraints, and adapting to local business practices. Migrant entrepreneurs' stability hinged on factors such as duration of stay, language proficiency, prior entrepreneurial experience, and education. The authors identified support mechanisms to include local networks, financing, and mentoring. The SLR outlines a research agenda, emphasizing enhanced human and social capital, well-designed support programs, and bias mitigation. This review contributes to the academic literature on understanding and promoting mig</w:t>
      </w:r>
    </w:p>
    <w:p>
      <w:pPr/>
      <w:r>
        <w:rPr>
          <w:b/>
        </w:rPr>
        <w:t>POSSIBLE 2023:</w:t>
      </w:r>
      <w:r>
        <w:t xml:space="preserve"> Causes of the Russian-Ukrainian Conflict and its Impact on Security in Europe — https://doi.org/10.2478/kbo-2023-0004</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r>
        <w:rPr>
          <w:b/>
        </w:rPr>
        <w:t>POSSIBLE 2021:</w:t>
      </w:r>
      <w:r>
        <w:t xml:space="preserve"> The evolution of life cycle assessment in European policies over three decades — https://doi.org/10.1007/s11367-021-01893-2</w:t>
      </w:r>
    </w:p>
    <w:p>
      <w:pPr/>
      <w:r>
        <w:rPr>
          <w:b/>
        </w:rPr>
        <w:t>Shared claim-specific concepts:</w:t>
      </w:r>
      <w:r>
        <w:t xml:space="preserve"> three, according; EU scope visible. This is a provisional connection, not an outcome finding.</w:t>
      </w:r>
    </w:p>
    <w:p>
      <w:pPr>
        <w:pStyle w:val="SourceNote"/>
      </w:pPr>
      <w:r>
        <w:rPr>
          <w:b/>
        </w:rPr>
        <w:t>Available abstract (not full text):</w:t>
      </w:r>
      <w:r>
        <w:t xml:space="preserve"> Abstract Purpose Life cycle thinking (LCT) and life cycle assessment (LCA) are increasingly considered pivotal concept and method for supporting sustainable transitions. LCA plays a relevant role in decision support, for the ambition of a holistic coverage of environmental dimensions and for the identification of hotspots, possible trade-offs, and burden shifting among life cycle stages or impact categories. These features are also relevant when the decision support is needed in policy domain. With a focus on EU policies, the present study explores the evolution and implementation of life cycle concepts and approaches over three decades. Methods Adopting an historical perspective, a review of current European Union (EU) legal acts and communications explicitly mentioning LCT, LCA, life cycle costing (LCC), and environmental footprint (the European Product and Organisation Environmental Footprint PEF/OEF) is performed, considering the timeframe from 1990 to 2020. The documents are categorised by year and according to their types (e.g. regulations, directives, communications) and based on the covered sectors (e.g. waste, energy, buildings). Documents for which life cycle concepts and approaches had a crucial role are identified, and a shortlist of these legal acts and communications is derived. Results and discussion Over the years, LCT and life cycle approaches have been increas</w:t>
      </w:r>
    </w:p>
    <w:p>
      <w:pPr/>
      <w:r>
        <w:rPr>
          <w:b/>
        </w:rPr>
        <w:t>POSSIBLE 2020:</w:t>
      </w:r>
      <w:r>
        <w:t xml:space="preserve"> Skills in European higher education mobility programmes: outlining a conceptual framework — https://doi.org/10.1108/heswbl-09-2019-0111</w:t>
      </w:r>
    </w:p>
    <w:p>
      <w:pPr/>
      <w:r>
        <w:rPr>
          <w:b/>
        </w:rPr>
        <w:t>Shared claim-specific concepts:</w:t>
      </w:r>
      <w:r>
        <w:t xml:space="preserve"> outlines, three, industrial, importance; EU scope visible. This is a provisional connection, not an outcome finding.</w:t>
      </w:r>
    </w:p>
    <w:p>
      <w:pPr>
        <w:pStyle w:val="SourceNote"/>
      </w:pPr>
      <w:r>
        <w:rPr>
          <w:b/>
        </w:rPr>
        <w:t>Available abstract (not full text):</w:t>
      </w:r>
      <w:r>
        <w:t xml:space="preserve"> Purpose Credit mobility has been acknowledged not only to broaden personal and intellectual horizons but also to have positive effects on the skills development and employability of undergraduate students. Academics, policymakers and organizations representing the labour market have presented a broad number of skills-related explorations proposing different frameworks to help develop students' skills. However, the identification of explicit skills is still a difficult endeavour. This study aims to revise main conceptual skills frameworks applicable in the European higher education area (EHEA), determine the skills relevant in European credit mobility and categorize skills among the examined schemes in order to create a normative model of the skills students should obtain in exchange programmes. Design/methodology/approach The approach used to identify related literature was a search in three main databases such as Scopus, Web of Science and Google Scholar for scientific and relevant articles after 1990 using the following combination of keywords: “skill frameworks” AND “higher education” OR “skill frameworks” AND “mobility exchange programs”. It produced 391 articles but only 32 deal with skill frameworks in European higher education. After the review of these existing literature (summaries, tables and conclusions), we found out that most articles focused on specific skills (tr</w:t>
      </w:r>
    </w:p>
    <w:p>
      <w:pPr/>
      <w:r>
        <w:rPr>
          <w:b/>
        </w:rPr>
        <w:t>POSSIBLE 2020:</w:t>
      </w:r>
      <w:r>
        <w:t xml:space="preserve"> Establishment, development and completion of new-European sociality (analysis of the book by V. Fedotova, V, Kolpakov, N. Fedotova “Global Capitalism: three great transformations”) — https://doi.org/10.7256/2454-0625.2020.4.32138</w:t>
      </w:r>
    </w:p>
    <w:p>
      <w:pPr/>
      <w:r>
        <w:rPr>
          <w:b/>
        </w:rPr>
        <w:t>Shared claim-specific concepts:</w:t>
      </w:r>
      <w:r>
        <w:t xml:space="preserve"> author, outlines, three, given; EU scope visible. This is a provisional connection, not an outcome finding.</w:t>
      </w:r>
    </w:p>
    <w:p>
      <w:pPr>
        <w:pStyle w:val="SourceNote"/>
      </w:pPr>
      <w:r>
        <w:rPr>
          <w:b/>
        </w:rPr>
        <w:t>Available abstract (not full text):</w:t>
      </w:r>
      <w:r>
        <w:t xml:space="preserve"> This article analyzes the book by V. Fedotova, V, Kolpakov, N. Fedotova “Global Capitalism: three great transformations”. The author discusses research methodology applied by the book authors, indicating the points of divergence with his own position. For example, he claims that the subject of research should be the new-European sociality, rather than capitalism; the accelerator of social transformations – the European state, rather than the economy. In accordance with these views, characteristic is given to the new-European sociality that includes: concepts and structure of the state, officials who serve citizens and maintain work of government institutions, and society as a vectoring and controlling authority. The article outlines the scheme of four development stages of the new-European sociality: establishment of liberal-democratic state and society, organized capitalism, creation of the welfare society, completion of new-European sociality. As a result, the author was able to clarify research methodology of the new-European sociality, outline the patterns of its genesis, characterize four key development stages of sociality of modern age. The research leans on the classical writings of F. Braudel and J. Schumpeter, as well as modern classics M. Creveld. V. Fedotova, V. Kolpakov, and N. Fedotova.</w:t>
      </w:r>
    </w:p>
    <w:p>
      <w:pPr/>
      <w:r>
        <w:rPr>
          <w:b/>
        </w:rPr>
        <w:t>POSSIBLE 2018:</w:t>
      </w:r>
      <w:r>
        <w:t xml:space="preserve"> European Employment Policies: Current Challenges — https://doi.org/10.35998/9783830529774</w:t>
      </w:r>
    </w:p>
    <w:p>
      <w:pPr/>
      <w:r>
        <w:rPr>
          <w:b/>
        </w:rPr>
        <w:t>Shared claim-specific concepts:</w:t>
      </w:r>
      <w:r>
        <w:t xml:space="preserve"> three, workers, protection; EU scope visible. This is a provisional connection, not an outcome finding.</w:t>
      </w:r>
    </w:p>
    <w:p>
      <w:pPr>
        <w:pStyle w:val="SourceNote"/>
      </w:pPr>
      <w:r>
        <w:rPr>
          <w:b/>
        </w:rPr>
        <w:t>Available abstract (not full text):</w:t>
      </w:r>
      <w:r>
        <w:t xml:space="preserve"> The book provides an analysis of some aspects of the European employment policies, highlighting selected issues stemming from them, as well as offering some recommendations as to how best to achieve the greatest benefits for EU citizens. The authors focus on three different aspects of the issue: firstly, they outline the difficulties of the social dimension of the EU to be effective and to reach new achievements and suggest remarks for its strengthening; secondly, they explore new forms of work in the gig- and collaborative economy and possible ways to provide protection, which currently is lacking for workers; thirdly, the authors present a comparative analysis of labour market policies and provide elements for a proposal which might increase the European Union’s legitimacy in the eyes of its citizens.</w:t>
      </w:r>
    </w:p>
    <w:p>
      <w:pPr/>
      <w:r>
        <w:rPr>
          <w:b/>
        </w:rPr>
        <w:t>POSSIBLE 2016:</w:t>
      </w:r>
      <w:r>
        <w:t xml:space="preserve"> Brexit and Europe. A Commentary — https://doi.org/10.1515/soeu-2016-0031</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The Brexit vote was not simply a rejection of the European Union but also of a politics based on calculated self-interest or reasoned idealism. The author outlines how the referendum came about, provides crucial background information, and analyses its results. The reasons for the success of the Leave campaign are concisely presented, including the role of parties other than the Labour and Tory parties and that of the media in promoting, instead of critically assessing, a campaign characterized by exaggerated, even false claims. In his outlook towards the future, the author focuses on the UK/EU relationship and the internal constitutional crisis the Brexit vote has created and the dangers these pose for (further) destabilisation both of Britain and Europe.</w:t>
      </w:r>
    </w:p>
    <w:p>
      <w:pPr/>
      <w:r>
        <w:rPr>
          <w:b/>
        </w:rPr>
        <w:t>POSSIBLE 2016:</w:t>
      </w:r>
      <w:r>
        <w:t xml:space="preserve"> Applied Anthropology in Europe — https://doi.org/10.3167/aia.2016.230208</w:t>
      </w:r>
    </w:p>
    <w:p>
      <w:pPr/>
      <w:r>
        <w:rPr>
          <w:b/>
        </w:rPr>
        <w:t>Shared claim-specific concepts:</w:t>
      </w:r>
      <w:r>
        <w:t xml:space="preserve"> abstract, outlines, importance; EU scope visible. This is a provisional connection, not an outcome finding.</w:t>
      </w:r>
    </w:p>
    <w:p>
      <w:pPr>
        <w:pStyle w:val="SourceNote"/>
      </w:pPr>
      <w:r>
        <w:rPr>
          <w:b/>
        </w:rPr>
        <w:t>Available abstract (not full text):</w:t>
      </w:r>
      <w:r>
        <w:t xml:space="preserve"> Abstract The article presents the state of applied anthropology in Europe, in particular focusing on the application of anthropological knowledge and skills within the private sector. Firstly, the text depicts the historical context, which has had a strong and often negative impact on the developments in contemporary applied anthropology and specifically on applying anthropology in for-profit endeavours. It then provides an overview of this type of applied anthropology in Europe by identifying its main institutions and individuals. Building on this analysis, the article elaborates on extant challenges for its future development, and outlines the most promising solutions. The authors conclude that it is of crucial importance for European anthropology to make the transition ‘from words to actions’, especially in the areas not traditionally addressed by anthropologists, such as business and design anthropology or consultancy work in the private sector. While the discipline has a longer applied history in areas such as development, human rights and multiculturalism, few anthropologists have played significant roles in the efforts usually associated with the private sector. It is argued that anthropology should – also outside the non-profit and non-governmental sectors – shift from being a descriptive, hermeneutical and interpretative branch of social sciences describing and explain</w:t>
      </w:r>
    </w:p>
    <w:p>
      <w:pPr>
        <w:pStyle w:val="Heading2"/>
      </w:pPr>
      <w:r>
        <w:t>894.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2025:</w:t>
      </w:r>
      <w:r>
        <w:t xml:space="preserve"> Willingness, Motivators and Barriers to Time Bank Participation: A Scoping Review — https://doi.org/10.1101/2025.03.30.25324913</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1 Abstract Objective This scoping review systematically identifies the extent and nature of evidence regarding willingness, motivators, and barriers influencing community participation in time bank systems, with a focus on older adults. Introduction Time bank is recognized as an effective tool for enhancing social cohesion and reducing isolation, particularly among older adults. However, specific factors such as barriers and motivators driving participation remain underexplored. Design Scoping review. Methods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Results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willingess to participate across different populatio</w:t>
      </w:r>
    </w:p>
    <w:p>
      <w:pPr/>
      <w:r>
        <w:rPr>
          <w:b/>
        </w:rPr>
        <w:t>POSSIBLE 2025:</w:t>
      </w:r>
      <w:r>
        <w:t xml:space="preserve"> Analysis of Guangzhou time bank pilot policy — https://doi.org/10.54254/2977-5701/2025.27781</w:t>
      </w:r>
    </w:p>
    <w:p>
      <w:pPr/>
      <w:r>
        <w:rPr>
          <w:b/>
        </w:rPr>
        <w:t>Shared claim-specific concepts:</w:t>
      </w:r>
      <w:r>
        <w:t xml:space="preserve"> time, banks, not, actual; EU scope not established. This is a provisional connection, not an outcome finding.</w:t>
      </w:r>
    </w:p>
    <w:p>
      <w:pPr>
        <w:pStyle w:val="SourceNote"/>
      </w:pPr>
      <w:r>
        <w:rPr>
          <w:b/>
        </w:rPr>
        <w:t>Available abstract (not full text):</w:t>
      </w:r>
      <w:r>
        <w:t xml:space="preserve"> Over the past two decades, against the backdrop of a rapidly growing elderly population in China, eldercare issues have gained increasing attention and become a highly debated topic in society. Research indicates that the actual needs of the elderly lie not in financial resources, but rather in care and companionship. However, with modern youth frequently working overtime and having little time for companionship, how can the needs of the elderly be met? The emergence of the "Time Bank"a novel elderly care service platformaddresses this by establishing a community-based model to fulfill the diverse needs of the elderly. This paper introduces the Nansha Time Bank platform in Guangzhou, showcasing the promising development prospects of public welfare organizations and the localized implementation of the imported concept of time banks within contemporary Chinese society. By analyzing the strengths and weaknesses of time banks and summarizing the motivations and influencing factors that encourage service providers to participate, the following conclusions are drawn: First, time banks possess three key advantages: mobilizing public enthusiasm, addressing the shortage of service providers for the elderly, and alleviating the supply-demand imbalance. Second, this paper examines potential risks from three perspectives: developmental sustainability, activity accessibility, and participat</w:t>
      </w:r>
    </w:p>
    <w:p>
      <w:pPr/>
      <w:r>
        <w:rPr>
          <w:b/>
        </w:rPr>
        <w:t>POSSIBLE 2024:</w:t>
      </w:r>
      <w:r>
        <w:t xml:space="preserve"> Scope and challenges in the implementation of Time Bank in India: a qualitative study — https://doi.org/10.1007/s44282-024-00040-0</w:t>
      </w:r>
    </w:p>
    <w:p>
      <w:pPr/>
      <w:r>
        <w:rPr>
          <w:b/>
        </w:rPr>
        <w:t>Shared claim-specific concepts:</w:t>
      </w:r>
      <w:r>
        <w:t xml:space="preserve"> time, services, different, people; EU scope not established. This is a provisional connection, not an outcome finding.</w:t>
      </w:r>
    </w:p>
    <w:p>
      <w:pPr>
        <w:pStyle w:val="SourceNote"/>
      </w:pPr>
      <w:r>
        <w:rPr>
          <w:b/>
        </w:rPr>
        <w:t>Available abstract (not full text):</w:t>
      </w:r>
      <w:r>
        <w:t xml:space="preserve"> Abstract This paper explores the scope of services and challenges in implementing Time Bank in India. This community-based initiative allows people to exchange skills and services without the involvement of money. A qualitative study was conducted using semi-structured telephone interviews with 20 participants aged 18 to 35. Thematic analysis revealed four major themes: Services, Challenges and Limitations of Time Bank, Factors Affecting Help-Seeking Behavior, and Community and Gender Dynamics. Participants expressed interest in offering a wide range of services, from household tasks to professional services. However, challenges and limitations were also identified, such as a lack of awareness and understanding of the concept, social stigma, and concerns about trust, privacy, and safety issues. The study underscores the need to consider cultural and social factors while implementing community-based initiatives. Despite these challenges, participants believed Time Bank could be a valuable platform for building social connections and community support. The study's implications highlight the need for further research on the impact of Time Bank on social capital and the sustainability of the initiative in different cultural contexts.</w:t>
      </w:r>
    </w:p>
    <w:p>
      <w:pPr/>
      <w:r>
        <w:rPr>
          <w:b/>
        </w:rPr>
        <w:t>POSSIBLE 2024:</w:t>
      </w:r>
      <w:r>
        <w:t xml:space="preserve"> DEVELOPMENT OF REMOTE BANKING SERVICES OF COMMERCIAL BANKS IS A REQUIREMENT OF THE TIME — https://doi.org/10.5281/zenodo.21413961</w:t>
      </w:r>
    </w:p>
    <w:p>
      <w:pPr/>
      <w:r>
        <w:rPr>
          <w:b/>
        </w:rPr>
        <w:t>Shared claim-specific concepts:</w:t>
      </w:r>
      <w:r>
        <w:t xml:space="preserve"> time, banks, services; EU scope not established. This is a provisional connection, not an outcome finding.</w:t>
      </w:r>
    </w:p>
    <w:p>
      <w:pPr>
        <w:pStyle w:val="SourceNote"/>
      </w:pPr>
      <w:r>
        <w:rPr>
          <w:b/>
        </w:rPr>
        <w:t>Available abstract (not full text):</w:t>
      </w:r>
      <w:r>
        <w:t xml:space="preserve"> The article examines the increase in capital of commercial banks and the factors influencing it on the basis of theoretical and practical data. Also, based on the study of foreign experience, it is argued that the increase in asset quality in banks will directly improve the quality of credit services provided by banks, reduce problem loans and the use of credit scoring system. A number of specific aspects of the use of credit scoring system in improving the quality of assets of commercial banks have been studied in detail on the basis of theoretical and practical data, scientific proposals and practical recommendations have been developed on the basis of author’s approaches.</w:t>
      </w:r>
    </w:p>
    <w:p>
      <w:pPr/>
      <w:r>
        <w:rPr>
          <w:b/>
        </w:rPr>
        <w:t>POSSIBLE 2024:</w:t>
      </w:r>
      <w:r>
        <w:t xml:space="preserve"> Study on the Application of "Time Bank" to College Students' Volunteer Service System in the Context of Rural Revitalization — https://doi.org/10.54097/pbf0y096</w:t>
      </w:r>
    </w:p>
    <w:p>
      <w:pPr/>
      <w:r>
        <w:rPr>
          <w:b/>
        </w:rPr>
        <w:t>Shared claim-specific concepts:</w:t>
      </w:r>
      <w:r>
        <w:t xml:space="preserve"> time, services, they, not; EU scope not established. This is a provisional connection, not an outcome finding.</w:t>
      </w:r>
    </w:p>
    <w:p>
      <w:pPr>
        <w:pStyle w:val="SourceNote"/>
      </w:pPr>
      <w:r>
        <w:rPr>
          <w:b/>
        </w:rPr>
        <w:t>Available abstract (not full text):</w:t>
      </w:r>
      <w:r>
        <w:t xml:space="preserve"> With the idea of inclusiveness gradually penetrating into the philosophy of governance of colleges and universities, college students' volunteer activities are gradually enriched, and college students have become the most energetic group in youth volunteer activities. Student organizations and associations at the college or school level have become the main field and position for college students to carry out volunteer service activities in various colleges and universities. They arouse students' interest and achieve the purpose of recruiting college students' volunteers by means of credit awards, personal enhancement, and outings, etc., and then carry out volunteer service activities on the basis of which they provide various services for others or the society to promote the development and progress of China's society. According to the survey, college student volunteers have reached 83.1% of the total number of volunteers, college students have been the main force in the body. However, from the current situation, the conditions of volunteer service are still lacking, the contemporary university volunteer group students do not have a comprehensive understanding of volunteer service, awareness is weak, and volunteer activities are mostly top-down type of promotion, passive volunteer service also deviates from the original intention of the spirit of volunteerism. Therefore, with </w:t>
      </w:r>
    </w:p>
    <w:p>
      <w:pPr/>
      <w:r>
        <w:rPr>
          <w:b/>
        </w:rPr>
        <w:t>POSSIBLE 2023:</w:t>
      </w:r>
      <w:r>
        <w:t xml:space="preserve"> Examining the Role of Motivation Cues from Narratives in Online Time Bank Participating Decisions — https://doi.org/10.21203/rs.3.rs-2694840/v1</w:t>
      </w:r>
    </w:p>
    <w:p>
      <w:pPr/>
      <w:r>
        <w:rPr>
          <w:b/>
        </w:rPr>
        <w:t>Shared claim-specific concepts:</w:t>
      </w:r>
      <w:r>
        <w:t xml:space="preserve"> time, banks, value; EU scope not established. This is a provisional connection, not an outcome finding.</w:t>
      </w:r>
    </w:p>
    <w:p>
      <w:pPr>
        <w:pStyle w:val="SourceNote"/>
      </w:pPr>
      <w:r>
        <w:rPr>
          <w:b/>
        </w:rPr>
        <w:t>Available abstract (not full text):</w:t>
      </w:r>
      <w:r>
        <w:t xml:space="preserve"> Abstract Time bank known as “Community/Neighborhood Pension”, provides a new solution to fulfill the unmet service needs of community members with idle community resources. The operation of time banks relies on the active participation of community members. Therefore, in this study we investigate the motivation of members to participate in web-based time banks from a service requirement narrative perspective. Drawing on grounded theory and self-determination theory, we built a model to assess how intrinsic and extrinsic cues underlying service requirement narratives affect time bank participation decisions of service providers. To test our hypotheses, we conducted a regression analysis of 12339 projects from the “Nansha Time Bank” (a web-based time bank) platform in China. We find that participants respond positively to time coin returns and narratives highlighting social connection and value fulfillment but respond negatively to service hour costs and empathy-altruism cues.</w:t>
      </w:r>
    </w:p>
    <w:p>
      <w:pPr/>
      <w:r>
        <w:rPr>
          <w:b/>
        </w:rPr>
        <w:t>POSSIBLE 2023:</w:t>
      </w:r>
      <w:r>
        <w:t xml:space="preserve"> How to develop the Time Bank for Old-Age Service in Less Developed Areas: A Comparison of Nanning and Nanjing — https://doi.org/10.54097/hbem.v8i.7259</w:t>
      </w:r>
    </w:p>
    <w:p>
      <w:pPr/>
      <w:r>
        <w:rPr>
          <w:b/>
        </w:rPr>
        <w:t>Shared claim-specific concepts:</w:t>
      </w:r>
      <w:r>
        <w:t xml:space="preserve"> time, address, not; EU scope not established. This is a provisional connection, not an outcome finding.</w:t>
      </w:r>
    </w:p>
    <w:p>
      <w:pPr>
        <w:pStyle w:val="SourceNote"/>
      </w:pPr>
      <w:r>
        <w:rPr>
          <w:b/>
        </w:rPr>
        <w:t>Available abstract (not full text):</w:t>
      </w:r>
      <w:r>
        <w:t xml:space="preserve"> With the rapid economic growth, China has officially entered into an aging society and is facing the severe challenge of a population aging crisis. China has begun implementing the Time Bank for old-age service to address the aging problem better. However, Time Bank is usually developed in economically developed regions, and Time Bank is not set in less developed areas. This paper compares and analyzes the operation mechanism of the Time Bank in Nanning from five perspectives: policy support and funding sources, operation model, volunteer team construction, Time Banking platform construction, and service projects. The proposed measures for developing Time Bank in less developed regions fill a problem gap. China needs to address the risk of population aging actively. This is important for China to solve its pension problem and deepen the understanding of Chinese academia on the development of time banking in less developed regions.</w:t>
      </w:r>
    </w:p>
    <w:p>
      <w:pPr/>
      <w:r>
        <w:rPr>
          <w:b/>
        </w:rPr>
        <w:t>POSSIBLE 2022:</w:t>
      </w:r>
      <w:r>
        <w:t xml:space="preserve"> Research on Time Bank Mutual Pension Model under the Background of Aging Population — https://doi.org/10.54097/fbem.v6i3.3312</w:t>
      </w:r>
    </w:p>
    <w:p>
      <w:pPr/>
      <w:r>
        <w:rPr>
          <w:b/>
        </w:rPr>
        <w:t>Shared claim-specific concepts:</w:t>
      </w:r>
      <w:r>
        <w:t xml:space="preserve"> time, value, people; EU scope not established. This is a provisional connection, not an outcome finding.</w:t>
      </w:r>
    </w:p>
    <w:p>
      <w:pPr>
        <w:pStyle w:val="SourceNote"/>
      </w:pPr>
      <w:r>
        <w:rPr>
          <w:b/>
        </w:rPr>
        <w:t>Available abstract (not full text):</w:t>
      </w:r>
      <w:r>
        <w:t xml:space="preserve"> With the aging of the population,the-age security of low-income urban and rural resident,who account for about 70% of china’s total population,has become an important issue related to the national economy and people’s livelihood,and also a short board to be solved urgently in building a socialist modernization power[1].Mutual support for the aged is a new pension model that transcends the blood relationship, can assist the family to provide for the aged, and solve the pension problem with the help of social forces. In this model, the concept of "time money" is introduced and merged into a brand-new mutual support model "Time Bank". China's "Time Bank" mechanism is still in the development stage, and there are still some problems from the current operation of this new pension model in China. In order to promote the extensive development of Time Bank, this paper makes a theoretical analysis on the conversion of time currency value, withdrawal and deposit, the conversion of labor value and time currency value in Time Bank, and the inheritance of time currency savings, so as to create an all-round, wide-area, multi-level and integrated old-age service ecology, create a service-oriented old-age model with China characteristics, and contribute to China's wisdom and China's plan for solving the world's old-age problems.</w:t>
      </w:r>
    </w:p>
    <w:p>
      <w:pPr/>
      <w:r>
        <w:rPr>
          <w:b/>
        </w:rPr>
        <w:t>POSSIBLE 2022:</w:t>
      </w:r>
      <w:r>
        <w:t xml:space="preserve"> Efficiency of Teller Service Time at Limited Companies of Bank North Sulawesi and Gorontalo Kotamobagu Branch — https://doi.org/10.47191/ijsshr/v5-i12-62</w:t>
      </w:r>
    </w:p>
    <w:p>
      <w:pPr/>
      <w:r>
        <w:rPr>
          <w:b/>
        </w:rPr>
        <w:t>Shared claim-specific concepts:</w:t>
      </w:r>
      <w:r>
        <w:t xml:space="preserve"> time, they, people; EU scope not established. This is a provisional connection, not an outcome finding.</w:t>
      </w:r>
    </w:p>
    <w:p>
      <w:pPr>
        <w:pStyle w:val="SourceNote"/>
      </w:pPr>
      <w:r>
        <w:rPr>
          <w:b/>
        </w:rPr>
        <w:t>Available abstract (not full text):</w:t>
      </w:r>
      <w:r>
        <w:t xml:space="preserve"> This research was conducted at Limited Companies of Bank North Sulawesi and Gorontalo Kotamobagu Branch with the aim of knowing the efficiency of bank teller service time provided to customers. Service is an action that is often carried out by service companies such as banking financial institutions. In the queuing system, consumers will become loyal customers if they feel satisfaction because they don't wait too long, and this will benefit the company concerned. The results of the study obtained that the standard teller time serving one customer was 6 minutes 88 seconds. The number of subscriptions waiting in each queue at the teller counter with normal circumstances is two people while the subscription time waiting in the teller counter queue under normal circumstances is 11 minutes 28 seconds. The length of waiting plus the average service time of each customer in the teller system is 15 minutes must be reduced by adding two tellers so that it becomes four tellers. Thus, a good, fast, and maximum service system can be proven by the standard teller time in serving one customer with an efficient time of 7.5 minutes.</w:t>
      </w:r>
    </w:p>
    <w:p>
      <w:pPr>
        <w:pStyle w:val="Heading2"/>
      </w:pPr>
      <w:r>
        <w:t>895.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2024:</w:t>
      </w:r>
      <w:r>
        <w:t xml:space="preserve"> Analyzing Labor Costs in The Transport and Storage Sector in European Countries Through Trend and Cluster Analysis:2007-2022 — https://doi.org/10.19168/jyasar.1345236</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Trends in the transport and storage industry's labor markets in Europe have significantly impacted changes in labor costs. Technological advancements, increased privatization and deregulation, and changes in global capital flows are among the key reasons that have resulted in significant changes in labor costs in the logistics sector during the last few decades, especially in Europe. The amount of remuneration for logistics personnel and its pace of change over time are essential aspects influencing not just capital investment choices but also country competitiveness. The clusters of countries with similar wage increases over time are also impacted by their economic, social, and ecological problems to a similar extent. The existence of probable trends in labor costs in transport and storage on a country level, as well as cluster analysis over the countries where the trend is found, will aid in revealing significant similarities and contrasts concerning the sector and the countries involved in the research. The Labor Cost Index (LCI), according to NACE Rev. 2 Activity-nominal value, quarterly data released by Eurostat was utilized for this research. Sixty-four quarterly periods have been covered between the first quarter of 2007 and the fourth quarter of 2022. The research was based on data collected from 23 different European countries. The Mann-Kendall trend test and Sen's slo</w:t>
      </w:r>
    </w:p>
    <w:p>
      <w:pPr/>
      <w:r>
        <w:rPr>
          <w:b/>
        </w:rPr>
        <w:t>POSSIBLE 2023:</w:t>
      </w:r>
      <w:r>
        <w:t xml:space="preserve"> Negative externalities in the transport sector: European efforts to align transport prices with external costs through market-based instruments — https://doi.org/10.4337/9781035317844.00022</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A clear paradigm shift is needed to implement the polluter pays principle and foster a sustainable transition in the transport sector. Among others, market-based instruments are an economically attractive means of reducing the negative externalities generated by transport. In fact, by influencing the prices, they can encourage behavioural change in transport use by supporting more sustainable transport options, making them economically more attractive to users. Various policy options are under scrutiny at European level to revise the transport sector. On one hand, the revision of the Energy Taxation Directive and of the Emissions Trading System are at the top of the EU political agenda and they affect different transport sectors. On the other hand, the revision of the Eurovignette Directive on the charging of heavy-goods vehicles for the use of certain infrastructures and the reform of vehicle taxation are also under discussion. This chapter aims to analyse the EU efforts to align transport prices with external costs, if they are coordinate and compliant with EU objectives, and what scenarios are opening up for the future of vehicle taxation.</w:t>
      </w:r>
    </w:p>
    <w:p>
      <w:pPr/>
      <w:r>
        <w:rPr>
          <w:b/>
        </w:rPr>
        <w:t>POSSIBLE 2023:</w:t>
      </w:r>
      <w:r>
        <w:t xml:space="preserve"> Driving towards a sustainable future: Transport sector innovation, climate change and social welfare — https://doi.org/10.1016/j.jclepro.2023.139250</w:t>
      </w:r>
    </w:p>
    <w:p>
      <w:pPr/>
      <w:r>
        <w:rPr>
          <w:b/>
        </w:rPr>
        <w:t>Shared claim-specific concepts:</w:t>
      </w:r>
      <w:r>
        <w:t xml:space="preserve"> transport, sector;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Adapting for Inertia — https://openalex.org/W7137589190</w:t>
      </w:r>
    </w:p>
    <w:p>
      <w:pPr/>
      <w:r>
        <w:rPr>
          <w:b/>
        </w:rPr>
        <w:t>Shared claim-specific concepts:</w:t>
      </w:r>
      <w:r>
        <w:t xml:space="preserve"> inertia, look; EU scope not established. This is a provisional connection, not an outcome finding.</w:t>
      </w:r>
    </w:p>
    <w:p>
      <w:pPr>
        <w:pStyle w:val="SourceNote"/>
      </w:pPr>
      <w:r>
        <w:rPr>
          <w:b/>
        </w:rPr>
        <w:t>Available abstract (not full text):</w:t>
      </w:r>
      <w:r>
        <w:t xml:space="preserve"> Despite much learning and research over many decades, large ICT software projects have continued to experience poor outcomes or fallen short of original expectations—some spectacularly so. This is the case in the Australian and New Zealand public sectors, even though these projects operate within historically developed institutional frameworks that provide the rules, guidelines and controls, and aim to consistently improve outcomes. Something is amiss. In Adapting for Inertia, Grant Douglas questions the effectiveness of these institutional frameworks in governing large ICT software projects in the Australian and New Zealand public sectors. He also gauges the perspectives of a large number of actors in projects in both sectors and examines two case studies in detail. The main narrative to emerge is that the institutional frameworks are in a state of inertia: they are failing to adapt, owing to various institutional factors—all of which have public policy implications. Sadly, Douglas finds, this inertia is likely to continue. If there is difficulty in changing the capacity to govern, he proposes, policymakers should look to change the nature of what is to be governed.</w:t>
      </w:r>
    </w:p>
    <w:p>
      <w:pPr/>
      <w:r>
        <w:rPr>
          <w:b/>
        </w:rPr>
        <w:t>POSSIBLE 2023:</w:t>
      </w:r>
      <w:r>
        <w:t xml:space="preserve"> Effects of Digitalization on Labor Market Development in Transport Sector in Post- Covid Environment — https://doi.org/10.37075/2023.4/ea.2023.4.05</w:t>
      </w:r>
    </w:p>
    <w:p>
      <w:pPr/>
      <w:r>
        <w:rPr>
          <w:b/>
        </w:rPr>
        <w:t>Shared claim-specific concepts:</w:t>
      </w:r>
      <w:r>
        <w:t xml:space="preserve"> transport, sector, like, related; EU scope visible. This is a provisional connection, not an outcome finding.</w:t>
      </w:r>
    </w:p>
    <w:p>
      <w:pPr>
        <w:pStyle w:val="SourceNote"/>
      </w:pPr>
      <w:r>
        <w:rPr>
          <w:b/>
        </w:rPr>
        <w:t>Available abstract (not full text):</w:t>
      </w:r>
      <w:r>
        <w:t xml:space="preserve"> The development of digitalization processes in a post-pandemic environment has the potential to seriously affect the labor market in the transport sector in South- Eastern European countries, which sector is not prepared for such a transformation. An increasing number of transport companies will face the dilemma of keeping their workforce or replacing it with digital devices and robots. The consequences of the COVID-19 pandemic, which led to many small and medium-sized enterprises bankruptcies in the sector, will make it even more difficult for transport companies to remain competitive both on the national and European transport market. Based on statistical and descriptive analysis, the article aims to forecast the emerging trends in the sector and to give recommendations for a smooth transition, considering the specifics of the transport sector in terms of social and technological sustainability. The study identifies the problems, related to the digitalization of the transport sector and reveals the possibilities for their overcoming in regard to road passenger carriages in intercity lines in developing countries with transition economies like Bulgaria.</w:t>
      </w:r>
    </w:p>
    <w:p>
      <w:pPr/>
      <w:r>
        <w:rPr>
          <w:b/>
        </w:rPr>
        <w:t>POSSIBLE 2022:</w:t>
      </w:r>
      <w:r>
        <w:t xml:space="preserve"> Institutional and organisational change in the German rail transport sector. Working paper 3 of the study LowCarb-RFC - European Rail Freight Corridors going Carbon Neutral — https://doi.org/10.24406/publica-fhg-299027</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The paper asks how the modal shift from road to rail in the freight sector is sup-ported by institutional change. Following North (1990), institutions are understood as the "rules of the game" in the rail freight sector. Based on the literature on institutional change, four different perspectives and mechanisms can be dis-cerned: institutional design, collective action, institutional adaptation, and institu-tional diffusion. Each of these perspectives examines the situation in the German rail freight sector from a different angle. Based on this analysis, processes of institutional change and their potential impact on modal shift are discussed. Fol-lowing the railway reform, new domestic and foreign competitors of DB Cargo have entered the rail freight market with business models tailored to promising segments. At the same time, this competition has triggered a transformative or-ganisational change initiative at DB Cargo, which is currently in the process of implementation. Even though the success of this initiatives is highly uncertain, in total, the described changes are likely to result in a higher competitiveness of the sector and a stronger orientation to customer needs. Furthermore, the road freight sector has increasingly come under political pressure due to its rising GHG emissions and rail transport is increasingly seen as a viable alternative. In this respect, the rece</w:t>
      </w:r>
    </w:p>
    <w:p>
      <w:pPr/>
      <w:r>
        <w:rPr>
          <w:b/>
        </w:rPr>
        <w:t>POSSIBLE 2022:</w:t>
      </w:r>
      <w:r>
        <w:t xml:space="preserve"> A review on Rail Transport in Europe and Italy — https://doi.org/10.1109/eeeic/icpseurope54979.2022.9854799</w:t>
      </w:r>
    </w:p>
    <w:p>
      <w:pPr/>
      <w:r>
        <w:rPr>
          <w:b/>
        </w:rPr>
        <w:t>Shared claim-specific concepts:</w:t>
      </w:r>
      <w:r>
        <w:t xml:space="preserve"> transport, sector, evolution; EU scope visible. This is a provisional connection, not an outcome finding.</w:t>
      </w:r>
    </w:p>
    <w:p>
      <w:pPr>
        <w:pStyle w:val="SourceNote"/>
      </w:pPr>
      <w:r>
        <w:rPr>
          <w:b/>
        </w:rPr>
        <w:t>Available abstract (not full text):</w:t>
      </w:r>
      <w:r>
        <w:t xml:space="preserve"> The paper describes the state of the art of passenger and freight rail transport in Italy and Europe taken into account market demand, consumption, emissions and costs. Present and future scenarios are analyzed (projections towards 2030 and 2050) to observe the evolution of rail transport and to evaluate how the demand for mobility will change and how the new development frontiers will impact pollution and economic management. Summarizing, the paper identifies the policies implemented to promote the railway sector and the existing limits to its development.</w:t>
      </w:r>
    </w:p>
    <w:p>
      <w:pPr/>
      <w:r>
        <w:rPr>
          <w:b/>
        </w:rPr>
        <w:t>POSSIBLE 2022:</w:t>
      </w:r>
      <w:r>
        <w:t xml:space="preserve"> Struggling with inertia: Regime barriers opposing planning and implementation of urban ropeways — https://doi.org/10.1016/j.urbmob.2022.100023</w:t>
      </w:r>
    </w:p>
    <w:p>
      <w:pPr/>
      <w:r>
        <w:rPr>
          <w:b/>
        </w:rPr>
        <w:t>Shared claim-specific concepts:</w:t>
      </w:r>
      <w:r>
        <w:t xml:space="preserve"> transport, inertia, need, look, challenges; EU scope visible. This is a provisional connection, not an outcome finding.</w:t>
      </w:r>
    </w:p>
    <w:p>
      <w:pPr>
        <w:pStyle w:val="SourceNote"/>
      </w:pPr>
      <w:r>
        <w:rPr>
          <w:b/>
        </w:rPr>
        <w:t>Available abstract (not full text):</w:t>
      </w:r>
      <w:r>
        <w:t xml:space="preserve"> Urban ropeways are a novel option to extend public transport. Technically suited to a range of use cases, urban ropeways have not yet been implemented as part of a public transport solution in Germany. Rather than the technology itself, specific routines and practices of the public transport service regime have been identified as main challenges. Building on series of expert workshops conducted in 2017 (23 participants in total), we look beyond technical characteristics and study the preparedness of service regime actors regarding processes and routines as well as structural factors of inertia. Generally, we observe an increasing openness towards reflecting about integrating urban ropeways into public transport. However, misalignment is still clearly visible: First, lacking experiences with this new option at the local level imply a time-consuming need for information and clarification. Second, and more fundamentally, the suitability of established planning routines is questioned, which is critical because the dense regulatory framework existing in Germany currently requires these. We discuss the implications at the level of the service regime and the relevance of these structural mechanisms in considering technological potentials in a mobility transition more generally.</w:t>
      </w:r>
    </w:p>
    <w:p>
      <w:pPr/>
      <w:r>
        <w:rPr>
          <w:b/>
        </w:rPr>
        <w:t>POSSIBLE 2022:</w:t>
      </w:r>
      <w:r>
        <w:t xml:space="preserve"> Investment Package Manual for European Cities and Regions. Volume II – European investment package on circular bioeconomy for European Member States, Regions and Cities — https://doi.org/10.5281/zenodo.7760610</w:t>
      </w:r>
    </w:p>
    <w:p>
      <w:pPr/>
      <w:r>
        <w:rPr>
          <w:b/>
        </w:rPr>
        <w:t>Shared claim-specific concepts:</w:t>
      </w:r>
      <w:r>
        <w:t xml:space="preserve"> investments, related; EU scope visible. This is a provisional connection, not an outcome finding.</w:t>
      </w:r>
    </w:p>
    <w:p>
      <w:pPr>
        <w:pStyle w:val="SourceNote"/>
      </w:pPr>
      <w:r>
        <w:rPr>
          <w:b/>
        </w:rPr>
        <w:t>Available abstract (not full text):</w:t>
      </w:r>
      <w:r>
        <w:t xml:space="preserve"> Circular Bioeconomy needs to be deployed thanks to investments aligned with the green financing and funding to comply with requirements and goals from public policies and strategies toward a circular and carbon-neutral economy by 2050. Thanks to green finance, European cities, regions, their entrepreneurs and businesses will be able to accelerate their transition to a low-carbon, resilient and resource-efficient economy. The Investment Package Manual was designed at first time as confidential for the HOOP project’s pilot cities and regions, called Lighthouse, supporting them with knowledge and tools in their circularity journey. The HOOP project [October 2020 - September 2024] aims to unlock bio-based investments and deploy local bio economies in Europe through a systemic and cross-cutting approach. It will offer project development assistance to a group of 8 Lighthouse Cities and Regions to build the technical, economic, financial and legal expertise needed to develop concrete investments to valorise biowaste and wastewater, with the aim of obtaining safe and sustainable bio-based products. The manual demonstrated a practical utility over time, being extensible and valuable resource for other EU Member States and their cities and regions. For this reason, the authors propose a public version that was developed to be disseminated among Cities and Regions of the HOOP Network and</w:t>
      </w:r>
    </w:p>
    <w:p>
      <w:pPr/>
      <w:r>
        <w:rPr>
          <w:b/>
        </w:rPr>
        <w:t>POSSIBLE 2020:</w:t>
      </w:r>
      <w:r>
        <w:t xml:space="preserve"> Consuption and development of biofules in the European transport sector — https://doi.org/10.34726/hss.2020.73182</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With the new European Union (EU) Renewable Energy Directive RED II adopted in 2018, the EU strives to increase consumption of renewable energy by 32 percent and to take a leading position in this regard by further reducing dependency on imported fossil fuels. Biofuels, such as bioethanol, biodiesel or biogas, play a significant role as the Directive fosters the consumption of them, as well as the further development of advanced biofuels, which is crucial for reducing greenhouse gas emissions and the decarbonisation of the transport sector in the EU. The future of biofuel development depends to a large extent on political support and decisions, as well as technological development and more intensive use of new raw materials such as lignocellulosic biomass or waste feedstock. In addition the reduction of feedstocks with a high risk of land use change are also discussed. This thesis describes biofuels currently available on the European market, as well as the development of advanced biofuels. Subsequently, the impact of this new Directive on the availability of biofuels in the transport sector are summarized</w:t>
      </w:r>
    </w:p>
    <w:p>
      <w:pPr>
        <w:pStyle w:val="Heading2"/>
      </w:pPr>
      <w:r>
        <w:t>896.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2021:</w:t>
      </w:r>
      <w:r>
        <w:t xml:space="preserve"> Animal Behavior Cards — https://doi.org/10.4324/9781003235828-33</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Name: _____________________________________________ Date: _________________ Meerkats Meerkats are small mammals that are members of the mongoose family. They are the only members of the mongoose family that do not have bushy tails. They use their strong tails to help them balance when they are standing up. These squirrel-sized animals live in deserts and grasslands in Southern Africa. Meerkats live in burrows that they dig with their claws. Their claws are long and strong, which make them good for digging. They have a special membrane over their eyes that protect them as they dig. These cute and furry animals are very social and live in groups of up to 40 that are called “mobs,” “gangs,” or “clans.” Because meerkats live primarily underground, they can stay safe from predators. Their burrows are as deep as 15 feet and have different entrances, tunnels, and rooms. Meerkats sleep in their burrows, but as the sun rises, they emerge and look for food. As some meerkats search for food, others stand guard watching out for predators. If the meerkat on guard sees a predator, it loudly barks to warn the others. They have different barks and whistles for different types of threats. Meerkats have good eyesight and sense of smell, which guides them in looking for spiders, caterpillars, scorpions, and the other small critters that they eat. As some meerkats are hunting and looking out for p</w:t>
      </w:r>
    </w:p>
    <w:p>
      <w:pPr/>
      <w:r>
        <w:rPr>
          <w:b/>
        </w:rPr>
        <w:t>POSSIBLE 2021:</w:t>
      </w:r>
      <w:r>
        <w:t xml:space="preserve"> The unresolved question on COVID‐19 virus origin: The three cards game? — https://doi.org/10.1002/jmv.27519</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The ongoing discussion about the real origin of the severe acute respiratory syndrome coronavirus 2 (SARS-CoV-2) feeds acrimonious debates. Where did SARS-CoV-2 come from? Was SARS-CoV-2 transmitted in the wild from an animal to a person before exploding in Wuhan or was it an engineered virus that escaped from research or a laboratory in Wuhan? Right now, we still don't know enough whether SARS-CoV-2 is human-made or not, and lab-leak theories remain essentially speculative. Many recent studies have pointed out several plausible scenarios. Anyhow, currently, even if suspicions by some about the possibility of lab-leak hypothesis still remain, the consensus view is that the pandemic probably started from a natural source and, to determine the real origin of the SARS-CoV-2 virus, further research is needed.</w:t>
      </w:r>
    </w:p>
    <w:p>
      <w:pPr/>
      <w:r>
        <w:rPr>
          <w:b/>
        </w:rPr>
        <w:t>POSSIBLE 2021:</w:t>
      </w:r>
      <w:r>
        <w:t xml:space="preserve"> Long-Term Motor Learning in the “Wild” With High Volume Video Game Data — https://doi.org/10.3389/fnhum.2021.777779</w:t>
      </w:r>
    </w:p>
    <w:p>
      <w:pPr/>
      <w:r>
        <w:rPr>
          <w:b/>
        </w:rPr>
        <w:t>Shared claim-specific concepts:</w:t>
      </w:r>
      <w:r>
        <w:t xml:space="preserve"> several, wild, high, time; EU scope not established. This is a provisional connection, not an outcome finding.</w:t>
      </w:r>
    </w:p>
    <w:p>
      <w:pPr>
        <w:pStyle w:val="SourceNote"/>
      </w:pPr>
      <w:r>
        <w:rPr>
          <w:b/>
        </w:rPr>
        <w:t>Available abstract (not full text):</w:t>
      </w:r>
      <w:r>
        <w:t xml:space="preserve"> Abstract Motor learning occurs over long periods of practice during which motor acuity – the ability to execute actions more accurately, precisely, and within a shorter amount of time – improves. Laboratory-based motor learning studies are typically limited to a small number of participants and a time frame of minutes to several hours per participant. Thus, there is a need to assess the generalizability of theories and findings from lab-based motor learning studies on much larger samples across longer time scales. In addition, laboratory-based studies of motor learning use relatively simple motor tasks which participants are unlikely to be intrinsically motivated to learn, limiting the interpretation of their findings in more ecologically valid settings. We studied the acquisition and longitudinal refinement of a complex sensorimotor skill embodied in a first-person shooter video game scenario, with a large sample size (N = 7174 participants, 682,564 repeats of the 60 sec game) over a period of months. Participants voluntarily practiced the gaming scenario for as much as several hours per day up to 100 days. We found improvement in performance accuracy (quantified as hit rate) was modest over time but motor acuity (quantified as hits per second) improved considerably, with 40-60% retention from one day to the next. We observed steady improvements in motor acuity across multiple</w:t>
      </w:r>
    </w:p>
    <w:p>
      <w:pPr/>
      <w:r>
        <w:rPr>
          <w:b/>
        </w:rPr>
        <w:t>POSSIBLE 2020:</w:t>
      </w:r>
      <w:r>
        <w:t xml:space="preserve"> The supreme audit institutions readiness to uncertainty — https://doi.org/10.9770/jesi.2020.8.1(36)</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The inefficient fight against the COVID-19 pandemic and earlier insufficient readiness to counteract terrorist attacks raise the question about the role of the supreme audit institutions (SAIs) in the situation, in which decision-makers take decisions in uncertainty conditions.The states did not prove themselves in conditions of uncertainty.In all countries, the situation is the same, too late decisions regarding anti-epidemic quarantine, lack of necessary measures to protect doctors and patients, too few respirators.Based on the analysis of several randomly selected SAIs from different parts of the Globe, this study found that the audit methodology tailored to a predictable environment became inappropriate in uncertainty conditions.Most of analysed SAIs did not find weak signals and wild cards related to pandemic.Those who found such signals did not use them in foresight, which results that parliaments, governments and the public are not ready for global threats.It creates risks for entrepreneurs.</w:t>
      </w:r>
    </w:p>
    <w:p>
      <w:pPr/>
      <w:r>
        <w:rPr>
          <w:b/>
        </w:rPr>
        <w:t>POSSIBLE 2019:</w:t>
      </w:r>
      <w:r>
        <w:t xml:space="preserve"> OP02 Sweacp: a structured conversation-based advanced care planning approach in the ACP-naïve swedish context — https://doi.org/10.1136/spcare-2019-acpicongressabs.2</w:t>
      </w:r>
    </w:p>
    <w:p>
      <w:pPr/>
      <w:r>
        <w:rPr>
          <w:b/>
        </w:rPr>
        <w:t>Shared claim-specific concepts:</w:t>
      </w:r>
      <w:r>
        <w:t xml:space="preserve"> several, wild, cards; EU scope visible. This is a provisional connection, not an outcome finding.</w:t>
      </w:r>
    </w:p>
    <w:p>
      <w:pPr>
        <w:pStyle w:val="SourceNote"/>
      </w:pPr>
      <w:r>
        <w:rPr>
          <w:b/>
        </w:rPr>
        <w:t>Available abstract (not full text):</w:t>
      </w:r>
      <w:r>
        <w:t xml:space="preserve"> Background Sweden has no systematic advance care planning (ACP), nor judicial means of recognizing proxies in end-of-life (EoL) situations. In the SweACP project in the DöBra research program, we focus on engaging stakeholders in active conversations about preferences for future EoL care, rather than using a document-driven approach to ACP. We describe results of feasibility testing a structured conversation-based ACP approach among older adults in the general public as well as exploring their strategies for reasoning about their EoL preferences. Methods After initial testing in pilot focus groups, a Swedish version of GoWish cards, DöBra cards, and Eco-mapping were used to catalyze discussions on what and who matters at the EoL. The 65 participants from across Sweden actively contacted the researchers volunteering to participate, after receiving information through national patient-or retiree organizations. Both quantitative and qualitative data were analyzed, using descriptive statistics and inductive analysis. Results DöBra cards were positively received by participants; there was great individual variation in card prioritization and formulation of wild cards. Eco-mapping was met with less enthusiasm but was useful in depicting a social context often taken-for-granted. Qualitative analysis revealed several strategies for reasoning about future EoL care. Conclusions Having a </w:t>
      </w:r>
    </w:p>
    <w:p>
      <w:pPr/>
      <w:r>
        <w:rPr>
          <w:b/>
        </w:rPr>
        <w:t>POSSIBLE 2019:</w:t>
      </w:r>
      <w:r>
        <w:t xml:space="preserve"> A wild circulation: High presence of Porcine circovirus 3 in different mammalian wild hosts and ticks — https://doi.org/10.1111/tbed.13180</w:t>
      </w:r>
    </w:p>
    <w:p>
      <w:pPr/>
      <w:r>
        <w:rPr>
          <w:b/>
        </w:rPr>
        <w:t>Shared claim-specific concepts:</w:t>
      </w:r>
      <w:r>
        <w:t xml:space="preserve"> several, wild, high, time; EU scope not established. This is a provisional connection, not an outcome finding.</w:t>
      </w:r>
    </w:p>
    <w:p>
      <w:pPr>
        <w:pStyle w:val="SourceNote"/>
      </w:pPr>
      <w:r>
        <w:rPr>
          <w:b/>
        </w:rPr>
        <w:t>Available abstract (not full text):</w:t>
      </w:r>
      <w:r>
        <w:t xml:space="preserve"> Porcine circovirus 3 (PCV-3) has emerged as a potential threat for swine industry, being consistently reported in the presence of several clinical signs all around the world. Recently, its presence in wild boar has been demonstrated at high prevalence. This evidence is surprising since the lower density of wild populations might not be expected to sustain such efficient viral transmission. Porcine circoviruses were proven to exhibit a certain plasticity in the host tropism and were detected in unrelated species, like mice, dogs and ruminants. However, if this scenario applies also to wild animals remains to be established. Therefore, this study aimed to investigate the presence of PCV-3 in wild ungulates other than wild boar and in related hematophagous ectoparasites. One hundred and nine animals were sampled from different hilly and mountain areas of Friuli Venezia Giulia, including 9 chamois (Rupicapra rupicapra), 17 red deer (Cervus elaphus), 4 mouflons (Ovis musimon), 50 roe deer (Capreolus capreolus) and 29 wild boars (Sus scrofa). Additionally, host-matched ectoparasites were collected when present. Porcine circovirus 3 was diagnosed using molecular techniques and sequencing. This study results confirmed the high PCV-3 occurrence in wild boar and reported for the first time its presence, at low prevalence, in chamois and roe deer. Moreover, two ticks (Ixodes ricinus), one</w:t>
      </w:r>
    </w:p>
    <w:p>
      <w:pPr>
        <w:pStyle w:val="Heading2"/>
      </w:pPr>
      <w:r>
        <w:t>897.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2024:</w:t>
      </w:r>
      <w:r>
        <w:t xml:space="preserve"> Exposure of Pharmacists and Pharmacy Technicians to Violence in Community Pharmacies in Southeast Europe: Frequency and Ethical Considerations — https://doi.org/10.3390/pharmacy12030088</w:t>
      </w:r>
    </w:p>
    <w:p>
      <w:pPr/>
      <w:r>
        <w:rPr>
          <w:b/>
        </w:rPr>
        <w:t>Shared claim-specific concepts:</w:t>
      </w:r>
      <w:r>
        <w:t xml:space="preserve"> aims, community, pharmacists, health, all; EU scope visible. This is a provisional connection, not an outcome finding.</w:t>
      </w:r>
    </w:p>
    <w:p>
      <w:pPr>
        <w:pStyle w:val="SourceNote"/>
      </w:pPr>
      <w:r>
        <w:rPr>
          <w:b/>
        </w:rPr>
        <w:t>Available abstract (not full text):</w:t>
      </w:r>
      <w:r>
        <w:t xml:space="preserve"> Pharmacists and pharmacy technicians working in community pharmacies are exposed to the risk of violence in their workplaces. Studies have shown that workplace violence is affecting their job satisfaction, productivity, and mental health. This study aims to identify the frequency of different types of violence, as well as the common perpetrators that community pharmacy staff in SEE (Southeast Europe) are dealing with. A cross-sectional study was conducted using an online questionnaire created for this purpose. Selected community pharmacies in Croatia, Serbia, Bosnia and Herzegovina, and Montenegro participated in this study. In total, 732 responses were collected from 24 pharmacy chains or independent pharmacies including all community pharmacy staff. More than 80% of pharmacists and pharmacy technicians reported having been exposed to verbal violence at the workplace, while more than 20% of them reported physical and sexual violence in the preceding 12 months. There were no statistically significant differences between pharmacists and pharmacy technicians, gender, age groups, or countries in relation to exposure to physical, verbal, and sexual violence. The most common perpetrators were identified as patients/clients. More than 90% of pharmacy staff reported they did not receive any kind of support from their employer nor any other help after experiencing a robbery. There is a</w:t>
      </w:r>
    </w:p>
    <w:p>
      <w:pPr/>
      <w:r>
        <w:rPr>
          <w:b/>
        </w:rPr>
        <w:t>POSSIBLE 2022:</w:t>
      </w:r>
      <w:r>
        <w:t xml:space="preserve"> Pharmacist direct dispensing of mifepristone for medication abortion in Canada: a survey of community pharmacists — https://doi.org/10.1136/bmjopen-2022-063370</w:t>
      </w:r>
    </w:p>
    <w:p>
      <w:pPr/>
      <w:r>
        <w:rPr>
          <w:b/>
        </w:rPr>
        <w:t>Shared claim-specific concepts:</w:t>
      </w:r>
      <w:r>
        <w:t xml:space="preserve"> design, community, pharmacists, system, conclusions, provision; EU scope not established. This is a provisional connection, not an outcome finding.</w:t>
      </w:r>
    </w:p>
    <w:p>
      <w:pPr>
        <w:pStyle w:val="SourceNote"/>
      </w:pPr>
      <w:r>
        <w:rPr>
          <w:b/>
        </w:rPr>
        <w:t>Available abstract (not full text):</w:t>
      </w:r>
      <w:r>
        <w:t xml:space="preserve"> Introduction Pharmacists were acknowledged as the most appropriate healthcare professional to dispense mifepristone for medication abortion shortly after the prescription therapy became available in January 2017 in Canada. Objective We aimed to identify the facilitators and barriers for successful initiation and ongoing dispensing of mifepristone among community pharmacists across Canada. Study design We surveyed community pharmacists from urban/rural practice settings across Canada by recruiting from January 2017 to January 2019 through pharmacist organisations, professional networks, at mifepristone training courses and at professional conferences. The Diffusion of Innovations theory informed the study design, thematic analysis and interpretation of findings. We summarised categorical data using counts and proportions, χ2 tests, Wilcoxon rank-sum and proportional odds logistic regression. Results Of the 433 responses from dispensing community pharmacists across 10/13 Canadian provinces and territories, 93.1% indicated they were willing and ready to dispense mifepristone. Key facilitators were access to a private consultation setting (91.4%), the motivation to increase accessibility for patients (87.5%) and to reduce pressure on the healthcare system (75.3%). The cost of the mifepristone/misoprostol product was an initial barrier, subsequently resolved by universal government </w:t>
      </w:r>
    </w:p>
    <w:p>
      <w:pPr/>
      <w:r>
        <w:rPr>
          <w:b/>
        </w:rPr>
        <w:t>POSSIBLE 2021:</w:t>
      </w:r>
      <w:r>
        <w:t xml:space="preserve"> Role of community pharmacists in pharmacovigilance: pharmacists’ and patients’ perceptions — https://doi.org/10.1093/eurpub/ckab165.365</w:t>
      </w:r>
    </w:p>
    <w:p>
      <w:pPr/>
      <w:r>
        <w:rPr>
          <w:b/>
        </w:rPr>
        <w:t>Shared claim-specific concepts:</w:t>
      </w:r>
      <w:r>
        <w:t xml:space="preserve"> community, pharmacists, role, conclusions; EU scope not established. This is a provisional connection, not an outcome finding.</w:t>
      </w:r>
    </w:p>
    <w:p>
      <w:pPr>
        <w:pStyle w:val="SourceNote"/>
      </w:pPr>
      <w:r>
        <w:rPr>
          <w:b/>
        </w:rPr>
        <w:t>Available abstract (not full text):</w:t>
      </w:r>
      <w:r>
        <w:t xml:space="preserve"> Abstract Background Pharmacists are involved in pharmacovigilance in many countries, their role varies. Some studies show that they are not active enough in reporting adverse drug reactions (ADR). Pharmacists' and patients' awareness about engagement of pharmacists in reporting ADR and other medicines use problems, as well as in counseling on medication safety is essential for improving patient safety. The objective of this work was to study attitude of pharmacy professionals and patients to role of community pharmacy staff in providing patient medication safety in Armenia. Methods 297 pharmacists and technicians, as well as 2066 patients were interviewed in Yerevan (capital of Armenia) according to designed and pretested questionnaire. Results 201 (68.0%) pharmacists and technicians consider that community pharmacists in Armenia are engaged in ADR reporting and 198 (66.6%) professionals indicated that they wish to be involved in this activity. 215 (72.4%) professionals supposed that community pharmacists are engaged in providing advices related to medicines safety and indicated that they are interested to be involved. Slightly more than a half of patients reported that they wish that community pharmacy staff would be involved in ADR reporting and would provide advices related to medicines safety: 1171 (56.7%) and 1115 (54.0%), correspondingly. The number of participated patien</w:t>
      </w:r>
    </w:p>
    <w:p>
      <w:pPr/>
      <w:r>
        <w:rPr>
          <w:b/>
        </w:rPr>
        <w:t>POSSIBLE 2020:</w:t>
      </w:r>
      <w:r>
        <w:t xml:space="preserve"> E-learning design and entrepreneurship in three European universities — https://doi.org/10.1108/ijebr-06-2019-0407</w:t>
      </w:r>
    </w:p>
    <w:p>
      <w:pPr/>
      <w:r>
        <w:rPr>
          <w:b/>
        </w:rPr>
        <w:t>Shared claim-specific concepts:</w:t>
      </w:r>
      <w:r>
        <w:t xml:space="preserve"> design, three, all, services; EU scope visible. This is a provisional connection, not an outcome finding.</w:t>
      </w:r>
    </w:p>
    <w:p>
      <w:pPr>
        <w:pStyle w:val="SourceNote"/>
      </w:pPr>
      <w:r>
        <w:rPr>
          <w:b/>
        </w:rPr>
        <w:t>Available abstract (not full text):</w:t>
      </w:r>
      <w:r>
        <w:t xml:space="preserve"> Purpose According to Fee (2009), e-learning systems have three components: technology, learning content and e-learning design. Few studies have examined e-learning design as an educational process, although universities are increasingly using e-learning as they become more entrepreneurial. This article aimed to investigate how universities approach e-learning design. Design/methodology/approach The study used a mixed methods approach. First, the authors carried out a quantitative analysis of the websites of the top 100 European universities in the Quacquarelli Symonds Ranking. The authors then moved to a qualitative approach, analyzing a pilot case and three case studies. Semistructured interviews were conducted with managers of e-learning services at the chosen European universities. Findings The 100 best European universities in the Quacquarelli Symonds Rankings all use e-learning methods. The case study universities were selected from this list. The semistructured interviews with managers of e-learning services highlighted the importance of the design of e-learning courses. However, most focused on the professional figures involved, rather than the process for e-learning and the overall design of the course. Originality/value The article provides a detailed study of e-learning design in an educational context. The analysis of multiple case studies allowed the authors to iden</w:t>
      </w:r>
    </w:p>
    <w:p>
      <w:pPr/>
      <w:r>
        <w:rPr>
          <w:b/>
        </w:rPr>
        <w:t>POSSIBLE 2020:</w:t>
      </w:r>
      <w:r>
        <w:t xml:space="preserve"> E-learning design and entrepreneurship in three European universities — https://openalex.org/W7223193736</w:t>
      </w:r>
    </w:p>
    <w:p>
      <w:pPr/>
      <w:r>
        <w:rPr>
          <w:b/>
        </w:rPr>
        <w:t>Shared claim-specific concepts:</w:t>
      </w:r>
      <w:r>
        <w:t xml:space="preserve"> design, three, all, services; EU scope visible. This is a provisional connection, not an outcome finding.</w:t>
      </w:r>
    </w:p>
    <w:p>
      <w:pPr>
        <w:pStyle w:val="SourceNote"/>
      </w:pPr>
      <w:r>
        <w:rPr>
          <w:b/>
        </w:rPr>
        <w:t>Available abstract (not full text):</w:t>
      </w:r>
      <w:r>
        <w:t xml:space="preserve"> Purpose – According to Fee (2009), e-learning systems have three components: technology, learning content and e-learning design. Few studies have examined e-learning design as an educational process, although universities are increasingly using e-learning as they become more entrepreneurial. This article aimed to investigate how universities approach e-learning design. Design/methodology/approach – The study used a mixed methods approach. First, the authors carried out a quantitative analysis of the websites of the top 100 European universities in the Quacquarelli Symonds Ranking. The authors then moved to a qualitative approach, analyzing a pilot case and three case studies. Semistructured interviews were conducted with managers of e-learning services at the chosen European universities. Findings – The 100 best European universities in the Quacquarelli Symonds Rankings all use e-learning methods. The case study universitieswere selected fromthis list.The semistructured interviews withmanagers of e-learning services highlighted the importance of the design of e-learning courses. However, most focused on the professional figures involved, rather than the process for e-learning and the overall design of the course. Originality/value – The article provides a detailed study of e-learning design in an educational context. The analysis of multiple case studies allowed the authors to </w:t>
      </w:r>
    </w:p>
    <w:p>
      <w:pPr/>
      <w:r>
        <w:rPr>
          <w:b/>
        </w:rPr>
        <w:t>POSSIBLE 2020:</w:t>
      </w:r>
      <w:r>
        <w:t xml:space="preserve"> The Community Pharmacist: Perceived Barriers and Patient-Centered Care Communication — https://doi.org/10.3390/ijerph17020536</w:t>
      </w:r>
    </w:p>
    <w:p>
      <w:pPr/>
      <w:r>
        <w:rPr>
          <w:b/>
        </w:rPr>
        <w:t>Shared claim-specific concepts:</w:t>
      </w:r>
      <w:r>
        <w:t xml:space="preserve"> community, pharmacists, pharmaceutical; EU scope not established. This is a provisional connection, not an outcome finding.</w:t>
      </w:r>
    </w:p>
    <w:p>
      <w:pPr>
        <w:pStyle w:val="SourceNote"/>
      </w:pPr>
      <w:r>
        <w:rPr>
          <w:b/>
        </w:rPr>
        <w:t>Available abstract (not full text):</w:t>
      </w:r>
      <w:r>
        <w:t xml:space="preserve"> Nowadays, the classic perception of the pharmaceutical profession in community pharmacies is facing worldwide extinction due to many factors. Among the numerous factors, online pharmacies are increasingly gaining ground thanks to their ability to facilitate customer demand. Nevertheless, they are endangering "face-to-face" contact, affecting the building of customer loyalty based on direct "human" interaction, and consequently reducing pharmacists to mere commercial figures. Patient-centered care communication is emphasized as the essential element to build a solid and appropriate interpersonal relationship with the patient, to make the consultancy process effective, and to strengthen the pharmacist's professionalism in community pharmacy. This paper presents a narrative review of existing literature with the first aim of pinpointing the factors affecting pharmacy professional practice, and secondly, of how to improve patient-centered communication skills. A more widespread introduction of in-depth study and practice of behavioral, communication, educational, and sociological methodologies and techniques would allow for the development of more effective skills used for providing an efficient consultancy service, improving the capacity of future professionals to approach public relations.</w:t>
      </w:r>
    </w:p>
    <w:p>
      <w:pPr/>
      <w:r>
        <w:rPr>
          <w:b/>
        </w:rPr>
        <w:t>POSSIBLE 2020:</w:t>
      </w:r>
      <w:r>
        <w:t xml:space="preserve"> The Role of Hospital and Community Pharmacists in the Management of COVID-19: Towards an Expanded Definition of the Roles, Responsibilities, and Duties of the Pharmacist — https://doi.org/10.3390/pharmacy8030140</w:t>
      </w:r>
    </w:p>
    <w:p>
      <w:pPr/>
      <w:r>
        <w:rPr>
          <w:b/>
        </w:rPr>
        <w:t>Shared claim-specific concepts:</w:t>
      </w:r>
      <w:r>
        <w:t xml:space="preserve"> community, pharmacists, role, health, pharmaceutical, services; EU scope not established. This is a provisional connection, not an outcome finding.</w:t>
      </w:r>
    </w:p>
    <w:p>
      <w:pPr>
        <w:pStyle w:val="SourceNote"/>
      </w:pPr>
      <w:r>
        <w:rPr>
          <w:b/>
        </w:rPr>
        <w:t>Available abstract (not full text):</w:t>
      </w:r>
      <w:r>
        <w:t xml:space="preserve"> Since late December 2019, a novel, emerging coronavirus was identified as the infectious agent responsible for a generally mild but sometimes severe and even life-threatening disease, termed as “coronavirus disease 2019” (COVID-19). The pathogen was initially named as “2019 novel coronavirus” (2019-nCoV) and later renamed as “Severe Acute Respiratory Coronavirus type 2” (SARS-CoV-2). COVID-19 quickly spread from the first epicenter, the city of Wuhan, province of Hubei, mainland China, into neighboring countries, and became a global pandemic. As of July 15th 2020, the outbreak is still ongoing, with SARS-CoV-2 affecting 213 countries and territories. The coronavirus has caused a dramatic toll of deaths and imposed a severe burden, both from a societal and economic point of view. COVID-19 has challenged health systems, straining and overwhelming healthcare facilities and settings, including hospital and community pharmacies. On the other hand, COVID-19 has propelled several changes. During the last decades, pharmacy has shifted from being products-based and patient-facing to being services-based and patient-centered. Pharmacies have transitioned from being compounding centers devoted to the manipulation of materia medica to pharmaceutical centers, clinical pharmacies and fully integrated “medical-pharmaceutical networks”, providing a significant range of non-prescribing services</w:t>
      </w:r>
    </w:p>
    <w:p>
      <w:pPr/>
      <w:r>
        <w:rPr>
          <w:b/>
        </w:rPr>
        <w:t>POSSIBLE 2019:</w:t>
      </w:r>
      <w:r>
        <w:t xml:space="preserve"> Urban design empowerment through ICT-based platforms in Europe — https://doi.org/10.1080/12265934.2019.1604250</w:t>
      </w:r>
    </w:p>
    <w:p>
      <w:pPr/>
      <w:r>
        <w:rPr>
          <w:b/>
        </w:rPr>
        <w:t>Shared claim-specific concepts:</w:t>
      </w:r>
      <w:r>
        <w:t xml:space="preserve"> aims, design, three, beyond; EU scope visible. This is a provisional connection, not an outcome finding.</w:t>
      </w:r>
    </w:p>
    <w:p>
      <w:pPr>
        <w:pStyle w:val="SourceNote"/>
      </w:pPr>
      <w:r>
        <w:rPr>
          <w:b/>
        </w:rPr>
        <w:t>Available abstract (not full text):</w:t>
      </w:r>
      <w:r>
        <w:t xml:space="preserve"> The use of ICT-based participation tools in urban design has come into prominence in the last decade. A plethora of technology-enabled participatory tools, techniques, and applications have been developed to facilitate the participation of citizens as well as other stakeholders. This study specifically focuses on ICT-based participation platforms that aim to serve as forums to respond to social and spatial needs. Many studies have reported that the use of these participatory platforms has led to positive outcomes. However, their potentials and limits for facilitating different levels of design empowerment (Senbel and Church, 2011. Design Empowerment. Journal of Planning Education and Research, 31(4), 423–437.) remain unknown. In this context, the aims of this study are: (1) to determine how these platforms empower and restrict citizens’ engagement by analysing a variety of ICT-based participation platforms in Europe, and (2) to determine the factors that can facilitate better participation practices. This research analyses 25 ICT-based participation platforms that go beyond one-sided information exchange. They were chosen out of a database of 106 platforms. These were evaluated according to their objectives, the design action phases in which they are designated to be used, their desired levels of design empowerment and their functionalities. The findings indicate that a majorit</w:t>
      </w:r>
    </w:p>
    <w:p>
      <w:pPr>
        <w:pStyle w:val="Heading2"/>
      </w:pPr>
      <w:r>
        <w:t>898.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2022:</w:t>
      </w:r>
      <w:r>
        <w:t xml:space="preserve"> The Focus Theory of Hope — https://doi.org/10.1093/pq/pqac010</w:t>
      </w:r>
    </w:p>
    <w:p>
      <w:pPr/>
      <w:r>
        <w:rPr>
          <w:b/>
        </w:rPr>
        <w:t>Shared claim-specific concepts:</w:t>
      </w:r>
      <w:r>
        <w:t xml:space="preserve"> hope, debate, about; EU scope not established. This is a provisional connection, not an outcome finding.</w:t>
      </w:r>
    </w:p>
    <w:p>
      <w:pPr>
        <w:pStyle w:val="SourceNote"/>
      </w:pPr>
      <w:r>
        <w:rPr>
          <w:b/>
        </w:rPr>
        <w:t>Available abstract (not full text):</w:t>
      </w:r>
      <w:r>
        <w:t xml:space="preserve"> Abstract Most elpistologists now agree that hope for a specific outcome involves more than just desire plus the presupposition that the outcome is possible. This paper argues that the additional element of hope is a disposition to focus on the desired outcome in a certain way. I first survey the debate about the nature of hope in the recent literature, offer objections to some important competing accounts, and describe and defend the view that hope involves a kind of focus or attention. I then suggest that this account makes sense of the intuitive thought that there are moral and pragmatic norms on hope that go beyond the norms on desires and modal presuppositions. I conclude by considering some key questions.</w:t>
      </w:r>
    </w:p>
    <w:p>
      <w:pPr/>
      <w:r>
        <w:rPr>
          <w:b/>
        </w:rPr>
        <w:t>POSSIBLE 2021:</w:t>
      </w:r>
      <w:r>
        <w:t xml:space="preserve"> Circular economy: advancement of European Union countries — https://doi.org/10.1186/s12302-021-00549-0</w:t>
      </w:r>
    </w:p>
    <w:p>
      <w:pPr/>
      <w:r>
        <w:rPr>
          <w:b/>
        </w:rPr>
        <w:t>Shared claim-specific concepts:</w:t>
      </w:r>
      <w:r>
        <w:t xml:space="preserve"> union, also, commission; EU scope visible. This is a provisional connection, not an outcome finding.</w:t>
      </w:r>
    </w:p>
    <w:p>
      <w:pPr>
        <w:pStyle w:val="SourceNote"/>
      </w:pPr>
      <w:r>
        <w:rPr>
          <w:b/>
        </w:rPr>
        <w:t>Available abstract (not full text):</w:t>
      </w:r>
      <w:r>
        <w:t xml:space="preserve"> Abstract Background Circular economy (CE) is a development priority of the European Union and it is part of the EU industrial strategy. The transition to a more circular economy is an essential contribution to the EU’s efforts to develop a sustainable, low carbon, resource-efficient and competitive economy. The author focuses her CE-related reflections and research in this paper on the macro-level (research subjects: 28 EU countries), the level which is least represented in scholarly publications addressing CE (as follows from the analysis of literature in the Scopus database). This study aims to fill this gap partially. The aim of this paper is to identify and group the EU-28 countries according to their advancement towards circular economy. CE indicators proposed by the European Commission were used for the analysis. Given the research subjects and after an analysis of the literature they were concluded to be the most adequate. The theoretical part was based on an analysis of the literature, whereas the empirical work used the principal components analysis, hierarchical and k-means clustering and a grade correspondence-cluster analysis. Results On the basis of the research, the existence of a “two-speed Europe” was identified in terms of EU countries’ advancement towards CE. Leading countries, those most advanced in pursuing operation according to CE principles, include Germa</w:t>
      </w:r>
    </w:p>
    <w:p>
      <w:pPr/>
      <w:r>
        <w:rPr>
          <w:b/>
        </w:rPr>
        <w:t>POSSIBLE 2018:</w:t>
      </w:r>
      <w:r>
        <w:t xml:space="preserve"> A Perceptual Theory of Hope — https://doi.org/10.3998/ergo.12405314.0005.008</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in.We argue that shortcomings in recent theories of hope have methodological roots in that they proceed with little regard for the rich body of literature on the emotions.Taking insights from work in the philosophy of emotions, we argue that hope involves a kind of normative perception.We then develop a strategy for determining the content of this perception, arguing that hope is a perception of practical reasons.Our proposal stands in contrast with familiar views on which hope is fundamentally about the good.We conclude by considering the increasingly popular idea that some hopes are non-intentional and thus, by implication, non-perceptual.We reply by arguing that our perceptual theory plausibly generalizes to these instances of hope.</w:t>
      </w:r>
    </w:p>
    <w:p>
      <w:pPr/>
      <w:r>
        <w:rPr>
          <w:b/>
        </w:rPr>
        <w:t>POSSIBLE 2018:</w:t>
      </w:r>
      <w:r>
        <w:t xml:space="preserve"> An externally constrained hybrid regime: Hungary in the European Union — https://doi.org/10.1080/13510347.2018.1455664</w:t>
      </w:r>
    </w:p>
    <w:p>
      <w:pPr/>
      <w:r>
        <w:rPr>
          <w:b/>
        </w:rPr>
        <w:t>Shared claim-specific concepts:</w:t>
      </w:r>
      <w:r>
        <w:t xml:space="preserve"> about, union, role; EU scope visible. This is a provisional connection, not an outcome finding.</w:t>
      </w:r>
    </w:p>
    <w:p>
      <w:pPr>
        <w:pStyle w:val="SourceNote"/>
      </w:pPr>
      <w:r>
        <w:rPr>
          <w:b/>
        </w:rPr>
        <w:t>Available abstract (not full text):</w:t>
      </w:r>
      <w:r>
        <w:t xml:space="preserve"> The paper focuses on the unique, role model characteristics of the Hungarian hybrid regime, the Hungarian political system’s new incarnation forged in the past years’ democratic backsliding process. Following the short review of the main hybrid regime literature and the key analyses putting the democratic quality of the Hungarian political system under the microscope, the paper argues that Hungary’s European Union (EU) membership, the competencies of EU institutions, and the scope of EU law have played a crucial role in the development of the system’s unique characteristics. Based on this argument, the paper qualifies Hungary as an “externally constrained hybrid regime”. However, the EU does not only fulfil system constraining functions regarding the Hungarian regime, but performs system support and system legitimation functions as well. Ultimately, the changing scope of these functions, determined by the European integration’s internal dynamics, influences first and foremost the Hungarian power elite’s strategic considerations about the country’s future EU membership.</w:t>
      </w:r>
    </w:p>
    <w:p>
      <w:pPr/>
      <w:r>
        <w:rPr>
          <w:b/>
        </w:rPr>
        <w:t>POSSIBLE 2018:</w:t>
      </w:r>
      <w:r>
        <w:t xml:space="preserve"> The European Union General Data Protection Regulation: What It Is And What It Means — https://doi.org/10.1080/13600834.2019.1573501</w:t>
      </w:r>
    </w:p>
    <w:p>
      <w:pPr/>
      <w:r>
        <w:rPr>
          <w:b/>
        </w:rPr>
        <w:t>Shared claim-specific concepts:</w:t>
      </w:r>
      <w:r>
        <w:t xml:space="preserve"> about, union, also; EU scope visible. This is a provisional connection, not an outcome finding.</w:t>
      </w:r>
    </w:p>
    <w:p>
      <w:pPr>
        <w:pStyle w:val="SourceNote"/>
      </w:pPr>
      <w:r>
        <w:rPr>
          <w:b/>
        </w:rPr>
        <w:t>Available abstract (not full text):</w:t>
      </w:r>
      <w:r>
        <w:t xml:space="preserve"> This paper introduces the strategic approach to regulating personal data and the normative foundations of the European Union’s General Data Protection Regulation (‘GDPR’). We explain the genesis of the GDPR, which is best understood as an extension and refinement of existing requirements imposed by the 1995 Data Protection Directive; describe the GDPR’s approach and provisions; and make predictions about the GDPR’s implications. We also highlight where the GDPR takes a different approach than U.S. privacy law. The GDPR is the most consequential regulatory development in information policy in a generation. The GDPR brings personal data into a detailed regulatory regime, that will influence personal data usage worldwide. Understood properly, the GDPR encourages firms to develop information governance frameworks, to in-house data use, and to keep humans in the loop in decision making. Companies with direct relationships with consumers have strategic advantages under the GDPR, compared to third party advertising firms on the internet. To reach these objectives, the GDPR uses big sticks, structural elements that make proving violations easier, but only a few carrots. The GDPR will complicate and restrain some information-intensive business models. But the GDPR will also enable approaches previously impossible under less-protective approaches.</w:t>
      </w:r>
    </w:p>
    <w:p>
      <w:pPr/>
      <w:r>
        <w:rPr>
          <w:b/>
        </w:rPr>
        <w:t>POSSIBLE 2016:</w:t>
      </w:r>
      <w:r>
        <w:t xml:space="preserve"> A Monetary Hope for Europe — https://openalex.org/W7137600050</w:t>
      </w:r>
    </w:p>
    <w:p>
      <w:pPr/>
      <w:r>
        <w:rPr>
          <w:b/>
        </w:rPr>
        <w:t>Shared claim-specific concepts:</w:t>
      </w:r>
      <w:r>
        <w:t xml:space="preserve"> hope, union, also; EU scope visible. This is a provisional connection, not an outcome finding.</w:t>
      </w:r>
    </w:p>
    <w:p>
      <w:pPr>
        <w:pStyle w:val="SourceNote"/>
      </w:pPr>
      <w:r>
        <w:rPr>
          <w:b/>
        </w:rPr>
        <w:t>Available abstract (not full text):</w:t>
      </w:r>
      <w:r>
        <w:t xml:space="preserve"> A Monetary Hope for Europe. This book studies the euro in a global perspective and opens a new series edited by the Jean Monnet European Centre of Excellence of the University of Florence, Verso l’unificazione europea. Most of the chapters have been written by economists who met and discussed their diverse views at a multi-disciplinary conference organized by the Centre in May 2013 under the title The euro and the struggle for the creation of a new global currency: Problems and perspectives in the building of the political, financial and economic foundations of the European federal government. The list of contributors also includes historians as well as European and international law academics. Their essays have been revised on the basis and against the backdrop of an ongoing crisis of both the euro and the whole European project in the last years and months. The volume aims to provide useful data and interpretations to improve knowledge on the euro and the European Union in their economic, historical, juridical and political perspectives.</w:t>
      </w:r>
    </w:p>
    <w:p>
      <w:pPr/>
      <w:r>
        <w:rPr>
          <w:b/>
        </w:rPr>
        <w:t>POSSIBLE 2016:</w:t>
      </w:r>
      <w:r>
        <w:t xml:space="preserve"> A doubtful hope: resource affect in a future oil economy — https://doi.org/10.1111/1467-9655.12397</w:t>
      </w:r>
    </w:p>
    <w:p>
      <w:pPr/>
      <w:r>
        <w:rPr>
          <w:b/>
        </w:rPr>
        <w:t>Shared claim-specific concepts:</w:t>
      </w:r>
      <w:r>
        <w:t xml:space="preserve"> hope, affect, about, also, role; EU scope not established. This is a provisional connection, not an outcome finding.</w:t>
      </w:r>
    </w:p>
    <w:p>
      <w:pPr>
        <w:pStyle w:val="SourceNote"/>
      </w:pPr>
      <w:r>
        <w:rPr>
          <w:b/>
        </w:rPr>
        <w:t>Available abstract (not full text):</w:t>
      </w:r>
      <w:r>
        <w:t xml:space="preserve"> In global debates about natural resource extraction, affect has played an increasingly prominent, if somewhat nameless, role. This paper proposes a theorization of resource affect both as an intrinsic element of capitalist dynamics and as an object problematized by corporate, government, and third‐sector practice. Drawing on ethnographic research in São Tomé and Príncipe (STP), I explore the affective horizons generated by the prospect of hydrocarbon exploration: a doubtful hope comprised of visions of material betterment, personal and collective transformation, as well as anticipations of failure, friction, and discontent. I also examine the multitude of oil‐related campaigns, activities, and programmes initiated by non‐governmental organizations and global governance institutions in STP, animated by the specific conundrums presented by oil's futurity. In light of this, I argue that what we see emerging is a new resource politics that revolves around not simply the democratic and technical aspects of resource exploitation but increasingly their associated affective dissonances and inconsistencies.</w:t>
      </w:r>
    </w:p>
    <w:p>
      <w:pPr/>
      <w:r>
        <w:rPr>
          <w:b/>
        </w:rPr>
        <w:t>POSSIBLE 2016:</w:t>
      </w:r>
      <w:r>
        <w:t xml:space="preserve"> Young people, future hopes and concerns in Finland and the European Union: classed and gendered expectations in policy documents — https://doi.org/10.1080/13676261.2016.1260693</w:t>
      </w:r>
    </w:p>
    <w:p>
      <w:pPr/>
      <w:r>
        <w:rPr>
          <w:b/>
        </w:rPr>
        <w:t>Shared claim-specific concepts:</w:t>
      </w:r>
      <w:r>
        <w:t xml:space="preserve"> about, union, also; EU scope visible. This is a provisional connection, not an outcome finding.</w:t>
      </w:r>
    </w:p>
    <w:p>
      <w:pPr>
        <w:pStyle w:val="SourceNote"/>
      </w:pPr>
      <w:r>
        <w:rPr>
          <w:b/>
        </w:rPr>
        <w:t>Available abstract (not full text):</w:t>
      </w:r>
      <w:r>
        <w:t xml:space="preserve"> In this article, I examine the ways in which governing bodies at the Finnish national and also European Union levels talk about young people and our shared future in Finland. I use their youth policy documents as material for critical discourse analysis. My argument is that, besides presenting visions of a desired future, these papers also produce and reproduce divisions between young people that reflect gender and class positions. Young people are divided into those who have potential, those who will take care of others’ needs, and those who are at risk of marginalisation. I also argue that the Nordic policy tendency to conceive of youth as a resource rather than as a problem is not consistent. Finnish youth policy has changed, firstly because of the changing economic environment – the politics of austerity – and secondly because of Europeanisation.</w:t>
      </w:r>
    </w:p>
    <w:p>
      <w:pPr>
        <w:pStyle w:val="Heading2"/>
      </w:pPr>
      <w:r>
        <w:t>899.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2023:</w:t>
      </w:r>
      <w:r>
        <w:t xml:space="preserve"> Reduced grazing and changes in the area of agroforestry in Europe — https://doi.org/10.3389/fenvs.2023.1258697</w:t>
      </w:r>
    </w:p>
    <w:p>
      <w:pPr/>
      <w:r>
        <w:rPr>
          <w:b/>
        </w:rPr>
        <w:t>Shared claim-specific concepts:</w:t>
      </w:r>
      <w:r>
        <w:t xml:space="preserve"> show, area, but, land, use;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Pasture Quality Monitoring Based on Proximal and Remote Optical Sensors: A Case Study in the Montado Mediterranean Ecosystem — https://doi.org/10.3390/agriengineering5010025</w:t>
      </w:r>
    </w:p>
    <w:p>
      <w:pPr/>
      <w:r>
        <w:rPr>
          <w:b/>
        </w:rPr>
        <w:t>Shared claim-specific concepts:</w:t>
      </w:r>
      <w:r>
        <w:t xml:space="preserve"> show, montado, case; EU scope visible. This is a provisional connection, not an outcome finding.</w:t>
      </w:r>
    </w:p>
    <w:p>
      <w:pPr>
        <w:pStyle w:val="SourceNote"/>
      </w:pPr>
      <w:r>
        <w:rPr>
          <w:b/>
        </w:rPr>
        <w:t>Available abstract (not full text):</w:t>
      </w:r>
      <w:r>
        <w:t xml:space="preserve"> Permanent dryland pastures are the basis of animal feed in extensive grazing systems. Seasonality and inter-annual climatic variability, associated with shallow, acidic, and not very fertile soils, result in low productivity and rapid degradation of pasture quality, which requires the supplementation of animal feed. In this study, carried out in a biodiverse pasture field in the Mediterranean region of southern Portugal, the vegetation index (NDVI, Normalized Difference Vegetation Index) obtained from measurements performed by a proximal optical sensor (PS) and satellite images (RS) was used to assess pasture quality parameters (pasture moisture content, PMC, crude protein, CP, and neutral detergent fiber, NDF). The monitoring was carried out throughout the 2021/2022 pasture growing season. Significant correlations were obtained between the NDVI obtained by PS and RS (R2 of 0.84) and the reference values of pasture parameters obtained in laboratory protocols: PMC (R2 of 0.88 and 0.78, respectively), CP (R2 of 0.67 and 0.63, respectively), and NDF (R2 of 0.50 and 0.46, respectively). This case study also demonstrated the spatial and temporal variability of vegetative vigour and, consequently, of pasture quality in the Montado, the characteristic Mediterranean ecosystem. These results show the pertinence of these technologies in supporting the decision-making process of the farm </w:t>
      </w:r>
    </w:p>
    <w:p>
      <w:pPr/>
      <w:r>
        <w:rPr>
          <w:b/>
        </w:rPr>
        <w:t>POSSIBLE 2022:</w:t>
      </w:r>
      <w:r>
        <w:t xml:space="preserve"> A Technological Approach to Support Extensive Livestock Management in the Portuguese Montado Ecosystem — https://doi.org/10.3390/agronomy12051212</w:t>
      </w:r>
    </w:p>
    <w:p>
      <w:pPr/>
      <w:r>
        <w:rPr>
          <w:b/>
        </w:rPr>
        <w:t>Shared claim-specific concepts:</w:t>
      </w:r>
      <w:r>
        <w:t xml:space="preserve"> area, montado, use; EU scope visible. This is a provisional connection, not an outcome finding.</w:t>
      </w:r>
    </w:p>
    <w:p>
      <w:pPr>
        <w:pStyle w:val="SourceNote"/>
      </w:pPr>
      <w:r>
        <w:rPr>
          <w:b/>
        </w:rPr>
        <w:t>Available abstract (not full text):</w:t>
      </w:r>
      <w:r>
        <w:t xml:space="preserve"> Extensive livestock production systems based on improved pastures under Montado of Holm oaks represent an approach in line with the challenges of sustainability and biodiversity. The increasing incorporation of technologies in the monitoring of this ecosystem allows for a better knowledge of the spatial and temporal variability and, consequently, a more economically profitable management. In this study, between July 2020 and June 2021, soil and pastures were monitored in a 20 ha Montado area located in Alentejo (Southern Portugal) and used for extensive grazing of cattle. The survey of soil apparent electrical conductivity (ECa), the application of algorithms for definition of homogeneous management zones (HMZ), the use of indices obtained from satellite imagery time series to characterize the evolution of pasture quality and the soil and pasture sampling, including the identification of bio-indicator botanical species, were the basis of this exploratory study, allowing a holistic approach to this complex soil-pasture-trees and animals ecosystem. In the near future, this knowledge could represent an important milestone in providing decision-making support systems to farm managers in terms of smart sampling, differential application of fertilizers, amendments or seeds, choosing the best spacing and density of trees in this ecosystem, promoting dynamic grazing, or identifying the</w:t>
      </w:r>
    </w:p>
    <w:p>
      <w:pPr/>
      <w:r>
        <w:rPr>
          <w:b/>
        </w:rPr>
        <w:t>POSSIBLE 2021:</w:t>
      </w:r>
      <w:r>
        <w:t xml:space="preserve"> Silvopasture policy promotion in European Mediterranean areas — https://doi.org/10.1371/journal.pone.0245846</w:t>
      </w:r>
    </w:p>
    <w:p>
      <w:pPr/>
      <w:r>
        <w:rPr>
          <w:b/>
        </w:rPr>
        <w:t>Shared claim-specific concepts:</w:t>
      </w:r>
      <w:r>
        <w:t xml:space="preserve"> show, area, montado, land, use; EU scope visible. This is a provisional connection, not an outcome finding.</w:t>
      </w:r>
    </w:p>
    <w:p>
      <w:pPr>
        <w:pStyle w:val="SourceNote"/>
      </w:pPr>
      <w:r>
        <w:rPr>
          <w:b/>
        </w:rPr>
        <w:t>Available abstract (not full text):</w:t>
      </w:r>
      <w:r>
        <w:t xml:space="preserve"> Silvopasture is the deliberate integration of a woody component with grazed pastures as understorey. It is one of the most extended agroforestry practices all over the world. Silvopasture use is key to increase the sustainability of livestock farming systems as silvopasture reduces the use of concentrates since the woody component provides feed for animals. However, it is not an extensively used practice in Europe. This paper aims at evaluating, from Eurostat, LUCAS database and the 118 rural development programs, the current situation of permanent grasslands in the Mediterranean area of Europe as well as the rural development programmes fostering silvopasture to better understand how sustainable land use systems are promoted and provide insights to foster silvopasture across Europe. The results of this study show that most of the policy measures related to silvopasture are adapted to the local necessity. The already existing agroforestry managed land (dehesas/montado) are related to measures supporting regeneration and maintenance while in those areas where agroforestry does not exist the measures are related to forest fire prevention.</w:t>
      </w:r>
    </w:p>
    <w:p>
      <w:pPr/>
      <w:r>
        <w:rPr>
          <w:b/>
        </w:rPr>
        <w:t>POSSIBLE 2021:</w:t>
      </w:r>
      <w:r>
        <w:t xml:space="preserve"> Mapping Land Surface Temperature Developments in Functional Urban Areas across Europe — https://doi.org/10.3390/rs13112111</w:t>
      </w:r>
    </w:p>
    <w:p>
      <w:pPr/>
      <w:r>
        <w:rPr>
          <w:b/>
        </w:rPr>
        <w:t>Shared claim-specific concepts:</w:t>
      </w:r>
      <w:r>
        <w:t xml:space="preserve"> show, significantly, land; EU scope visible. This is a provisional connection, not an outcome finding.</w:t>
      </w:r>
    </w:p>
    <w:p>
      <w:pPr>
        <w:pStyle w:val="SourceNote"/>
      </w:pPr>
      <w:r>
        <w:rPr>
          <w:b/>
        </w:rPr>
        <w:t>Available abstract (not full text):</w:t>
      </w:r>
      <w:r>
        <w:t xml:space="preserve"> Unsustainable development paths have reached critical levels in Europe. In recent years, in cities, urbanization has been contributing to the intensification of urban heat islands. To analyze the development of surface urban heat islands (SUHI) in Europe in the last few years, the present study combines the land surface temperature (LST) from MODIS with the urban classes of the CORINE land cover data within 617 functional urban areas (FUAs). Urban and industrial uses have significantly higher LST than green urban areas across all years (about 4 to 6 °C), as do agricultural areas within cities. Besides land cover, location also influences LST differences. While, e.g., Bolzano (Italy) shows particularly large LST differences (&gt;6 °C) between the core and the commuting zone, this effect is hardly visible in Porto (Portugal) and Madrid (Spain) (&lt;2.5 °C). Cities of moderate climates show increasing differences between a city and its commuting zones with rising LST (r = 0.68), i.e., less cooling effects at night.</w:t>
      </w:r>
    </w:p>
    <w:p>
      <w:pPr/>
      <w:r>
        <w:rPr>
          <w:b/>
        </w:rPr>
        <w:t>POSSIBLE 2020:</w:t>
      </w:r>
      <w:r>
        <w:t xml:space="preserve"> Competitiveness of Portuguese Montado Ewe Production Systems among the European Ewe Production Systems — https://doi.org/10.3390/agriculture10050184</w:t>
      </w:r>
    </w:p>
    <w:p>
      <w:pPr/>
      <w:r>
        <w:rPr>
          <w:b/>
        </w:rPr>
        <w:t>Shared claim-specific concepts:</w:t>
      </w:r>
      <w:r>
        <w:t xml:space="preserve"> montado, but, land; EU scope visible. This is a provisional connection, not an outcome finding.</w:t>
      </w:r>
    </w:p>
    <w:p>
      <w:pPr>
        <w:pStyle w:val="SourceNote"/>
      </w:pPr>
      <w:r>
        <w:rPr>
          <w:b/>
        </w:rPr>
        <w:t>Available abstract (not full text):</w:t>
      </w:r>
      <w:r>
        <w:t xml:space="preserve"> The number of ewes in Portugal registers a decrease since 1998. This decrease is felt particularly in the south of the country, which concentrates almost half of the existing ewes, mainly for meat production. One of the most important ewe production systems is the Montado, a High Nature Value ecosystem, occupying ca. 1.2 million ha in Portugal. The competitiveness of this system among the European ewe production systems is an important issue for the future of the Montado ecosystem. So, the objective of this paper is to analyze the ewe production systems in the Montado, using the agri benchmark database, and compare these systems with other European countries’ systems, ranking their competitiveness and efficiency among other systems in the European Union. We concluded that this methodology facilitated an in-depth understanding not only of the competitiveness and efficiency of ewe production systems in Portugal but also of their positioning regarding other systems in the European Union. The pattern of returns assures that these farms are competitive in the sense that they depend on the market on their decisions, and thus it is important that market values sheep products. Nevertheless, the diversification to other income sources would be a good option for the future sustainability of these farms and the opportunities and risks that these systems will deal with in a new green econo</w:t>
      </w:r>
    </w:p>
    <w:p>
      <w:pPr/>
      <w:r>
        <w:rPr>
          <w:b/>
        </w:rPr>
        <w:t>POSSIBLE 2020:</w:t>
      </w:r>
      <w:r>
        <w:t xml:space="preserve"> The Montado/Dehesa Cow-Calf Production Systems in Portugal and Spain: An Economic and Resources’ Use Approach — https://doi.org/10.3390/land9050148</w:t>
      </w:r>
    </w:p>
    <w:p>
      <w:pPr/>
      <w:r>
        <w:rPr>
          <w:b/>
        </w:rPr>
        <w:t>Shared claim-specific concepts:</w:t>
      </w:r>
      <w:r>
        <w:t xml:space="preserve"> montado, land, use; EU scope visible. This is a provisional connection, not an outcome finding.</w:t>
      </w:r>
    </w:p>
    <w:p>
      <w:pPr>
        <w:pStyle w:val="SourceNote"/>
      </w:pPr>
      <w:r>
        <w:rPr>
          <w:b/>
        </w:rPr>
        <w:t>Available abstract (not full text):</w:t>
      </w:r>
      <w:r>
        <w:t xml:space="preserve"> The Montado in Portugal and Dehesa in Spain is a unique agro-silvo-pastoral system designed to overcome food needs in a scarce resource’s environment. The system competitiveness is not clear and it is now under severe threats, caused by extensification or abandonment of less fertile areas and by intensification in more fertile ones. The aim of the undertaken research is to compare the cow-calf production within these systems in Portugal and Spain, identifying their strengths and weaknesses and the main drivers of their evolution, and to compare these systems with other European countries’ systems, ranking their competitiveness and efficiency among other systems in the EU. The research indicates that Montado/Dehesa farms systems are dependent on the type of farming system, its context and management, i.e., on the decision and its context; so, in a context of Mediterranean land system changes, the future of the Montado/Dehesa ecosystem depends on the ability of the cow-calf production systems to face the future and to perceive the modifications needed to overcome new challenges and take advantage of new opportunities.</w:t>
      </w:r>
    </w:p>
    <w:p>
      <w:pPr>
        <w:pStyle w:val="Heading2"/>
      </w:pPr>
      <w:r>
        <w:t>900.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r>
        <w:rPr>
          <w:b/>
        </w:rPr>
        <w:t>POSSIBLE 2023:</w:t>
      </w:r>
      <w:r>
        <w:t xml:space="preserve"> EGS development in Europe based on operational geothermal projects — https://doi.org/10.1201/9781003271475-2</w:t>
      </w:r>
    </w:p>
    <w:p>
      <w:pPr/>
      <w:r>
        <w:rPr>
          <w:b/>
        </w:rPr>
        <w:t>Shared claim-specific concepts:</w:t>
      </w:r>
      <w:r>
        <w:t xml:space="preserve"> resource, egs, enhanced, geothermal, systems; EU scope visible. This is a provisional connection, not an outcome finding.</w:t>
      </w:r>
    </w:p>
    <w:p>
      <w:pPr>
        <w:pStyle w:val="SourceNote"/>
      </w:pPr>
      <w:r>
        <w:rPr>
          <w:b/>
        </w:rPr>
        <w:t>Available abstract (not full text):</w:t>
      </w:r>
      <w:r>
        <w:t xml:space="preserve"> Enhanced geothermal systems (EGS) appear as a tangible solution for developing decarbonized electricity production and/or renewable heat at high temperatures for industry in Europe. Based on operational geothermal plants (Soultz-sous-Forêts, Rittershoffen) located in the Upper Rhine Graben (URG), it turns out that thermo-hydro or chemical stimulation techniques could be applied to naturally fractured reservoirs to enhance the hydraulic performance of the geothermal wells. However, the main challenge for EGS is the potential occurrence of induced seismicity related to post-drilling hydraulic stimulation or done during sustainable geothermal exploitation, which could generate severe societal concerns. Moreover, after several years of geothermal exploitation in the URG, there is a very low environmental impact characterized by negligible carbon dioxide emissions. As the exploited geothermal resource trapped in the fractured crystalline reservoirs is a Li-rich brine, it is likely in the near future that geothermal lithium for batteries could be produced with a neutral carbon footprint.</w:t>
      </w:r>
    </w:p>
    <w:p>
      <w:pPr/>
      <w:r>
        <w:rPr>
          <w:b/>
        </w:rPr>
        <w:t>POSSIBLE 2023:</w:t>
      </w:r>
      <w:r>
        <w:t xml:space="preserve"> Geothermal Resources of European Continent: A Regional Assessment — https://doi.org/10.31214/ijthfa.v6i1.98</w:t>
      </w:r>
    </w:p>
    <w:p>
      <w:pPr/>
      <w:r>
        <w:rPr>
          <w:b/>
        </w:rPr>
        <w:t>Shared claim-specific concepts:</w:t>
      </w:r>
      <w:r>
        <w:t xml:space="preserve"> resource, base, geothermal; EU scope visible. This is a provisional connection, not an outcome finding.</w:t>
      </w:r>
    </w:p>
    <w:p>
      <w:pPr>
        <w:pStyle w:val="SourceNote"/>
      </w:pPr>
      <w:r>
        <w:rPr>
          <w:b/>
        </w:rPr>
        <w:t>Available abstract (not full text):</w:t>
      </w:r>
      <w:r>
        <w:t xml:space="preserve"> A regional assessment of geothermal resources of the continental region of Europe is attempted in the present work. It is based on results of observational data on heat transfer by conduction as well as hydrothermal and magmatic processes in the upper crust and makes use of geothermal data reported at the website of IHFC and also estimates based on available information on occurrences thermal springs and volcanic events. The resource assessment has been carried out for 8109 sites distributed in 39 countries. These datasets were reevaluated and spatially gridded using kigrid interpolation to construction of regional distribution maps of geothermal resources and interpreted on the basis of available information on tectonic setting and geological characteristics. The estimates for volcanic areas are based on a modified method of magmatic heat budget (MHB). has been employed in deriving estimates of geothermal resources in areas of recent volcanic activity. According to results obtained the total resource base (RB) at 6km on depth is estimated to be 8.653.306 ± 7 GJ. The mean resource base per unit area (RBUA) is ~ 985 GJ. The prominent features in geothermal maps are the presence of localities with significantly high values of resource base greater than 2000 GJ in countries such as Russia, Italy, Iceland, and west Norway. In addition, vertical distributions of temperatures were ca</w:t>
      </w:r>
    </w:p>
    <w:p>
      <w:pPr/>
      <w:r>
        <w:rPr>
          <w:b/>
        </w:rPr>
        <w:t>POSSIBLE 2022:</w:t>
      </w:r>
      <w:r>
        <w:t xml:space="preserve"> Hydraulic stimulation strategies in enhanced geothermal systems (EGS): a review — https://doi.org/10.1007/s40948-022-00516-w</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Abstract In enhanced geothermal systems (EGS), the natural permeability of deep rocks is normally not high enough and needs to be increased. Permeability increase can be achieved through various stimulation methods, such as hydraulic, chemical, and thermal stimulation. Among these, hydraulic stimulation is the most commonly used technique to increase both reservoir permeability and the specific area for heat exchange. A comprehensive understanding of the underlying processes towards an optimization of hydraulic stimulation performance while minimizing the potential of unwanted induced seismicity is a critical prerequisite for a successful development of any EGS site. In this paper, we review the hydraulic stimulation strategies that have been developed and implemented for EGS. We begin with a description of the underlying mechanisms through which the permeability and heat exchange area increases are achieved. We then discuss the mechanisms of fluid injection-induced seismicity during and after a hydraulic stimulation operation. After that, alternative hydraulic stimulation strategies, namely conventional hydraulic stimulation, multi-stage fracturing, and cyclic soft stimulation, are reviewed based on current research in theoretical studies as well as, laboratory, and in-situ field experiments. Finally, some representative EGS projects are reviewed, focusing on fluid injection s</w:t>
      </w:r>
    </w:p>
    <w:p>
      <w:pPr/>
      <w:r>
        <w:rPr>
          <w:b/>
        </w:rPr>
        <w:t>POSSIBLE 2022:</w:t>
      </w:r>
      <w:r>
        <w:t xml:space="preserve"> Editorial of Special Issue “Enhanced Geothermal Systems and Other Deep Geothermal Applications throughout Europe: The MEET Project” — https://doi.org/10.3390/geosciences12090341</w:t>
      </w:r>
    </w:p>
    <w:p>
      <w:pPr/>
      <w:r>
        <w:rPr>
          <w:b/>
        </w:rPr>
        <w:t>Shared claim-specific concepts:</w:t>
      </w:r>
      <w:r>
        <w:t xml:space="preserve"> enhanced, geothermal, systems; EU scope visible. This is a provisional connection, not an outcome finding.</w:t>
      </w:r>
    </w:p>
    <w:p>
      <w:pPr>
        <w:pStyle w:val="SourceNote"/>
      </w:pPr>
      <w:r>
        <w:rPr>
          <w:b/>
        </w:rPr>
        <w:t>Available abstract (not full text):</w:t>
      </w:r>
      <w:r>
        <w:t xml:space="preserve"> The MEET project is a Multidisciplinary and multi-context demonstration of Enhanced Geothermal Systems exploration and Exploitation Techniques and potentials, which received funding from the European Commission in the framework of the Horizon 2020 program [...]</w:t>
      </w:r>
    </w:p>
    <w:p>
      <w:pPr/>
      <w:r>
        <w:rPr>
          <w:b/>
        </w:rPr>
        <w:t>POSSIBLE 2021:</w:t>
      </w:r>
      <w:r>
        <w:t xml:space="preserve"> The importance of tectonic inheritance and reactivation in geothermal energy exploration for EGS resources in SW England — https://openalex.org/W3092617703</w:t>
      </w:r>
    </w:p>
    <w:p>
      <w:pPr/>
      <w:r>
        <w:rPr>
          <w:b/>
        </w:rPr>
        <w:t>Shared claim-specific concepts:</w:t>
      </w:r>
      <w:r>
        <w:t xml:space="preserve"> egs, enhanced, geothermal, different; EU scope not established. This is a provisional connection, not an outcome finding.</w:t>
      </w:r>
    </w:p>
    <w:p>
      <w:pPr>
        <w:pStyle w:val="SourceNote"/>
      </w:pPr>
      <w:r>
        <w:rPr>
          <w:b/>
        </w:rPr>
        <w:t>Available abstract (not full text):</w:t>
      </w:r>
      <w:r>
        <w:t xml:space="preserve"> Exploration for Enhanced Geothermal System (EGS) resources has long sought natural deep fractured reservoirs. The Upper Rhine Graben is the most studied area for these targets including the successful geothermal plants at Soultz-sous-Forêts, Bruchsal, Insheim, Landau and Rittershoffen (Genter et al., 2010; Vidal et al., 2017). Previous geothermal projects, such as the Hot Dry Rock project at Rosemanowes (1977-1991) in Cornwall (SW England), targeted areas that lacked major faults and fractures (Barker et al., 2000). The Upper Rhine Graben was incepted during Eocene-Oligocene rifting in a NNE-SSW orientation that underwent Miocene sinistral reactivation (Schumacher, 2002). However, structural inheritance from dextrally reactivated Variscan ENE-WSW faults during the Miocene may also contribute to the reservoir (Bertrand et al., 2017). Geothermal energy exploration is currently experiencing a revival in SW England, targeting EGS resources within deep granitehosted fault zones. Two deep wells have been drilled at the United Downs Deep Geothermal Power Project to depths of approximately 5.0 and 2.5 km near Redruth and Eden-EGS Energy have advanced plans for deep geothermal wells near St Austell. The geology of SW England comprises several E-W-trending Devonian-Carboniferous sedimentary basins that were deformed during the Variscan orogeny (Carboniferous) and intruded by the Cornubia</w:t>
      </w:r>
    </w:p>
    <w:p>
      <w:pPr/>
      <w:r>
        <w:rPr>
          <w:b/>
        </w:rPr>
        <w:t>POSSIBLE 2021:</w:t>
      </w:r>
      <w:r>
        <w:t xml:space="preserve"> Evaluating the feasibility of geothermal deep direct-use in the United States — https://doi.org/10.1016/j.enconman.2021.114335</w:t>
      </w:r>
    </w:p>
    <w:p>
      <w:pPr/>
      <w:r>
        <w:rPr>
          <w:b/>
        </w:rPr>
        <w:t>Shared claim-specific concepts:</w:t>
      </w:r>
      <w:r>
        <w:t xml:space="preserve"> resource, base, geothermal, systems, techno-economic, typical; EU scope visible. This is a provisional connection, not an outcome finding.</w:t>
      </w:r>
    </w:p>
    <w:p>
      <w:pPr>
        <w:pStyle w:val="SourceNote"/>
      </w:pPr>
      <w:r>
        <w:rPr>
          <w:b/>
        </w:rPr>
        <w:t>Available abstract (not full text):</w:t>
      </w:r>
      <w:r>
        <w:t xml:space="preserve"> • Deep direct-use projects were evaluated for heating, cooling and thermal storage. • Performance was compared with non-geothermal systems and other countries. • Subsurface, surface and financial conditions significantly impact feasibility. • Attractive levelized costs of energy found for heating, cooling and thermal storage. This paper investigates the techno-economic feasibility of geothermal deep direct-use for heating, cooling, and thermal energy storage in the United States. The six 2017–2019 deep direct-use projects funded by the U.S. Department of Energy are reviewed and evaluated using the simulation tool GEOPHIRES, and results are compared with prior studies, existing geothermal district heating systems in Europe and the United States, as well as non-geothermal centralized and non-centralized heating, cooling, and thermal energy storage systems. Analysis indicates that deep direct-use feasibility varies widely, depending on subsurface characteristics, system design, and financial conditions. Project base case levelized cost of heat values ranged between $13 and $350/MWh; key drivers lowering the levelized cost of heat include higher reservoir temperatures, shallower reservoir depths, higher well flow rates, higher utilization rates, lower drilling costs, and lower discount rates. Incentives such as grants and an investment tax credit resulted in small improvements in p</w:t>
      </w:r>
    </w:p>
    <w:p>
      <w:pPr>
        <w:pStyle w:val="Heading2"/>
      </w:pPr>
      <w:r>
        <w:t>901.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2024:</w:t>
      </w:r>
      <w:r>
        <w:t xml:space="preserve"> Multi-model ensembles for regional and national wheat yield forecasts in Argentina — https://doi.org/10.1088/1748-9326/ad627c</w:t>
      </w:r>
    </w:p>
    <w:p>
      <w:pPr/>
      <w:r>
        <w:rPr>
          <w:b/>
        </w:rPr>
        <w:t>Shared claim-specific concepts:</w:t>
      </w:r>
      <w:r>
        <w:t xml:space="preserve"> multi-model, regional, climate, used, temperature, precipitation; EU scope visible. This is a provisional connection, not an outcome finding.</w:t>
      </w:r>
    </w:p>
    <w:p>
      <w:pPr>
        <w:pStyle w:val="SourceNote"/>
      </w:pPr>
      <w:r>
        <w:rPr>
          <w:b/>
        </w:rPr>
        <w:t>Available abstract (not full text):</w:t>
      </w:r>
      <w:r>
        <w:t xml:space="preserve"> Abstract While multi-model ensembles (MMEs) of seasonal climate models (SCMs) have been used for crop yield forecasting, there has not been a systematic attempt to select the most skillful SCMs to optimize the performance of a MME and improve in-season yield forecasts. Here, we propose a statistical model to forecast regional and national wheat yield variability from 1993–2016 over the main wheat production area in Argentina. Monthly mean temperature and precipitation from the four months (August–November) before harvest were used as features. The model was validated for end-of-season estimation in December using reanalysis data (ERA) from the European Centre for Medium-Range Weather Forecasts (ECMWF) as well as for in-season forecasts from June to November using a MME of three SCMs from 10 SCMs analyzed. A benchmark model for end-of-season yield estimation using ERA data achieved a R 2 of 0.33, a root-mean-square error (RMSE) of 9.8% and a receiver operating characteristic (ROC) score of 0.8 on national level. On regional level, the model demonstrated the best estimation accuracy in the northern sub-humid Pampas with a R 2 of 0.5, a RMSE of 12.6% and a ROC score of 0.9. Across all months of initialization, SCMs from the National Centers for Environmental Prediction, the National Center for Atmospheric Research and the Geophysical Fluid Dynamics Laboratory had the highest mean </w:t>
      </w:r>
    </w:p>
    <w:p>
      <w:pPr/>
      <w:r>
        <w:rPr>
          <w:b/>
        </w:rPr>
        <w:t>POSSIBLE 2023:</w:t>
      </w:r>
      <w:r>
        <w:t xml:space="preserve"> Partitioning model uncertainty in multi-model ensemble river flow projections — https://doi.org/10.1007/s10584-023-03621-1</w:t>
      </w:r>
    </w:p>
    <w:p>
      <w:pPr/>
      <w:r>
        <w:rPr>
          <w:b/>
        </w:rPr>
        <w:t>Shared claim-specific concepts:</w:t>
      </w:r>
      <w:r>
        <w:t xml:space="preserve"> multi-model, ensemble, regional, climate, projections, used; EU scope not established. This is a provisional connection, not an outcome finding.</w:t>
      </w:r>
    </w:p>
    <w:p>
      <w:pPr>
        <w:pStyle w:val="SourceNote"/>
      </w:pPr>
      <w:r>
        <w:rPr>
          <w:b/>
        </w:rPr>
        <w:t>Available abstract (not full text):</w:t>
      </w:r>
      <w:r>
        <w:t xml:space="preserve"> Abstract Floods are the largest natural disaster currently facing the UK, whilst the incidents of droughts have increased in recent years. Floods and droughts can have devastating consequences on society, resulting in significant financial damage to the economy. Climate models suggest that precipitation and temperature changes will exacerbate future hydrological extremes (i.e., floods and droughts). Such events are likely to become more frequent and intense in the future; thus to develop adaptation plans climate model projections feed hydrological models to provide future water resource projections. ‘eFLaG’ is one set of future river flow projections produced for the UK driven by UKCP18 climate projections from the UK Met Office. The UKCP18-derived eFLaG dataset provides state-of-the-art projections for a single GCM driven by RCP 8.5 across the entire UK. A QE-ANOVA approach has been used to partition contributing sources of uncertainty for two flow quantiles (Q5 high flows and Q95 low flows), at near and far future time scales, for each of the 186 GB catchments in the eFLaG dataset. Results suggest a larger hydrological model uncertainty associated with low flows and greater regional climate model uncertainty for high flows which remains stationary between flow indicators. Total uncertainty increases from near to far future and highly uncertain catchments have been identified </w:t>
      </w:r>
    </w:p>
    <w:p>
      <w:pPr/>
      <w:r>
        <w:rPr>
          <w:b/>
        </w:rPr>
        <w:t>POSSIBLE 2022:</w:t>
      </w:r>
      <w:r>
        <w:t xml:space="preserve"> Downscaling multi-model climate projection ensembles with deep learning (DeepESD): contribution to CORDEX EUR-44 — https://doi.org/10.5194/gmd-15-6747-2022</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Abstract. Deep Learning (DL) has recently emerged as an innovative tool to downscale climate variables from large-scale atmospheric fields under the perfect prognosis (PP) approach. Different Convolutional Neural Networks (CNN) have been applied under present-day conditions with promising results, but little is known about their suitability for extrapolating future climate change conditions. Here, we analyze this problem from a multi-model perspective, developing and evaluating an ensemble of CNN-based downscaled projections (DeepESD) for temperature and precipitation over the European EUR-44i (0.5º) domain, based on eight GCMs from the Coupled Model Intercomparison Project Phase 5 (CMIP5). To our knowledge, this is the first time that CNNs have been used to produce multi-model ensembles of downscaled projections, allowing to quantify inter-model uncertainty in climate change signals. The results are compared with those corresponding to an EUR-44 ensemble of regional climate models (RCMs) showing that DeepESD reduces distributional biases in the historical period. Moreover, the resulting climate change signals are broadly comparable to those obtained with the RCMs, with similar spatial structures. As for the uncertainty of the climate change signal (measured on the basis of inter-model spread), DeepESD yields a smaller uncertainty for precipitation, but a similar uncertainty fo</w:t>
      </w:r>
    </w:p>
    <w:p>
      <w:pPr/>
      <w:r>
        <w:rPr>
          <w:b/>
        </w:rPr>
        <w:t>POSSIBLE 2021:</w:t>
      </w:r>
      <w:r>
        <w:t xml:space="preserve"> The first multi-model ensemble of regional climate simulations at kilometer-scale resolution, part I: evaluation of precipitation — https://doi.org/10.1007/s00382-021-05708-w</w:t>
      </w:r>
    </w:p>
    <w:p>
      <w:pPr/>
      <w:r>
        <w:rPr>
          <w:b/>
        </w:rPr>
        <w:t>Shared claim-specific concepts:</w:t>
      </w:r>
      <w:r>
        <w:t xml:space="preserve"> multi-model, ensemble, regional, climate, precipitation; EU scope visible. This is a provisional connection, not an outcome finding.</w:t>
      </w:r>
    </w:p>
    <w:p>
      <w:pPr>
        <w:pStyle w:val="SourceNote"/>
      </w:pPr>
      <w:r>
        <w:rPr>
          <w:b/>
        </w:rPr>
        <w:t>Available abstract (not full text):</w:t>
      </w:r>
      <w:r>
        <w:t xml:space="preserve"> Abstract Here we present the first multi-model ensemble of regional climate simulations at kilometer-scale horizontal grid spacing over a decade long period. A total of 23 simulations run with a horizontal grid spacing of $$\sim $$ ∼ 3 km, driven by ERA-Interim reanalysis, and performed by 22 European research groups are analysed. Six different regional climate models (RCMs) are represented in the ensemble. The simulations are compared against available high-resolution precipitation observations and coarse resolution ( $$\sim $$ ∼ 12 km) RCMs with parameterized convection. The model simulations and observations are compared with respect to mean precipitation, precipitation intensity and frequency, and heavy precipitation on daily and hourly timescales in different seasons. The results show that kilometer-scale models produce a more realistic representation of precipitation than the coarse resolution RCMs. The most significant improvements are found for heavy precipitation and precipitation frequency on both daily and hourly time scales in the summer season. In general, kilometer-scale models tend to produce more intense precipitation and reduced wet-hour frequency compared to coarse resolution models. On average, the multi-model mean shows a reduction of bias from $$\sim \,$$ ∼ −40% at 12 km to $$\sim \,$$ ∼ −3% at 3 km for heavy hourly precipitation in summer. Furthermore, the</w:t>
      </w:r>
    </w:p>
    <w:p>
      <w:pPr/>
      <w:r>
        <w:rPr>
          <w:b/>
        </w:rPr>
        <w:t>POSSIBLE 2021:</w:t>
      </w:r>
      <w:r>
        <w:t xml:space="preserve"> The first multi-model ensemble of regional climate simulations at kilometer-scale resolution part 2: historical and future simulations of precipitation — https://doi.org/10.1007/s00382-021-05657-4</w:t>
      </w:r>
    </w:p>
    <w:p>
      <w:pPr/>
      <w:r>
        <w:rPr>
          <w:b/>
        </w:rPr>
        <w:t>Shared claim-specific concepts:</w:t>
      </w:r>
      <w:r>
        <w:t xml:space="preserve"> multi-model, ensemble, regional, climate, precipitation;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Projections of regional climate change in Ukraine based on multi-model ensembles of Euro-CORDEX — https://doi.org/10.5194/egusphere-egu21-13821</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Climate change is one of the major challenges for future development in every country including Ukraine where actual warming already has impacted many sectors, population, and ecosystems. Recently, the International Initiative of Coordinated Downscaling Experiment for Europe (Euro-CORDEX) has provided RCM data for 0.1o grid. This detailed RCM projection dataset is an excellent basis for estimation of exposure and vulnerability to climate change of different objects and for updating projections for a new National Communication of Ukraine to UNFCCC as well as for Strategy of Ecological Safety and Adaptation to Climate Change in Ukraine. The study is focused on the estimation of the essential and special climatic characteristics and their changes in the near future (2021-2040) as well as to the middle (2041-2050) and end (2081-2100) of the century over the base period 1991-2010 for three scenarios: RCP2.6, RCP4.5, and RCP8.5. We used bias-adjusted RCM data for daily maximum, mean, and minimum temperature and precipitation provided via ESGF web-portal. We applied a multi-model ensemble approach with further bias-correction by delta-method for multi-year monthly values of the essential characteristics as well as calculated climatic indices using a gridded observational dataset of E-Obs v.20.0e. Ensembles for RCP4.5 and RCP8.5 consisted of 34 RCMs while for RCP2.6 only data of 3 RCMs</w:t>
      </w:r>
    </w:p>
    <w:p>
      <w:pPr/>
      <w:r>
        <w:rPr>
          <w:b/>
        </w:rPr>
        <w:t>POSSIBLE 2021:</w:t>
      </w:r>
      <w:r>
        <w:t xml:space="preserve"> Uncertainty of simulated groundwater recharge at different global warming levels: a global-scale multi-model ensemble study — https://doi.org/10.5194/hess-25-787-2021</w:t>
      </w:r>
    </w:p>
    <w:p>
      <w:pPr/>
      <w:r>
        <w:rPr>
          <w:b/>
        </w:rPr>
        <w:t>Shared claim-specific concepts:</w:t>
      </w:r>
      <w:r>
        <w:t xml:space="preserve"> multi-model, ensemble, climate, projections, precipitation, current; EU scope visible. This is a provisional connection, not an outcome finding.</w:t>
      </w:r>
    </w:p>
    <w:p>
      <w:pPr>
        <w:pStyle w:val="SourceNote"/>
      </w:pPr>
      <w:r>
        <w:rPr>
          <w:b/>
        </w:rPr>
        <w:t>Available abstract (not full text):</w:t>
      </w:r>
      <w:r>
        <w:t xml:space="preserve"> Abstract. Billions of people rely on groundwater as an accessible source for drinking water and irrigation, especially in times of drought. Its importance will likely increase with a changing climate. It is still unclear, however, how climate change will impact groundwater systems globally and thus the availability of this vital resource. This study investigates uncertainties in groundwater recharge projections using a multi-model ensemble of eight global hydrological models (GHMs) that are driven by the bias-adjusted output of four global circulation models (GCMs). Preindustrial and current groundwater recharge values are compared with recharge for different global warming (GW) levels as a result of three representative concentration pathways (RCPs). Results suggest that the uncertainty range is extensive, and projections with confidence can only be made for specific regions of the world. In some regions, reversals of groundwater recharge trends can be observed with global warming. On average, a consistent median increase of groundwater recharge in northern Europe of 19 % and a decrease of 10 % in the Amazon at 3 °C GW compared to preindustrial levels are simulated. In the Mediterranean, a 2 °C GW leads to a reduction of GWR of 38 %. Because most GHMs do not include CO2 driven vegetation processes, we investigate how, including the effect of evolving CO2 concentrations into th</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multi-model, ensemble, regional, climate, projections;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An investigation of weighting schemes suitable for incorporating large ensembles into multi-model ensembles — https://doi.org/10.5194/esd-11-807-2020</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Abstract. Multi-model ensembles can be used to estimate uncertainty in projections of regional climate, but this uncertainty often depends on the constituents of the ensemble. The dependence of uncertainty on ensemble composition is clear when single model initial condition large ensembles (SMILEs) are included within a multi-model ensemble. SMILEs introduce new information into a multi-model ensemble by representing region-scale internal variability, but also introduce redundant information, by virtue of a single model being represented by 50–100 outcomes. To preserve the contribution of internal variability and ensure redundancy does not overwhelm uncertainty estimates, a weighting approach is used to incorporate 50-members of the Community Earth System Model (CESM1.2.2), 50-members of the Canadian Earth System Model (CanESM2), and 100-members of the MPI Grand Ensemble (MPI-GE) into an 88-member Coupled Model Intercomparison Project Phase 5 (CMIP5) multi-model ensemble. The weight assigned to each multi-model ensemble member is based on the member's ability to reproduce observed climate (performance) and scaled by a measure of redundancy (dependence). Surface air temperature (SAT) and sea level pressure (SLP) diagnostics are used to determine the weights, and relationships between present and future diagnostic behavior are discussed. A new diagnostic, estimated forced trend, </w:t>
      </w:r>
    </w:p>
    <w:p>
      <w:pPr/>
      <w:r>
        <w:rPr>
          <w:b/>
        </w:rPr>
        <w:t>POSSIBLE 2020:</w:t>
      </w:r>
      <w:r>
        <w:t xml:space="preserve"> Evaluation of the Large EURO‐CORDEX Regional Climate Model Ensemble — https://doi.org/10.1029/2019jd032344</w:t>
      </w:r>
    </w:p>
    <w:p>
      <w:pPr/>
      <w:r>
        <w:rPr>
          <w:b/>
        </w:rPr>
        <w:t>Shared claim-specific concepts:</w:t>
      </w:r>
      <w:r>
        <w:t xml:space="preserve"> ensemble, regional, climate, projections, temperature, precipitation; EU scope visible. This is a provisional connection, not an outcome finding.</w:t>
      </w:r>
    </w:p>
    <w:p>
      <w:pPr>
        <w:pStyle w:val="SourceNote"/>
      </w:pPr>
      <w:r>
        <w:rPr>
          <w:b/>
        </w:rPr>
        <w:t>Available abstract (not full text):</w:t>
      </w:r>
      <w:r>
        <w:t xml:space="preserve"> Abstract The use of regional climate model (RCM)‐based projections for providing regional climate information in a research and climate service contexts is currently expanding very fast. This has been possible thanks to a considerable effort in developing comprehensive ensembles of RCM projections, especially for Europe, in the EURO‐CORDEX community (Jacob et al., 2014, 2020). As of end of 2019, EURO‐CORDEX has developed a set of 55 historical and scenario projections (RCP8.5) using 8 driving global climate models (GCMs) and 11 RCMs. This article presents the ensemble including its design. We target the analysis to better characterize the quality of the RCMs by providing an evaluation of these RCM simulations over a number of classical climate variables and extreme and impact‐oriented indices for the period 1981–2010. For the main variables, the model simulations generally agree with observations and reanalyses. However, several systematic biases are found as well, with shared responsibilities among RCMs and GCMs: Simulations are overall too cold, too wet, and too windy compared to available observations or reanalyses. Some simulations show strong systematic biases on temperature, others on precipitation or dynamical variables, but none of the models/simulations can be defined as the best or the worst on all criteria. The article aims at supporting a proper use of these simulat</w:t>
      </w:r>
    </w:p>
    <w:p>
      <w:pPr/>
      <w:r>
        <w:rPr>
          <w:b/>
        </w:rPr>
        <w:t>POSSIBLE 2020:</w:t>
      </w:r>
      <w:r>
        <w:t xml:space="preserve"> The first multi-model ensemble of regional climate simulations at kilometer-scale resolution, Part I: Evaluation of precipitation — https://doi.org/10.5194/egusphere-egu2020-22378</w:t>
      </w:r>
    </w:p>
    <w:p>
      <w:pPr/>
      <w:r>
        <w:rPr>
          <w:b/>
        </w:rPr>
        <w:t>Shared claim-specific concepts:</w:t>
      </w:r>
      <w:r>
        <w:t xml:space="preserve"> multi-model, ensemble, regional, climate, precipitation; EU scope visible. This is a provisional connection, not an outcome finding.</w:t>
      </w:r>
    </w:p>
    <w:p>
      <w:pPr>
        <w:pStyle w:val="SourceNote"/>
      </w:pPr>
      <w:r>
        <w:rPr>
          <w:b/>
        </w:rPr>
        <w:t>Available abstract (not full text):</w:t>
      </w:r>
      <w:r>
        <w:t xml:space="preserve"> Here we present the first multi-model ensemble of climate simulations at kilometer-scale horizontal resolution over a decade long period. A total of 22 simulations, performed by 21 European research groups are analyzed. Six different regional climate models (RCMs) are represented in the ensemble. The simulations are compared against available high-resolution precipitation observations and coarse resolution (12 km) RCMs with parameterized convection. The model simulations and observations are compared with respect to mean precipitation, precipitation intensity and frequency, and heavy precipitation on daily and hourly timescales in different seasons. The results show that kilometer-scale models produce more realistic representation of precipitation than the coarse resolution RCMs. The most significant improvements are found for heavy precipitation and precipitation frequency on both daily and hourly time scales in the summer season. In general, kilometer-scale models tend to produce more intense precipitation and reduced wet-hour frequency compared to coarse resolution models. Although differences between the model simulations at the kilometer-scale and observations exist, it is evident that they are superior to the coarse-resolution RCMs in the simulation of precipitation in the present-day climate, and thus offer a promising way forward for investigations of climate and climat</w:t>
      </w:r>
    </w:p>
    <w:p>
      <w:pPr>
        <w:pStyle w:val="Heading2"/>
      </w:pPr>
      <w:r>
        <w:t>902.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current;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Forest-based climate change mitigation and adaptation in Europe — https://doi.org/10.36333/fs14</w:t>
      </w:r>
    </w:p>
    <w:p>
      <w:pPr/>
      <w:r>
        <w:rPr>
          <w:b/>
        </w:rPr>
        <w:t>Shared claim-specific concepts:</w:t>
      </w:r>
      <w:r>
        <w:t xml:space="preserve"> climate, over, use;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climate, trends;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2020:</w:t>
      </w:r>
      <w:r>
        <w:t xml:space="preserve"> Differing Trends in United States and European Severe Thunderstorm Environments in a Warming Climate — https://doi.org/10.1175/bams-d-20-0004.1</w:t>
      </w:r>
    </w:p>
    <w:p>
      <w:pPr/>
      <w:r>
        <w:rPr>
          <w:b/>
        </w:rPr>
        <w:t>Shared claim-specific concepts:</w:t>
      </w:r>
      <w:r>
        <w:t xml:space="preserve"> partially, climate, trends, observed, over, central; EU scope visible. This is a provisional connection, not an outcome finding.</w:t>
      </w:r>
    </w:p>
    <w:p>
      <w:pPr>
        <w:pStyle w:val="SourceNote"/>
      </w:pPr>
      <w:r>
        <w:rPr>
          <w:b/>
        </w:rPr>
        <w:t>Available abstract (not full text):</w:t>
      </w:r>
      <w:r>
        <w:t xml:space="preserve">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pPr/>
      <w:r>
        <w:rPr>
          <w:b/>
        </w:rPr>
        <w:t>POSSIBLE 2020:</w:t>
      </w:r>
      <w:r>
        <w:t xml:space="preserve"> Climate and society in European history — https://doi.org/10.1002/wcc.691</w:t>
      </w:r>
    </w:p>
    <w:p>
      <w:pPr/>
      <w:r>
        <w:rPr>
          <w:b/>
        </w:rPr>
        <w:t>Shared claim-specific concepts:</w:t>
      </w:r>
      <w:r>
        <w:t xml:space="preserve"> conclude, climate; EU scope visible. This is a provisional connection, not an outcome finding.</w:t>
      </w:r>
    </w:p>
    <w:p>
      <w:pPr>
        <w:pStyle w:val="SourceNote"/>
      </w:pPr>
      <w:r>
        <w:rPr>
          <w:b/>
        </w:rPr>
        <w:t>Available abstract (not full text):</w:t>
      </w:r>
      <w:r>
        <w:t xml:space="preserve"> Abstract This article evaluates 165 studies from various disciplines, published between 2000 and 2019, which in different ways link past climate variability and change to human history in medieval and early modern Europe (here, c . 700–1815 CE). Within this review, we focus on the identification and interpretation of causal links between changes in climate and in human societies. A revised climate–society impact order model of historical climate–society interactions is presented and applied to structure the findings of the past 20 years' scholarship. Despite considerable progress in research about past climate–society relations, partly expedited by new palaeoclimate data, we identify limitations to knowledge, including geographical biases, a disproportional attention to extremely cold periods, and a focus on crises. Furthermore, recent scholarship shows that the limitations with particular disciplinary approaches can be successfully overcome through interdisciplinary collaborations. We conclude the article by proposing recommendations for future directions of research in the climatic change–human history nexus. This article is categorized under: Climate, History, Society, Culture &gt; Ideas and Knowledge</w:t>
      </w:r>
    </w:p>
    <w:p>
      <w:pPr/>
      <w:r>
        <w:rPr>
          <w:b/>
        </w:rPr>
        <w:t>POSSIBLE 2020:</w:t>
      </w:r>
      <w:r>
        <w:t xml:space="preserve"> Causal networks for climate model evaluation and constrained projections — https://doi.org/10.1038/s41467-020-15195-y</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Global climate models are central tools for understanding past and future climate change. The assessment of model skill, in turn, can benefit from modern data science approaches. Here we apply causal discovery algorithms to sea level pressure data from a large set of climate model simulations and, as a proxy for observations, meteorological reanalyses. We demonstrate how the resulting causal networks (fingerprints) offer an objective pathway for process-oriented model evaluation. Models with fingerprints closer to observations better reproduce important precipitation patterns over highly populated areas such as the Indian subcontinent, Africa, East Asia, Europe and North America. We further identify expected model interdependencies due to shared development backgrounds. Finally, our network metrics provide stronger relationships for constraining precipitation projections under climate change as compared to traditional evaluation metrics for storm tracks or precipitation itself. Such emergent relationships highlight the potential of causal networks to constrain longstanding uncertainties in climate change projections.</w:t>
      </w:r>
    </w:p>
    <w:p>
      <w:pPr/>
      <w:r>
        <w:rPr>
          <w:b/>
        </w:rPr>
        <w:t>POSSIBLE 2020:</w:t>
      </w:r>
      <w:r>
        <w:t xml:space="preserve"> Climate change impacts on trends and extremes in future heating and cooling demands over Europe — https://doi.org/10.1016/j.enbuild.2020.110397</w:t>
      </w:r>
    </w:p>
    <w:p>
      <w:pPr/>
      <w:r>
        <w:rPr>
          <w:b/>
        </w:rPr>
        <w:t>Shared claim-specific concepts:</w:t>
      </w:r>
      <w:r>
        <w:t xml:space="preserve"> climate, trends, over; EU scope visible. This is a provisional connection, not an outcome finding.</w:t>
      </w:r>
    </w:p>
    <w:p>
      <w:pPr>
        <w:pStyle w:val="SourceNote"/>
      </w:pPr>
      <w:r>
        <w:rPr>
          <w:b/>
        </w:rPr>
        <w:t>Available abstract (not full text):</w:t>
      </w:r>
      <w:r>
        <w:t xml:space="preserve">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r>
        <w:rPr>
          <w:b/>
        </w:rPr>
        <w:t>POSSIBLE 2019:</w:t>
      </w:r>
      <w:r>
        <w:t xml:space="preserve"> Social Innovation in Community Energy in Europe: A Review of the Evidence — https://doi.org/10.3389/fenrg.2019.00031</w:t>
      </w:r>
    </w:p>
    <w:p>
      <w:pPr/>
      <w:r>
        <w:rPr>
          <w:b/>
        </w:rPr>
        <w:t>Shared claim-specific concepts:</w:t>
      </w:r>
      <w:r>
        <w:t xml:space="preserve"> over, last, three;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Robustness and Scalability of Regional Climate Projections Over Europe — https://doi.org/10.3389/fenvs.2018.00163</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The regional manifestation of climate change projections for Europe consistently indicates a future decrease in summer precipitation over southern Europe and an increase over northern Europe. However, individual models substantially modulate these overarching precipitation change signals. Despite considerable model improvements as well as increasingly higher model resolutions in regional downscaling efforts, these apparent inconsistencies so far seem unresolved. In the present study, we analyze European seasonal temperature and precipitation climate change projections using all readily available pan-European regional climate model projections for the twenty-first century with model increasing from ∼50 km to ∼12 km grid distances from the CORDEX modelling project. This allows for an in-depth understanding of what may be the most robust projection of the future climate. Employing a simple scaling with the global mean temperature change enables the identification of emerging robust signals of changes in seasonal temperature and precipitation. Likewise, the "what-if" approach, i.e., analysing the climate change signal from transient experiments at the time of an emerging global temperature exceedance of e.g. 1, 2 or 3 degrees offers a policy relevant approach to provide more accurate projections. Comparing the projections from these two approaches has never been done in a comprehen</w:t>
      </w:r>
    </w:p>
    <w:p>
      <w:pPr/>
      <w:r>
        <w:rPr>
          <w:b/>
        </w:rPr>
        <w:t>POSSIBLE 2018:</w:t>
      </w:r>
      <w:r>
        <w:t xml:space="preserve"> Quantifying the climate response to extreme land cover changes in Europe with a regional model — https://doi.org/10.1088/1748-9326/aac794</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Many future scenarios expect a key role for the land use sector to stabilize temperature rise to 2 °C or less. Changes in land cover can influence the climate system, and the extent and magnitude of the anthropogenic modifications at local and regional scales is still largely unexplored. In this study, we use the regional climate model COSMO-CLM v.4.8 to quantify the climate response to idealized extreme land cover changes in Europe. We simulate four idealized land use transitions involving abrupt conversion of today forestland to bare land or herbaceous vegetation, and conversion of today cropland to evergreen needle-leaf forest or deciduous broad-leaf forest. We find that deforestation to bare land and herbaceous vegetation causes an annual mean regional cooling of −0.06 ± 0.09 (mean ± standard deviation) and −0.13 ± 0.08, respectively. Afforestation to needle-leaf and broad-leaf forests leads to a mean warming of 0.15 ± 0.09 °C and 0.13 ± 0.09 °C, respectively. Precipitation declines after forest clearance and increases with afforestation, but the spatial variability is high. Temperature impacts are usually more significant in the grid cells affected by land cover change and show a clear latitudinal pattern and seasonal variability. The mean temperature response to deforestation turns from positive to negative between 50 and 55° latitude, and shows the strongest cooling in s</w:t>
      </w:r>
    </w:p>
    <w:p>
      <w:pPr>
        <w:pStyle w:val="Heading2"/>
      </w:pPr>
      <w:r>
        <w:t>903.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2024:</w:t>
      </w:r>
      <w:r>
        <w:t xml:space="preserve"> Coupling Deep Learning and Physically Based Hydrological Models for Monthly Streamflow Predictions — https://doi.org/10.1029/2023wr035618</w:t>
      </w:r>
    </w:p>
    <w:p>
      <w:pPr/>
      <w:r>
        <w:rPr>
          <w:b/>
        </w:rPr>
        <w:t>Shared claim-specific concepts:</w:t>
      </w:r>
      <w:r>
        <w:t xml:space="preserve"> coupling, hydrological, first, streamflow; EU scope not established. This is a provisional connection, not an outcome finding.</w:t>
      </w:r>
    </w:p>
    <w:p>
      <w:pPr>
        <w:pStyle w:val="SourceNote"/>
      </w:pPr>
      <w:r>
        <w:rPr>
          <w:b/>
        </w:rPr>
        <w:t>Available abstract (not full text):</w:t>
      </w:r>
      <w:r>
        <w:t xml:space="preserve"> Abstract This study proposes a new hybrid model for monthly streamflow predictions by coupling a physically based distributed hydrological model with a deep learning (DL) model. Specifically, a simplified hydrological model is first developed by optimally selecting grid cells from a distributed hydrological model according to their soil moisture characteristics. It is then driven by bias corrected general circulation model (GCM) predictions to generate soil moistures for the forecasting months. Finally, model‐simulated soil moisture along with other predictors from multiple sources are used as inputs of the DL model to predict future monthly streamflows. The proposed hybrid model, using the simplified Variable Infiltration Capacity (VIC) as the hydrological model and the combination of Convolutional Neural Network and Gated Recurrent Unit (CNN‐GRU) as the DL model, is applied to predict 1‐, 3‐, and 6‐month ahead reservoir inflows for the Danjiangkou Reservoir in China. The results show that the hybrid model consistently performs better than VIC and CNN‐GRU models with great improvement in Kling‐Gupta efficiency (KGE) values for lead times up to 6 months. Additional tests indicate that hybrid models based on CNN‐GRU outperform those based on LASSO, XGBoost, CNN, and GRU models. Moreover, compared with the distributed hydrological model, the hybrid model greatly reduces the compu</w:t>
      </w:r>
    </w:p>
    <w:p>
      <w:pPr/>
      <w:r>
        <w:rPr>
          <w:b/>
        </w:rPr>
        <w:t>POSSIBLE 2024:</w:t>
      </w:r>
      <w:r>
        <w:t xml:space="preserve"> Coupling hydrological and sanitation datasets to simulate wastewater-derived contamination in European rivers: Model development and calibration — https://doi.org/10.1016/j.envsoft.2024.106049</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Wastewater treatment plant (WWTP) discharges of microcontaminants have been shown to have negative impacts on freshwater streams, highlighting the need for accurate mapping of wastewater-derived contamination in water bodies across Europe (EU). In this study, we present a fast and open-source code for a microcontaminants fate and transport (MFT) model, capable of simulating contamination at a high resolution (15 arc second scale) across the EU in just 25 seconds. The model was developed using the best publicly available hydrological (HydroSHEDS) and sanitation (UWWTD) datasets and was rigorously calibrated, with a goodness of fit ([[EQUATION]] of 77.5%) that is the largest reported in the literature for MFT models. Importantly, the model demonstrated the ability to predict wastewater-derived contamination in water bodies, making it a valuable tool for planning the upgrade of WWTPs and improving the ecological condition of freshwater streams in the EU.</w:t>
      </w:r>
    </w:p>
    <w:p>
      <w:pPr/>
      <w:r>
        <w:rPr>
          <w:b/>
        </w:rPr>
        <w:t>POSSIBLE 2024:</w:t>
      </w:r>
      <w:r>
        <w:t xml:space="preserve"> Coupling Hydrological and Economic Model for the Analysis of Staged Growth in Water Management Systems — https://doi.org/10.3390/w16233437</w:t>
      </w:r>
    </w:p>
    <w:p>
      <w:pPr/>
      <w:r>
        <w:rPr>
          <w:b/>
        </w:rPr>
        <w:t>Shared claim-specific concepts:</w:t>
      </w:r>
      <w:r>
        <w:t xml:space="preserve"> coupling, hydrological, water; EU scope not established. This is a provisional connection, not an outcome finding.</w:t>
      </w:r>
    </w:p>
    <w:p>
      <w:pPr>
        <w:pStyle w:val="SourceNote"/>
      </w:pPr>
      <w:r>
        <w:rPr>
          <w:b/>
        </w:rPr>
        <w:t>Available abstract (not full text):</w:t>
      </w:r>
      <w:r>
        <w:t xml:space="preserve"> Planning and managing water resource systems with multipurpose surface reservoirs demand the careful consideration of several critical factors, including system longevity, multiple uses, phased development, substantial financial investments, complex management requirements, uncertainties in predicting future hydrological inputs, and the estimation of economic parameters. Despite the importance of these factors, recent research and software development efforts for water resource system planning and management have predominantly focused on hydrological models. Economic models that describe the phased growth of such systems are often either absent or not fully integrated into decision-making software. Well-established network-based decision support tools, such as MODSIM, AcquaNet, and SIMYLD-II, provide robust hydrological modeling but lack explicit economic sub-models to address the evolving nature of water resource systems over time. This paper introduces a novel approach that combines optimization and simulation techniques to evaluate the multi-year performance of a growing water resource system. By conducting multiple model runs for each phase of system development—each characterized by unique topologies, demand patterns, hydrological conditions, and water delivery preferences—economic analyses are suggested to complete the global evaluation of the system. This comprehensive a</w:t>
      </w:r>
    </w:p>
    <w:p>
      <w:pPr/>
      <w:r>
        <w:rPr>
          <w:b/>
        </w:rPr>
        <w:t>POSSIBLE 2024:</w:t>
      </w:r>
      <w:r>
        <w:t xml:space="preserve"> Enhanced Regional Ocean Ensemble Data Assimilation Through Atmospheric Coupling in the SKRIPS Model — https://doi.org/10.1016/j.ocemod.2024.102424</w:t>
      </w:r>
    </w:p>
    <w:p>
      <w:pPr/>
      <w:r>
        <w:rPr>
          <w:b/>
        </w:rPr>
        <w:t>Shared claim-specific concepts:</w:t>
      </w:r>
      <w:r>
        <w:t xml:space="preserve"> coupling, ensemble; EU scope not established. This is a provisional connection, not an outcome finding.</w:t>
      </w:r>
    </w:p>
    <w:p>
      <w:pPr>
        <w:pStyle w:val="SourceNote"/>
      </w:pPr>
      <w:r>
        <w:rPr>
          <w:b/>
        </w:rPr>
        <w:t>Available abstract (not full text):</w:t>
      </w:r>
      <w:r>
        <w:t xml:space="preserve"> We investigate the impact of ocean data assimilation using the Ensemble Adjustment Kalman Filter (EAKF) from the Data Assimilation Research Testbed (DART) on the oceanic and atmospheric states of the Red Sea. Our study extends the ocean data assimilation experiment performed by Sanikommu et al. (2020) by utilizing the SKRIPS model coupling the MITgcm ocean model and the Weather Research and Forecasting (WRF) atmosphere model. Using a 50-member ensemble, we assimilate satellite-derived sea surface temperature and height and in-situ temperature and salinity profiles every three days for one year, starting January 01 2011. Atmospheric data are not assimilated in the experiments. To improve the ensemble realism, perturbations are added to the WRF model using several physics options and the stochastic kinetic energy backscatter (SKEB) scheme. Compared with the control experiments using uncoupled MITgcm with ECMWF ensemble forcing, the EAKF ensemble mean oceanic states from the coupled model are better or insignificantly worse (root-mean-square-errors are 30% to -2% smaller), especially when the atmospheric model uncertainties are accounted for with stochastic perturbations. We hypothesize that the ensemble spreads of the air–sea fluxes are better represented in the downscaled WRF ensembles when uncertainties are well accounted for, leading to improved representation of the ensemble </w:t>
      </w:r>
    </w:p>
    <w:p>
      <w:pPr/>
      <w:r>
        <w:rPr>
          <w:b/>
        </w:rPr>
        <w:t>POSSIBLE 2023:</w:t>
      </w:r>
      <w:r>
        <w:t xml:space="preserve"> Coupling hydrological, habitat and water supply indicators to improve the management of environmental flows — https://doi.org/10.1016/j.scitotenv.2023.165640</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Highly regulated basins have traditionally required management practices to mitigate the negative environmental impacts and ensure human well-being. This paper proposes and assesses environmental and water supply deficit indicators to assist in the management of environmental flows (e-flows). For that, a water allocation model is applied, and hydrological alteration, habitat alteration and water supply indicators are quantified, normalized and integrated into a general basin management indicator. This basin management indicator is analyzed for four management approaches and seven e-flow scenarios in the Júcar River Basin (eastern Spain). Hydrological alteration indicators show a less pronounced alteration in the river sections located upstream of the basin while a higher alteration in the downstream sections. As for the habitat indicators, they experience an improvement compared to the natural regime. Based on the values of the basin management indicator, the best e-flow scenario to adopt in the Júcar River Basin is selected. The indicators proposed in this work are useful for supporting decision-making regarding the planning and management of e-flows in regulated river basins worldwide.</w:t>
      </w:r>
    </w:p>
    <w:p>
      <w:pPr/>
      <w:r>
        <w:rPr>
          <w:b/>
        </w:rPr>
        <w:t>POSSIBLE 2023:</w:t>
      </w:r>
      <w:r>
        <w:t xml:space="preserve"> Inferring unknown unknowns: Regularized bias-aware ensemble Kalman filter — https://doi.org/10.1016/j.cma.2023.116502</w:t>
      </w:r>
    </w:p>
    <w:p>
      <w:pPr/>
      <w:r>
        <w:rPr>
          <w:b/>
        </w:rPr>
        <w:t>Shared claim-specific concepts:</w:t>
      </w:r>
      <w:r>
        <w:t xml:space="preserve"> ensemble, first; EU scope not established. This is a provisional connection, not an outcome finding.</w:t>
      </w:r>
    </w:p>
    <w:p>
      <w:pPr>
        <w:pStyle w:val="SourceNote"/>
      </w:pPr>
      <w:r>
        <w:rPr>
          <w:b/>
        </w:rPr>
        <w:t>Available abstract (not full text):</w:t>
      </w:r>
      <w:r>
        <w:t xml:space="preserve"> Because of physical assumptions and numerical approximations, low-order models are affected by uncertainties in the state and parameters, and by model biases. Model biases, also known as model errors or systematic errors, are difficult to infer because they are ‘unknown unknowns’, i.e., we do not necessarily know their functional form a priori. With biased models, data assimilation methods may be ill-posed because either (i) they are ‘bias-unaware’ because the estimators are assumed unbiased, (ii) they rely on an a priori parametric model for the bias, or (iii) they can infer model biases that are not unique for the same model and data. First, we design a data assimilation framework to perform combined state, parameter, and bias estimation. Second, we propose a mathematical solution with a sequential method, i.e., the regularized bias-aware ensemble Kalman Filter (r-EnKF), which requires a model of the bias and its gradient (i.e., the Jacobian). Third, we propose an echo state network as the model bias estimator. We derive the Jacobian of the network, and design a robust training strategy with data augmentation to accurately infer the bias in different scenarios. Fourth, we apply the r-EnKF to nonlinearly coupled oscillators (with and without time-delay) affected by different forms of bias. The r-EnKF infers in real-time parameters and states, and a unique bias. The application</w:t>
      </w:r>
    </w:p>
    <w:p>
      <w:pPr/>
      <w:r>
        <w:rPr>
          <w:b/>
        </w:rPr>
        <w:t>POSSIBLE 2022:</w:t>
      </w:r>
      <w:r>
        <w:t xml:space="preserve"> A hydrological model to estimate pollution from combined sewer overflows at the regional scale: Application to Europe — https://doi.org/10.1016/j.ejrh.2022.101080</w:t>
      </w:r>
    </w:p>
    <w:p>
      <w:pPr/>
      <w:r>
        <w:rPr>
          <w:b/>
        </w:rPr>
        <w:t>Shared claim-specific concepts:</w:t>
      </w:r>
      <w:r>
        <w:t xml:space="preserve"> hydrological, first, order; EU scope visible. This is a provisional connection, not an outcome finding.</w:t>
      </w:r>
    </w:p>
    <w:p>
      <w:pPr>
        <w:pStyle w:val="SourceNote"/>
      </w:pPr>
      <w:r>
        <w:rPr>
          <w:b/>
        </w:rPr>
        <w:t>Available abstract (not full text):</w:t>
      </w:r>
      <w:r>
        <w:t xml:space="preserve"> Combined Sewer Overflows (CSO) of 671 Functional Urban Areas (FUAs) throughout the European Union + UK (EU28), representing almost half of the EU28 population. CSO loads can be quantified at the local scale through measurements, or with calibrated hydrological models. However, they are difficult to quantify at a large scale (e.g. regional or national), due to a lack of data, and the models used at local scale cannot be applied in the absence of knowledge of the combined sewer (CS) network. This paper presents a 6-parameter lumped hydrological model to simulate a CS network and its overflows, using population and rainfall data of 671 EU28 FUAs. When properly calibrated, the model can predict the CSO hydrographs as well as aggregated CSO descriptors of a catchment with known impervious surface area connected to a CS with a reasonable reliability. When model calibration is not possible, using default values of the parameters enables a first approximation estimate of CSOs, accurate within one order of magnitude, which can be used to support scenario analysis for regional and continental CSO management. At the EU28 scale, the estimated total CSO volume is 5.7·103 Mm3/y, with a dry weather flow content in CSOs of 460 Mm3/y (assuming a dry weather flow of 200 l/population equivalent (PE)/day including sanitary discharges, industrial discharge and infiltration). A collection of case st</w:t>
      </w:r>
    </w:p>
    <w:p>
      <w:pPr>
        <w:pStyle w:val="Heading2"/>
      </w:pPr>
      <w:r>
        <w:t>904.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assess, climate, land;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Multifaceted Conscription: A Comparative Study of Six European Countries — https://doi.org/10.31374/sjms.166</w:t>
      </w:r>
    </w:p>
    <w:p>
      <w:pPr/>
      <w:r>
        <w:rPr>
          <w:b/>
        </w:rPr>
        <w:t>Shared claim-specific concepts:</w:t>
      </w:r>
      <w:r>
        <w:t xml:space="preserve"> article, four, combining;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article, climate, use, environmental;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2022:</w:t>
      </w:r>
      <w:r>
        <w:t xml:space="preserve"> Governing artificial intelligence in China and the European Union: Comparing aims and promoting ethical outcomes — https://doi.org/10.1080/01972243.2022.2124565</w:t>
      </w:r>
    </w:p>
    <w:p>
      <w:pPr/>
      <w:r>
        <w:rPr>
          <w:b/>
        </w:rPr>
        <w:t>Shared claim-specific concepts:</w:t>
      </w:r>
      <w:r>
        <w:t xml:space="preserve"> aim, article, use; EU scope visible. This is a provisional connection, not an outcome finding.</w:t>
      </w:r>
    </w:p>
    <w:p>
      <w:pPr>
        <w:pStyle w:val="SourceNote"/>
      </w:pPr>
      <w:r>
        <w:rPr>
          <w:b/>
        </w:rPr>
        <w:t>Available abstract (not full text):</w:t>
      </w:r>
      <w:r>
        <w:t xml:space="preserve"> In this article, we compare the artificial intelligence strategies of China and the European Union, assessing the key similarities and differences regarding what the high-level aims of each governance strategy are, how the development and use of AI is promoted in the public and private sectors, and whom these policies are meant to benefit. We characterize China’s strategy by its primary focus on fostering innovation and a more recent emphasis on “common prosperity,” and the EU’s on promoting ethical outcomes through protecting fundamental rights. Building on this comparative analysis, we consider the areas where the EU and China could learn from and improve upon each other’s approaches to AI governance to promote more ethical outcomes. We outline policy recommendations for both European and Chinese policymakers that would support them in achieving this aim.</w:t>
      </w:r>
    </w:p>
    <w:p>
      <w:pPr/>
      <w:r>
        <w:rPr>
          <w:b/>
        </w:rPr>
        <w:t>POSSIBLE 2022:</w:t>
      </w:r>
      <w:r>
        <w:t xml:space="preserve"> Assessing the Effectiveness of Selected European Innovation Systems — https://doi.org/10.18778/1508-2008.25.15</w:t>
      </w:r>
    </w:p>
    <w:p>
      <w:pPr/>
      <w:r>
        <w:rPr>
          <w:b/>
        </w:rPr>
        <w:t>Shared claim-specific concepts:</w:t>
      </w:r>
      <w:r>
        <w:t xml:space="preserve"> aim, article, assess, possible; EU scope visible. This is a provisional connection, not an outcome finding.</w:t>
      </w:r>
    </w:p>
    <w:p>
      <w:pPr>
        <w:pStyle w:val="SourceNote"/>
      </w:pPr>
      <w:r>
        <w:rPr>
          <w:b/>
        </w:rPr>
        <w:t>Available abstract (not full text):</w:t>
      </w:r>
      <w:r>
        <w:t xml:space="preserve"> The growing importance of innovation in the modern economy has revived the interest of economic sciences in studies on the mechanisms that govern innovation and its impact on economic development. This growth of interest induced the concept of the national system of innovation (NSI), which occupies an important place in the innovation policy of all developed market economies. The economic literature distinguishes various typologies of innovation systems. The aim of the article is to assess the effectiveness of the system of European integration, the socio‑democratic system, and the mutated system, measured by the level of innovation of the economies that belong to these systems, in 2014 and 2019. The article analyzes the literature on the subject of innovation systems. The method of linear ordering, which makes it possible to build a synthetic measure calculated using the Hellwig method, is used to assess the effectiveness of innovation systems. The article formulates a research hypothesis that the most effective innovation systems are the socio‑democratic system and the system of European integration. This hypothesis has been positively verified.</w:t>
      </w:r>
    </w:p>
    <w:p>
      <w:pPr/>
      <w:r>
        <w:rPr>
          <w:b/>
        </w:rPr>
        <w:t>POSSIBLE 2022:</w:t>
      </w:r>
      <w:r>
        <w:t xml:space="preserve"> Environmental Inequality in Four European Cities: A Study Combining Household Survey and Geo-Referenced Data — https://doi.org/10.1093/esr/jcac028</w:t>
      </w:r>
    </w:p>
    <w:p>
      <w:pPr/>
      <w:r>
        <w:rPr>
          <w:b/>
        </w:rPr>
        <w:t>Shared claim-specific concepts:</w:t>
      </w:r>
      <w:r>
        <w:t xml:space="preserve"> four, combining, environmental; EU scope visible. This is a provisional connection, not an outcome finding.</w:t>
      </w:r>
    </w:p>
    <w:p>
      <w:pPr>
        <w:pStyle w:val="SourceNote"/>
      </w:pPr>
      <w:r>
        <w:rPr>
          <w:b/>
        </w:rPr>
        <w:t>Available abstract (not full text):</w:t>
      </w:r>
      <w:r>
        <w:t xml:space="preserve"> Abstract Combining individual-level survey data and geo-referenced administrative noise data for four European cities (Bern, Zurich, Hanover, and Mainz; n = 7,450), we test the social gradient hypothesis, which states that exposure to residential noise is higher for households in a lower socioeconomic position (measured by income and migration background). In addition, we introduce and test the ‘environmental shielding hypothesis’, which states that, given environmental ‘bads’ in the neighbourhood, privileged social groups have better opportunities to shield themselves against them. Our results show that, for many residents of the four cities, observed road traffic and aircraft noise levels are above World Health Organization limits. Estimates of spatial error regression models only partly support the social gradient hypothesis. While we find significant but relatively small income effects and somewhat stronger effects of having a (non-Western) migration background, these effects are not significant in all cities. However, especially high-income households are more capable of avoiding exposure to indoor noise. Due to their residence characteristics and having the resources to maintain high standards of noise protection, these households have more capabilities to shield themselves against environmental bads in their neighbourhood. This supports the environmental shielding hypoth</w:t>
      </w:r>
    </w:p>
    <w:p>
      <w:pPr/>
      <w:r>
        <w:rPr>
          <w:b/>
        </w:rPr>
        <w:t>POSSIBLE 2021:</w:t>
      </w:r>
      <w:r>
        <w:t xml:space="preserve"> Assessing the Level of Renewable Energy Development in the European Union Member States. A 10-Year Perspective — https://doi.org/10.3390/en14133765</w:t>
      </w:r>
    </w:p>
    <w:p>
      <w:pPr/>
      <w:r>
        <w:rPr>
          <w:b/>
        </w:rPr>
        <w:t>Shared claim-specific concepts:</w:t>
      </w:r>
      <w:r>
        <w:t xml:space="preserve"> article, assess, possible, set, indicators; EU scope visible. This is a provisional connection, not an outcome finding.</w:t>
      </w:r>
    </w:p>
    <w:p>
      <w:pPr>
        <w:pStyle w:val="SourceNote"/>
      </w:pPr>
      <w:r>
        <w:rPr>
          <w:b/>
        </w:rPr>
        <w:t>Available abstract (not full text):</w:t>
      </w:r>
      <w:r>
        <w:t xml:space="preserve"> The global economic development is, to a great extent, dependent on access to large amounts of cheap energy sources. The growing social awareness of ecology and the enormous damage to the Earth’s ecosystem due to the production of energy from conventional sources have forced fundamental changes in the energy sector. Renewable energy is considered to be an opportunity for such changes. The current state of the art allows such changes to be made without restricting economic development. Therefore, activities related to the energy transition are being taken all over the world. The European Union has definitely managed to achieve the most tangible effects in this regard. This article presents the findings of the research aimed at presenting the current state of renewable energy in the European Union and analyzing the changes reported in this sector in the last decade. The research was carried out using a selected set of 11 indicators characterizing renewable energy in individual countries. These indicators were selected on the basis of literature review and own studies of the state of renewable energy and its development prospects. Based on these indicators, changes in the energy structure of individual European Union countries between 2008–2018 were determined. The study is divided into two main stages. The principal components analysis (PCA) was used for the first analysis. In tu</w:t>
      </w:r>
    </w:p>
    <w:p>
      <w:pPr/>
      <w:r>
        <w:rPr>
          <w:b/>
        </w:rPr>
        <w:t>POSSIBLE 2021:</w:t>
      </w:r>
      <w:r>
        <w:t xml:space="preserve"> Assessing the level of digital maturity of enterprises in the Central and Eastern European countries using the MCDM and Shannon’s entropy methods — https://doi.org/10.1371/journal.pone.0253965</w:t>
      </w:r>
    </w:p>
    <w:p>
      <w:pPr/>
      <w:r>
        <w:rPr>
          <w:b/>
        </w:rPr>
        <w:t>Shared claim-specific concepts:</w:t>
      </w:r>
      <w:r>
        <w:t xml:space="preserve"> article, possible; EU scope visible. This is a provisional connection, not an outcome finding.</w:t>
      </w:r>
    </w:p>
    <w:p>
      <w:pPr>
        <w:pStyle w:val="SourceNote"/>
      </w:pPr>
      <w:r>
        <w:rPr>
          <w:b/>
        </w:rPr>
        <w:t>Available abstract (not full text):</w:t>
      </w:r>
      <w:r>
        <w:t xml:space="preserve"> The process of global economic digitalization is a natural stage of evolutionary changes resulting from a dynamic development of information and communication technologies. Having appreciated the importance and advantages of digital transformation, individual countries began to strive to introduce it as soon as possible. In this context, it is important to study the level of digital maturity in Central and Eastern Europe, where the level of digitization is relatively low. This article assesses the level of digital readiness of enterprises in these countries based on 14 determinants characterizing the most important areas of the digitalization process. The research was carried out for 11 countries from the region, both for all and manufacturing enterprises. Multi-criteria analysis aimed at assessing the digital maturity of countries were performed using the Multi-Criteria Decision-Making methods (the TOPSIS, MOORA, VIKOR), and entropy methods for delineating the weights of the determinants. In order to obtain an unambiguous assessment of the determined digital maturity, the mean-rank method was applied. The method of multidimensional scaling allowed for the analysis of similarities between the countries in question. The results showed that the level of digital maturity in the Central and Eastern Europe countries varies greatly and is lower than in other European Union countries.</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climate, carbon, use;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The ‘political’ roles of the European Commission — https://doi.org/10.1080/07036337.2019.1572135</w:t>
      </w:r>
    </w:p>
    <w:p>
      <w:pPr/>
      <w:r>
        <w:rPr>
          <w:b/>
        </w:rPr>
        <w:t>Shared claim-specific concepts:</w:t>
      </w:r>
      <w:r>
        <w:t xml:space="preserve"> aim, article, assess;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pStyle w:val="Heading2"/>
      </w:pPr>
      <w:r>
        <w:t>905.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trends, purpose;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Effects of Circularity Interventions in the European Plastic Packaging Sector — https://doi.org/10.1021/acs.est.2c08202</w:t>
      </w:r>
    </w:p>
    <w:p>
      <w:pPr/>
      <w:r>
        <w:rPr>
          <w:b/>
        </w:rPr>
        <w:t>Shared claim-specific concepts:</w:t>
      </w:r>
      <w:r>
        <w:t xml:space="preserve"> potential, packaging, work, sector;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2023:</w:t>
      </w:r>
      <w:r>
        <w:t xml:space="preserve"> Chitosan with Natural Additives as a Potential Food Packaging — https://doi.org/10.3390/ma16041579</w:t>
      </w:r>
    </w:p>
    <w:p>
      <w:pPr/>
      <w:r>
        <w:rPr>
          <w:b/>
        </w:rPr>
        <w:t>Shared claim-specific concepts:</w:t>
      </w:r>
      <w:r>
        <w:t xml:space="preserve"> potential, packaging, common, further; EU scope not established. This is a provisional connection, not an outcome finding.</w:t>
      </w:r>
    </w:p>
    <w:p>
      <w:pPr>
        <w:pStyle w:val="SourceNote"/>
      </w:pPr>
      <w:r>
        <w:rPr>
          <w:b/>
        </w:rPr>
        <w:t>Available abstract (not full text):</w:t>
      </w:r>
      <w:r>
        <w:t xml:space="preserve"> Recently, the development of materials based on natural polymers have been observed. This is the result of increasing environmental degradation, as well as increased awareness and consumer expectations. Many industries, especially the packaging industry, face challenges resulting from legal regulations. Chitin is the most common biopolymer right after cellulose and is used to produce chitosan. Due to the properties of chitosan, such as non-toxicity, biocompatibility, as well as antimicrobial properties, chitosan-based materials are used in many industries. Many studies have been conducted to determine the suitability of chitosan materials as food packaging, and their advantages and limitations have been identified. Thanks to the possibility of modifying the chitosan matrix by using natural additives, it is possible to strengthen the antioxidant and antimicrobial activity of chitosan films, which means that, in the near future, chitosan-based materials will be a more environmentally friendly alternative to the plastic packaging used so far. The article presents literature data on the most commonly used natural additives, such as essential oils, plant extracts, or polysaccharides, and their effects on antimicrobial, antioxidant, mechanical, barrier, and optical properties. The application of chitosan as a natural biopolymer in food packaging extends the shelf-life of various food</w:t>
      </w:r>
    </w:p>
    <w:p>
      <w:pPr/>
      <w:r>
        <w:rPr>
          <w:b/>
        </w:rPr>
        <w:t>POSSIBLE 2023:</w:t>
      </w:r>
      <w:r>
        <w:t xml:space="preserve"> European forest sinks and climate targets: past trends, main drivers, and future forecasts — https://doi.org/10.1007/s10342-023-01587-4</w:t>
      </w:r>
    </w:p>
    <w:p>
      <w:pPr/>
      <w:r>
        <w:rPr>
          <w:b/>
        </w:rPr>
        <w:t>Shared claim-specific concepts:</w:t>
      </w:r>
      <w:r>
        <w:t xml:space="preserve"> trends, drivers, sector; EU scope visible. This is a provisional connection, not an outcome finding.</w:t>
      </w:r>
    </w:p>
    <w:p>
      <w:pPr>
        <w:pStyle w:val="SourceNote"/>
      </w:pPr>
      <w:r>
        <w:rPr>
          <w:b/>
        </w:rPr>
        <w:t>Available abstract (not full text):</w:t>
      </w:r>
      <w:r>
        <w:t xml:space="preserve"> Abstract We examine the evolution of European net sinks towards 2030 and the European Union’s (EU) climate neutrality target by 2050. The EU’s current land use policy for 2021–2030 is divided into two periods: 2021–2025 and 2026–2030. The national inventory data from several databases and statistical analyses are used to examine the trends and drivers and to forecast future forest sinks and the net sinks of the land use, land use change and forestry (LULUCF) sector. Our forecasts suggest that national forest sinks will be short of the agreed forest reference levels in most member states in 2021–2025, with a total of 128 MtCO 2 eq. For 2026–2030, the net sink for the whole EU LULUCF sector will be short of the EU target by 298 MtCO 2 eq. Thus, most member states must design more efficient LULUCF policies to fulfil their national targets. Furthermore, the decreasing trends in the LULUCF sinks also emphasize the need to reduce emissions and to increase the sinks in most member states so that the EU can achieve its climate neutrality goal by 2050.</w:t>
      </w:r>
    </w:p>
    <w:p>
      <w:pPr/>
      <w:r>
        <w:rPr>
          <w:b/>
        </w:rPr>
        <w:t>POSSIBLE 2023:</w:t>
      </w:r>
      <w:r>
        <w:t xml:space="preserve"> Population development as a driver of coastal risk: Current trends and future pathways — https://doi.org/10.1017/cft.2023.3</w:t>
      </w:r>
    </w:p>
    <w:p>
      <w:pPr/>
      <w:r>
        <w:rPr>
          <w:b/>
        </w:rPr>
        <w:t>Shared claim-specific concepts:</w:t>
      </w:r>
      <w:r>
        <w:t xml:space="preserve"> potential, trends, work; EU scope not established. This is a provisional connection, not an outcome finding.</w:t>
      </w:r>
    </w:p>
    <w:p>
      <w:pPr>
        <w:pStyle w:val="SourceNote"/>
      </w:pPr>
      <w:r>
        <w:rPr>
          <w:b/>
        </w:rPr>
        <w:t>Available abstract (not full text):</w:t>
      </w:r>
      <w:r>
        <w:t xml:space="preserve"> Abstract Coastal areas are subject to hazards that can result in severe impacts due to the high concentration of people and assets in exposed locations. While climate-induced sea-level rise will exacerbate these hazards in the course of the 21st century, future dynamics in socioeconomic development will play an important role in driving impacts – as well as adaptation responses – in particular in countries with rapid population growth in low-lying coastal areas. Here, we synthesize the current state of knowledge related to current and future population development in coastal locations and the underlying trends in socioeconomic development affecting coastal impacts at continental to global scales. Currently, 2.15 billion people live in the near-coastal zone and 898 million in the low-elevation coastal zone globally. These numbers could increase to 2.9 billion and 1.2 billion, respectively, depending on the socioeconomic scenario (i.e., Shared Socioeconomic Pathway [SSP]) considered. Nevertheless, although these numbers indicate a rapid increase in exposure of population and assets to coastal hazards, they bear limited information about the actual impacts as they do not include information on the vulnerability of coastal population. Based on these insights, we stress the need to account for dynamics in socioeconomic development in coastal risk assessments, including exposure as w</w:t>
      </w:r>
    </w:p>
    <w:p>
      <w:pPr/>
      <w:r>
        <w:rPr>
          <w:b/>
        </w:rPr>
        <w:t>POSSIBLE 2022:</w:t>
      </w:r>
      <w:r>
        <w:t xml:space="preserve"> An Overview of Packaging Waste Models in Some European Countries — https://doi.org/10.3390/recycling7030038</w:t>
      </w:r>
    </w:p>
    <w:p>
      <w:pPr/>
      <w:r>
        <w:rPr>
          <w:b/>
        </w:rPr>
        <w:t>Shared claim-specific concepts:</w:t>
      </w:r>
      <w:r>
        <w:t xml:space="preserve"> packaging, implications, provide, base; EU scope visible. This is a provisional connection, not an outcome finding.</w:t>
      </w:r>
    </w:p>
    <w:p>
      <w:pPr>
        <w:pStyle w:val="SourceNote"/>
      </w:pPr>
      <w:r>
        <w:rPr>
          <w:b/>
        </w:rPr>
        <w:t>Available abstract (not full text):</w:t>
      </w:r>
      <w:r>
        <w:t xml:space="preserve"> Efficient packaging waste management systems are essential considering recent revisions of the European legislation on packaging waste management that sets ambitious targets. European rules aim to deal with the increasing quantities of packaging waste, which cause environmental problems. Consequently, it is necessary to identify functional packaging waste management systems to achieve these targets effectively and efficiently. However, given the heterogeneity of the different packaging management systems, policymakers, scholars, and industry operators struggle to have a comparative view. The number of non-harmonized laws in force across countries, autonomous recycling targets, and constant updates are prominent problems that make it difficult to obtain comparable information for research, business, and policymaking. To fill this gap, our research question consists of assigning responsibilities for prevention, collection, recycling, and recovery and an overview of some models at a glance with respect to the general governance and functioning of the system. We base our research on a multiple-case design since more cases are examined using complementary data collection methods, analysis of the previous literature, reports, legislation, and business and institutional websites. Our results provide insights from the following cases: Germany, France, the United Kingdom, the Netherland</w:t>
      </w:r>
    </w:p>
    <w:p>
      <w:pPr/>
      <w:r>
        <w:rPr>
          <w:b/>
        </w:rPr>
        <w:t>POSSIBLE 2022:</w:t>
      </w:r>
      <w:r>
        <w:t xml:space="preserve"> A REVIEW OF RECENT TRENDS TO INCREASE THE SHARE OF POST-CONSUMER PACKAGING WASTE TO RECYCLING IN EUROPE — https://doi.org/10.31025/2611-4135/2022.15198</w:t>
      </w:r>
    </w:p>
    <w:p>
      <w:pPr/>
      <w:r>
        <w:rPr>
          <w:b/>
        </w:rPr>
        <w:t>Shared claim-specific concepts:</w:t>
      </w:r>
      <w:r>
        <w:t xml:space="preserve"> packaging, trends, provide; EU scope visible. This is a provisional connection, not an outcome finding.</w:t>
      </w:r>
    </w:p>
    <w:p>
      <w:pPr>
        <w:pStyle w:val="SourceNote"/>
      </w:pPr>
      <w:r>
        <w:rPr>
          <w:b/>
        </w:rPr>
        <w:t>Available abstract (not full text):</w:t>
      </w:r>
      <w:r>
        <w:t xml:space="preserve"> Through the Circular Economy Package, the EU aims to reduce material imports and environmental impacts of waste management. Ambitious recycling targets should help to achieve these objectives. As a response, the waste industry developed technical and organizational solutions that can intervene at different stages of a waste management system in order to increase the recovery of recycling materials, starting with improved separate collection over the use of modern material recovery facilities up to the enhanced treatment of waste incineration ashes. The large question is how each of these options can contribute to increase recycling rates to achieve a circular economy. By reviewing case studies as presented in the most recent literature published since the year 2010 from European countries on the recycling of post-consumer packaging waste of glass, metals, paper, and plastics, this study contributes to answer this question. In the first stage, the review found 644 articles matching with the search terms and published since the year 2010. Of these, 46 remained for an in-depth analysis, since 319 did not present case studies as defined in the scope of this article. The articles reviewed provide a good overview on the state of knowledge on increasing recycling of post-consumer packaging waste by improved separate collection, material recovery facilities, and waste incineration bott</w:t>
      </w:r>
    </w:p>
    <w:p>
      <w:pPr>
        <w:pStyle w:val="Heading2"/>
      </w:pPr>
      <w:r>
        <w:t>906.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r>
        <w:rPr>
          <w:b/>
        </w:rPr>
        <w:t>POSSIBLE 2023:</w:t>
      </w:r>
      <w:r>
        <w:t xml:space="preserve"> D8.2 - Market and stakeholder analysis — https://doi.org/10.5281/zenodo.7657634</w:t>
      </w:r>
    </w:p>
    <w:p>
      <w:pPr/>
      <w:r>
        <w:rPr>
          <w:b/>
        </w:rPr>
        <w:t>Shared claim-specific concepts:</w:t>
      </w:r>
      <w:r>
        <w:t xml:space="preserve"> data, based, presents; EU scope not established. This is a provisional connection, not an outcome finding.</w:t>
      </w:r>
    </w:p>
    <w:p>
      <w:pPr>
        <w:pStyle w:val="SourceNote"/>
      </w:pPr>
      <w:r>
        <w:rPr>
          <w:b/>
        </w:rPr>
        <w:t>Available abstract (not full text):</w:t>
      </w:r>
      <w:r>
        <w:t xml:space="preserve"> The deliverable D8.2 lies under the scope of work package WP8- Business Models and Exploitation. Its content is based on the work of the Task 8.1 - Project Impact Assessment, led by ENGIE. It presents a market and stakeholder analysis concerning PLATOON tools. The main objective of this deliverable is to identify attractiveness of big data platforms to support the launch of business exploitation activities resulting from the R&amp;D project PLATOON.</w:t>
      </w:r>
    </w:p>
    <w:p>
      <w:pPr/>
      <w:r>
        <w:rPr>
          <w:b/>
        </w:rPr>
        <w:t>POSSIBLE 2022:</w:t>
      </w:r>
      <w:r>
        <w:t xml:space="preserve"> Stakeholders of the Online Pharmaceutical Market — https://doi.org/10.5772/intechopen.108485</w:t>
      </w:r>
    </w:p>
    <w:p>
      <w:pPr/>
      <w:r>
        <w:rPr>
          <w:b/>
        </w:rPr>
        <w:t>Shared claim-specific concepts:</w:t>
      </w:r>
      <w:r>
        <w:t xml:space="preserve"> stakeholders, landscape, however; EU scope not established. This is a provisional connection, not an outcome finding.</w:t>
      </w:r>
    </w:p>
    <w:p>
      <w:pPr>
        <w:pStyle w:val="SourceNote"/>
      </w:pPr>
      <w:r>
        <w:rPr>
          <w:b/>
        </w:rPr>
        <w:t>Available abstract (not full text):</w:t>
      </w:r>
      <w:r>
        <w:t xml:space="preserve"> During the past two decades, the pharmacy supply chain has developed a new segment besides traditional “brick and mortar” pharmacies. The expansion of the internet, consumer experience in online purchases, the ease of mail order trade, and distance selling have facilitated the growth of the internet pharmacy landscape. Changes in health-seeking behavior, patient empowerment, and openness to self-diagnosis and self-treatment have also contributed to the phenomenon and were further facilitated by the pandemic. Various types of online medicinal product sellers have been published previously, however, authors have classified online pharmacies mainly according to legality and patient safety considerations. As online pharmacies show great diversity, no distinct categories can be specified, rather pharmacies on the web can be categorized by multiple aspects. Admittedly, consumer preferences, regulatory environment, and legitimacy of operation are key influencing factors. In this chapter, key aspects of categorization and nomenclature are discussed to profile different vendors on the internet.</w:t>
      </w:r>
    </w:p>
    <w:p>
      <w:pPr/>
      <w:r>
        <w:rPr>
          <w:b/>
        </w:rPr>
        <w:t>POSSIBLE 2022:</w:t>
      </w:r>
      <w:r>
        <w:t xml:space="preserve"> Interaction between market stakeholders in the process of business development in an innovative economy — https://doi.org/10.5281/zenodo.5909762</w:t>
      </w:r>
    </w:p>
    <w:p>
      <w:pPr/>
      <w:r>
        <w:rPr>
          <w:b/>
        </w:rPr>
        <w:t>Shared claim-specific concepts:</w:t>
      </w:r>
      <w:r>
        <w:t xml:space="preserve"> stakeholders, based; EU scope not established. This is a provisional connection, not an outcome finding.</w:t>
      </w:r>
    </w:p>
    <w:p>
      <w:pPr>
        <w:pStyle w:val="SourceNote"/>
      </w:pPr>
      <w:r>
        <w:rPr>
          <w:b/>
        </w:rPr>
        <w:t>Available abstract (not full text):</w:t>
      </w:r>
      <w:r>
        <w:t xml:space="preserve"> Relevance of the research topic. The problem of interaction between market stakeholders in the development of entrepreneurship in an innovative economy is a prerequisite for the formation of a new type of economy based on knowledge. Transformational configurations in the institutional matrix require a systematic revision of these issues, taking into account the current state of development of the state economy. Formulation of the problem. There is a need to detail the directions of ensuring the interaction of market stakeholders in the process of developing entrepreneurship in an innovative economy. It is important to specify the infrastructural elements that will ensure continuous communication flows between individual market stakeholders. Setting the purpose and objectives of the study – to investigate the problems of interaction between market stakeholders in the development of entrepreneurship in an innovative economy and highlight the directions for improving communication between the scientific sector, production, infrastructure elements and government bodies. Research method or methodology. The article uses the methods of deduction, induction, systematization, analysis, synthesis and theoretical generalization. Presentation of the main material (research results). It is substantiated that the interaction of market stakeholders in the development of entrepreneurship in an</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stakeholders, data, presents;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2021:</w:t>
      </w:r>
      <w:r>
        <w:t xml:space="preserve"> Market research and stakeholder mapping — https://doi.org/10.5281/zenodo.7116931</w:t>
      </w:r>
    </w:p>
    <w:p>
      <w:pPr/>
      <w:r>
        <w:rPr>
          <w:b/>
        </w:rPr>
        <w:t>Shared claim-specific concepts:</w:t>
      </w:r>
      <w:r>
        <w:t xml:space="preserve"> stakeholders, evolve; EU scope not established. This is a provisional connection, not an outcome finding.</w:t>
      </w:r>
    </w:p>
    <w:p>
      <w:pPr>
        <w:pStyle w:val="SourceNote"/>
      </w:pPr>
      <w:r>
        <w:rPr>
          <w:b/>
        </w:rPr>
        <w:t>Available abstract (not full text):</w:t>
      </w:r>
      <w:r>
        <w:t xml:space="preserve"> As part of the 5GMETA project, WP6 (New Market Ecosystem) has the objective to support the strategy to create a new CCAM (Cooperative, Connected and Automated Mobility) market ecosystem. In particular, Task 6.1 (Market research and stakeholder mapping) aims to provide results after a market research and stakeholders analysis to understand which are the trends, segments and customers for the 5GMETA platform, and how the market will evolve in the CCAM market ecosystem. Moreover, a competitor analysis is performed which will be used as input for some deliverables to follow, such as D6.2 (New Business Model), thus creating a value proposition and a business model that better fits the customers and stakeholders needs. The work also identifies the key stakeholders that take part in use cases, which enriches the analysis by showing opportunities and barriers in such an innovative and technological context.</w:t>
      </w:r>
    </w:p>
    <w:p>
      <w:pPr/>
      <w:r>
        <w:rPr>
          <w:b/>
        </w:rPr>
        <w:t>POSSIBLE 2021:</w:t>
      </w:r>
      <w:r>
        <w:t xml:space="preserve"> D3.1 – Stakeholders and market analysis report — https://doi.org/10.5281/zenodo.5552478</w:t>
      </w:r>
    </w:p>
    <w:p>
      <w:pPr/>
      <w:r>
        <w:rPr>
          <w:b/>
        </w:rPr>
        <w:t>Shared claim-specific concepts:</w:t>
      </w:r>
      <w:r>
        <w:t xml:space="preserve"> stakeholders, data; EU scope not established. This is a provisional connection, not an outcome finding.</w:t>
      </w:r>
    </w:p>
    <w:p>
      <w:pPr>
        <w:pStyle w:val="SourceNote"/>
      </w:pPr>
      <w:r>
        <w:rPr>
          <w:b/>
        </w:rPr>
        <w:t>Available abstract (not full text):</w:t>
      </w:r>
      <w:r>
        <w:t xml:space="preserve"> State of the art review of the stakeholders and market analysis regarding PIXEL technologies and solutions. The aim of this deliverable is to provide an insight to the current and emerging situation of port related solutions focused on the interoperability between agents (cities, transportation companies, port agencies, etc.), the communication and storage of data of port activities, exploitation of this information and optimization of those operations from different points of view (namely environmentally).</w:t>
      </w:r>
    </w:p>
    <w:p>
      <w:pPr>
        <w:pStyle w:val="Heading2"/>
      </w:pPr>
      <w:r>
        <w:t>907.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2023:</w:t>
      </w:r>
      <w:r>
        <w:t xml:space="preserve"> Forecasting pandemic quarantine in New Zealand and Australia: A scoping review of quarantine characteristics and capabilities within preparedness plans and pandemic exercise reports from 2002 to 2019 — https://doi.org/10.1016/j.jiph.2023.10.017</w:t>
      </w:r>
    </w:p>
    <w:p>
      <w:pPr/>
      <w:r>
        <w:rPr>
          <w:b/>
        </w:rPr>
        <w:t>Shared claim-specific concepts:</w:t>
      </w:r>
      <w:r>
        <w:t xml:space="preserve"> reports, exercise, four, two, state; EU scope not established. This is a provisional connection, not an outcome finding.</w:t>
      </w:r>
    </w:p>
    <w:p>
      <w:pPr>
        <w:pStyle w:val="SourceNote"/>
      </w:pPr>
      <w:r>
        <w:rPr>
          <w:b/>
        </w:rPr>
        <w:t>Available abstract (not full text):</w:t>
      </w:r>
      <w:r>
        <w:t xml:space="preserve"> BACKGROUND: This scoping review aims to identify and critically review quarantine preparedness in New Zealand and Australia pre-COVID-19 by categorising, comparing, and evaluating quarantine information contained within pandemic plans and exercises from both countries. METHODS: Parliamentary websites, including Archives New Zealand, ParlInfo and Google Scholar, were searched for publicly available plans and exercise reports from 2002 to 2019. Data were extracted from documents meeting the inclusion criteria and analysed using directive content analysis based on the Australian Disaster Preparedness Framework categories. This scoping review followed the Joanna Briggs Institute methodology for scoping reviews, which guided the data extraction, analysis, and presentation of results. RESULTS: A total of 16 documents mentioned quarantine and were included in this scoping review. The emphasis and level of detail regarding quarantine characteristics and capabilities varied between New Zealand's five documents (one plan and four exercise reports) and Australia's 11 documents (one Influenza pandemic plan, eight state plans and two exercise reports). New Zealand's plan forecasted the need for both voluntary quarantine at home and involuntary quarantine in facilities for incoming travellers, whilst the Australian Influenza pandemic plan and state plans primarily considered voluntary quaran</w:t>
      </w:r>
    </w:p>
    <w:p>
      <w:pPr/>
      <w:r>
        <w:rPr>
          <w:b/>
        </w:rPr>
        <w:t>POSSIBLE 2023:</w:t>
      </w:r>
      <w:r>
        <w:t xml:space="preserve"> Impact of low-calorie diet plans and structured strength training regimens on body recomposition: A four-month case report — https://doi.org/10.4103/kleuhsj.kleuhsj_517_22</w:t>
      </w:r>
    </w:p>
    <w:p>
      <w:pPr/>
      <w:r>
        <w:rPr>
          <w:b/>
        </w:rPr>
        <w:t>Shared claim-specific concepts:</w:t>
      </w:r>
      <w:r>
        <w:t xml:space="preserve"> exercise, four, different; EU scope not established. This is a provisional connection, not an outcome finding.</w:t>
      </w:r>
    </w:p>
    <w:p>
      <w:pPr>
        <w:pStyle w:val="SourceNote"/>
      </w:pPr>
      <w:r>
        <w:rPr>
          <w:b/>
        </w:rPr>
        <w:t>Available abstract (not full text):</w:t>
      </w:r>
      <w:r>
        <w:t xml:space="preserve"> A normal body weight can be maintained by balancing skeletal muscle mass (SMM) and body fat mass (BFM). InBody™ 270 is an easy-to-use bioelectrical impedance device when it comes to monitoring body parameters such as SMM and BFM. Such body parameters when kept in balance can reduce lifestyle diseases. This case report is an attempt to elucidate the impact of different diet plans and exercise regimens on changing (recomposition) the body composition parameters (SMM, BFM, etc.). One of the authors performed the experiments and recorded the observations. The blueprint for the diet included strategies such as low-calorie plans and intermittent fasting. The exercise regimen had different combinations of whole-body strength training four times a week. Almost eight kg of BFM was lost. The body weight had been brought to normalcy, and at the same time, SMM was preserved due to dietary interventions and exercises.</w:t>
      </w:r>
    </w:p>
    <w:p>
      <w:pPr/>
      <w:r>
        <w:rPr>
          <w:b/>
        </w:rPr>
        <w:t>POSSIBLE 2023:</w:t>
      </w:r>
      <w:r>
        <w:t xml:space="preserve"> How different incentives influence reported motivation and perceptions of performance in Ghanaian community-based health planning and services zones — https://doi.org/10.1186/s13104-023-06286-2</w:t>
      </w:r>
    </w:p>
    <w:p>
      <w:pPr/>
      <w:r>
        <w:rPr>
          <w:b/>
        </w:rPr>
        <w:t>Shared claim-specific concepts:</w:t>
      </w:r>
      <w:r>
        <w:t xml:space="preserve"> planning, four, different, two, care; EU scope not established. This is a provisional connection, not an outcome finding.</w:t>
      </w:r>
    </w:p>
    <w:p>
      <w:pPr>
        <w:pStyle w:val="SourceNote"/>
      </w:pPr>
      <w:r>
        <w:rPr>
          <w:b/>
        </w:rPr>
        <w:t>Available abstract (not full text):</w:t>
      </w:r>
      <w:r>
        <w:t xml:space="preserve"> BACKGROUND: Maternal mortality is still a burden worldwide, and Ghana's maternal and child mortalities are still high. Incentive schemes have been effective in improving health workers' performance thereby reducing maternal and child deaths. The efficiency of public health services in most developing countries has been linked to the provision of incentives. Thus, financial packages for Community Health Volunteers (CHVs) serve as enablers for them to be focused and committed to their work. However, the poor performance of CHVs is still a challenge in health service delivery in many developing countries. Although the reasons for these persistent problems are understood, we need to find out how to implement what works in the face of political will and financial constraints. This study assesses how different incentives influence reported motivation and perceptions of performance in Community-based Health Planning and Services Program (CHPS) zones in the Upper East region. METHODS: A quasi-experimental study design with post-intervention measurement was used. Performance-based interventions were implemented for 1 year in the Upper East region. The different interventions were rolled out in 55 of 120 CHPS zones. The 55 CHPS zones were randomly assigned to four groups: three groups of 14 CHPS zones with the last group containing 13 CHPS zones. Several alternative types of financial an</w:t>
      </w:r>
    </w:p>
    <w:p>
      <w:pPr/>
      <w:r>
        <w:rPr>
          <w:b/>
        </w:rPr>
        <w:t>POSSIBLE 2022:</w:t>
      </w:r>
      <w:r>
        <w:t xml:space="preserve"> A Study on the Translatability of the Developmental Assessment Report into the Individualized Education Plan in the Philippines — https://doi.org/10.1080/1034912x.2022.2095557</w:t>
      </w:r>
    </w:p>
    <w:p>
      <w:pPr/>
      <w:r>
        <w:rPr>
          <w:b/>
        </w:rPr>
        <w:t>Shared claim-specific concepts:</w:t>
      </w:r>
      <w:r>
        <w:t xml:space="preserve"> reports, four, different; EU scope not established. This is a provisional connection, not an outcome finding.</w:t>
      </w:r>
    </w:p>
    <w:p>
      <w:pPr>
        <w:pStyle w:val="SourceNote"/>
      </w:pPr>
      <w:r>
        <w:rPr>
          <w:b/>
        </w:rPr>
        <w:t>Available abstract (not full text):</w:t>
      </w:r>
      <w:r>
        <w:t xml:space="preserve"> The Special Education Process (SEP) demands the collaboration of various professionals and personalities to create the Individualised Education Plan (IEP), beginning with the evaluation conducted by clinical psychologists, psychiatrists and in this study, developmental paediatricians. Assessments acts as a keystone document, serving as basis for determining placement levels, student support requirements and depth of academic training to be implemented. With inclusion gradually being implemented in the Philippines, the study sought to determine the translatability of the assessment report produced by developmental paediatricians into the IEP. The study used documentary analysis of 50 individualised education plans derived from the assessment reports of 10 different developmental paediatricians. The documents were analysed to determine the presence of components needed to refer to in making the IEP. The data shows that the assessment reports have four components, namely profile, present level of condition, report and recommendation. These components can be used as reference material in creating the IEP, and as a basis for a structured approach in creating the document. However, the study also shows how the report content and structure slightly differ for each other, making some of the reports easier to refer to compared to others.</w:t>
      </w:r>
    </w:p>
    <w:p>
      <w:pPr/>
      <w:r>
        <w:rPr>
          <w:b/>
        </w:rPr>
        <w:t>POSSIBLE 2022:</w:t>
      </w:r>
      <w:r>
        <w:t xml:space="preserve"> Measurement invariance testing using confirmatory factor analysis and alignment optimization: A tutorial for transparent analysis planning and reporting. — https://doi.org/10.1037/met0000441</w:t>
      </w:r>
    </w:p>
    <w:p>
      <w:pPr/>
      <w:r>
        <w:rPr>
          <w:b/>
        </w:rPr>
        <w:t>Shared claim-specific concepts:</w:t>
      </w:r>
      <w:r>
        <w:t xml:space="preserve"> planning, four, different, two; EU scope not established. This is a provisional connection, not an outcome finding.</w:t>
      </w:r>
    </w:p>
    <w:p>
      <w:pPr>
        <w:pStyle w:val="SourceNote"/>
      </w:pPr>
      <w:r>
        <w:rPr>
          <w:b/>
        </w:rPr>
        <w:t>Available abstract (not full text):</w:t>
      </w:r>
      <w:r>
        <w:t xml:space="preserve"> Measurement invariance-the notion that the measurement properties of a scale are equal across groups, contexts, or time-is an important assumption underlying much of psychology research. The traditional approach for evaluating measurement invariance is to fit a series of nested measurement models using multiple-group confirmatory factor analyses. However, traditional approaches are strict, vary across the field in implementation, and present multiplicity challenges, even in the simplest case of two groups under study. The alignment method was recently proposed as an alternative approach. This method is more automated, requires fewer decisions from researchers, and accommodates two or more groups. However, it has different assumptions, estimation techniques, and limitations from traditional approaches. To address the lack of accessible resources that explain the methodological differences and complexities between the two approaches, we introduce and illustrate both, comparing them side by side. First, we overview the concepts, assumptions, advantages, and limitations of each approach. Based on this overview, we propose a list of four key considerations to help researchers decide which approach to choose and how to document their analytical decisions in a preregistration or analysis plan. We then demonstrate our key considerations on an illustrative research question using an ope</w:t>
      </w:r>
    </w:p>
    <w:p>
      <w:pPr/>
      <w:r>
        <w:rPr>
          <w:b/>
        </w:rPr>
        <w:t>POSSIBLE 2020:</w:t>
      </w:r>
      <w:r>
        <w:t xml:space="preserve"> The JASP guidelines for conducting and reporting a Bayesian analysis — https://doi.org/10.3758/s13423-020-01798-5</w:t>
      </w:r>
    </w:p>
    <w:p>
      <w:pPr/>
      <w:r>
        <w:rPr>
          <w:b/>
        </w:rPr>
        <w:t>Shared claim-specific concepts:</w:t>
      </w:r>
      <w:r>
        <w:t xml:space="preserve"> planning, four, different; EU scope not established. This is a provisional connection, not an outcome finding.</w:t>
      </w:r>
    </w:p>
    <w:p>
      <w:pPr>
        <w:pStyle w:val="SourceNote"/>
      </w:pPr>
      <w:r>
        <w:rPr>
          <w:b/>
        </w:rPr>
        <w:t>Available abstract (not full text):</w:t>
      </w:r>
      <w:r>
        <w:t xml:space="preserve"> Despite the increasing popularity of Bayesian inference in empirical research, few practical guidelines provide detailed recommendations for how to apply Bayesian procedures and interpret the results. Here we offer specific guidelines for four different stages of Bayesian statistical reasoning in a research setting: planning the analysis, executing the analysis, interpreting the results, and reporting the results. The guidelines for each stage are illustrated with a running example. Although the guidelines are geared towards analyses performed with the open-source statistical software JASP, most guidelines extend to Bayesian inference in general.</w:t>
      </w:r>
    </w:p>
    <w:p>
      <w:pPr/>
      <w:r>
        <w:rPr>
          <w:b/>
        </w:rPr>
        <w:t>POSSIBLE 2020:</w:t>
      </w:r>
      <w:r>
        <w:t xml:space="preserve"> WP1300- Business Plan and Ecosystem Report, Document Number: DAR2020_WP1_0005 — https://openalex.org/W3128718428</w:t>
      </w:r>
    </w:p>
    <w:p>
      <w:pPr/>
      <w:r>
        <w:rPr>
          <w:b/>
        </w:rPr>
        <w:t>Shared claim-specific concepts:</w:t>
      </w:r>
      <w:r>
        <w:t xml:space="preserve"> four, different, technologies; EU scope not established. This is a provisional connection, not an outcome finding.</w:t>
      </w:r>
    </w:p>
    <w:p>
      <w:pPr>
        <w:pStyle w:val="SourceNote"/>
      </w:pPr>
      <w:r>
        <w:rPr>
          <w:b/>
        </w:rPr>
        <w:t>Available abstract (not full text):</w:t>
      </w:r>
      <w:r>
        <w:t xml:space="preserve"> The Darwin project aims to explore the integration of satellite communications (satcom) into the fifth generation mobile (5G) ecosystem with a focus on Connected Autonomous Vehicles (CAVs). The aim of this report is to map the key capabilities of the main actors and technologies that would comprise a satcom/5G ‘ecosystem’. This includes the need to collect, organise, and analyse information about the different business models currently used by the likely actors in such an ecosystem, their patterns, and potential interactions. The report consists of four sections: 1) Ecosystem Structure, 2) Ecosystem Economics and Competitive Landscape, 3) Business Plan, 4) Ecosystem Model.</w:t>
      </w:r>
    </w:p>
    <w:p>
      <w:pPr/>
      <w:r>
        <w:rPr>
          <w:b/>
        </w:rPr>
        <w:t>POSSIBLE 2020:</w:t>
      </w:r>
      <w:r>
        <w:t xml:space="preserve"> Practice-Based Politicization: Planning Reports as Actants in a University–Community Partnership — https://doi.org/10.1177/0739456x20945378</w:t>
      </w:r>
    </w:p>
    <w:p>
      <w:pPr/>
      <w:r>
        <w:rPr>
          <w:b/>
        </w:rPr>
        <w:t>Shared claim-specific concepts:</w:t>
      </w:r>
      <w:r>
        <w:t xml:space="preserve"> reports, planning, four, different; EU scope not established. This is a provisional connection, not an outcome finding.</w:t>
      </w:r>
    </w:p>
    <w:p>
      <w:pPr>
        <w:pStyle w:val="SourceNote"/>
      </w:pPr>
      <w:r>
        <w:rPr>
          <w:b/>
        </w:rPr>
        <w:t>Available abstract (not full text):</w:t>
      </w:r>
      <w:r>
        <w:t xml:space="preserve"> We look at a yearlong university–community partnership’s potential to create more equitable planning practices through an analysis of the sub-genres of student-generated planning reports. Using an actor–network approach to identify four different kinds of reports (manual, boundary object, framing, catalyst), we find that both the content of these reports and their translational work in existing practice-based networks can influence student learning and planning practices—what we term practice-based politicization—by defining, aligning, enrolling, and mobilizing. Ultimately, the relational context of these partnerships is essential to their effectiveness, suggesting that longer term engagements between university programs and their community partners are more likely to support mutual learning and deepen students’ pedagogical exposure to both an agonistic and collaborative approach to planning practice.</w:t>
      </w:r>
    </w:p>
    <w:p>
      <w:pPr/>
      <w:r>
        <w:rPr>
          <w:b/>
        </w:rPr>
        <w:t>POSSIBLE 2020:</w:t>
      </w:r>
      <w:r>
        <w:t xml:space="preserve"> Planning for patient-reported outcome implementation: Development of decision tools and practical experience across four clinics — https://doi.org/10.1017/cts.2020.37</w:t>
      </w:r>
    </w:p>
    <w:p>
      <w:pPr/>
      <w:r>
        <w:rPr>
          <w:b/>
        </w:rPr>
        <w:t>Shared claim-specific concepts:</w:t>
      </w:r>
      <w:r>
        <w:t xml:space="preserve"> planning, four, critical, engage; EU scope not established. This is a provisional connection, not an outcome finding.</w:t>
      </w:r>
    </w:p>
    <w:p>
      <w:pPr>
        <w:pStyle w:val="SourceNote"/>
      </w:pPr>
      <w:r>
        <w:rPr>
          <w:b/>
        </w:rPr>
        <w:t>Available abstract (not full text):</w:t>
      </w:r>
      <w:r>
        <w:t xml:space="preserve"> INTRODUCTION: Many institutions are attempting to implement patient-reported outcome (PRO) measures. Because PROs often change clinical workflows significantly for patients and providers, implementation choices can have major impact. While various implementation guides exist, a stepwise list of decision points covering the full implementation process and drawing explicitly on a sociotechnical conceptual framework does not exist. METHODS: To facilitate real-world implementation of PROs in electronic health records (EHRs) for use in clinical practice, members of the EHR Access to Seamless Integration of Patient-Reported Outcomes Measurement Information System (PROMIS) Consortium developed structured PRO implementation planning tools. Each institution pilot tested the tools. Joint meetings led to the identification of critical sociotechnical success factors. RESULTS: simplifies creation of a sharable implementation plan. Seven lessons learned during implementation underscore the iterative nature of planning and the importance of the clinician champion, as well as the need to understand aims, manage implementation barriers, minimize disruption, provide ample discussion time, and continuously engage key stakeholders. CONCLUSIONS: Highly structured planning tools, informed by a sociotechnical perspective, enabled the construction of clear, clinic-specific plans. By developing and tes</w:t>
      </w:r>
    </w:p>
    <w:p>
      <w:pPr>
        <w:pStyle w:val="Heading2"/>
      </w:pPr>
      <w:r>
        <w:t>908.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2025:</w:t>
      </w:r>
      <w:r>
        <w:t xml:space="preserve"> The Early Narratives — https://doi.org/10.5117/9789089648235_ch02</w:t>
      </w:r>
    </w:p>
    <w:p>
      <w:pPr/>
      <w:r>
        <w:rPr>
          <w:b/>
        </w:rPr>
        <w:t>Shared claim-specific concepts:</w:t>
      </w:r>
      <w:r>
        <w:t xml:space="preserve"> four, narratives, each, final, narrative, issues; EU scope not established. This is a provisional connection, not an outcome finding.</w:t>
      </w:r>
    </w:p>
    <w:p>
      <w:pPr>
        <w:pStyle w:val="SourceNote"/>
      </w:pPr>
      <w:r>
        <w:rPr>
          <w:b/>
        </w:rPr>
        <w:t>Available abstract (not full text):</w:t>
      </w:r>
      <w:r>
        <w:t xml:space="preserve"> This chapter will analyse the structures of Paul’s first three narratives i.e. the HR , the Vita Sancti Gregorii Magni , and the Gesta Episcoporum Mettensium as a prelude to a lengthier examination and discussion of the HL . Examining these three works will allow us to not only understand Paul’s development as a writer and a historian, but also help us to understand how he put together his lengthiest and most important final work, the HL . For each of the three early narratives, we shall consider four principal issues: first, can a common narrative strategy be identified; secondly, do the works demonstrate evidence of Paul’s approach to events and individuals; thirdly, did Paul develop his own voice in his works or remain bound to the restrictions implied by his client relationship with patrons; and fourthly how did he use and select his sources?</w:t>
      </w:r>
    </w:p>
    <w:p>
      <w:pPr/>
      <w:r>
        <w:rPr>
          <w:b/>
        </w:rPr>
        <w:t>POSSIBLE 2024:</w:t>
      </w:r>
      <w:r>
        <w:t xml:space="preserve"> Working with Sport Clients in Transitions: Four Practitioners, Four Narratives — https://doi.org/10.1080/21520704.2024.2366828</w:t>
      </w:r>
    </w:p>
    <w:p>
      <w:pPr/>
      <w:r>
        <w:rPr>
          <w:b/>
        </w:rPr>
        <w:t>Shared claim-specific concepts:</w:t>
      </w:r>
      <w:r>
        <w:t xml:space="preserve"> four, narratives, each, practice; EU scope not established. This is a provisional connection, not an outcome finding.</w:t>
      </w:r>
    </w:p>
    <w:p>
      <w:pPr>
        <w:pStyle w:val="SourceNote"/>
      </w:pPr>
      <w:r>
        <w:rPr>
          <w:b/>
        </w:rPr>
        <w:t>Available abstract (not full text):</w:t>
      </w:r>
      <w:r>
        <w:t xml:space="preserve"> In this paper, we aim to present four narratives disclosing our applied experiences of working with sport clients in transitions. Within the narratives, each practitioner reflected on their professional philosophy, approaches used in practice, and provided a case illustration. The four included cases on transitions of a student-athlete, a retired jockey, a novice baseball coach, and a basketball coach were informed by diversified developmental theoretical perspectives, employing context-driven approaches, and person-centered collaborations. Consistent with the literature, we share effective ways of developing client awareness of the transition demands/barriers, helping them become more resourceful to cope, supporting their coping strategies, and stimulating reflexivity on their transition experience.</w:t>
      </w:r>
    </w:p>
    <w:p>
      <w:pPr/>
      <w:r>
        <w:rPr>
          <w:b/>
        </w:rPr>
        <w:t>POSSIBLE 2022:</w:t>
      </w:r>
      <w:r>
        <w:t xml:space="preserve"> Time and Narrative in Augustine’s City of God and Confessions — https://openalex.org/W7217744295</w:t>
      </w:r>
    </w:p>
    <w:p>
      <w:pPr/>
      <w:r>
        <w:rPr>
          <w:b/>
        </w:rPr>
        <w:t>Shared claim-specific concepts:</w:t>
      </w:r>
      <w:r>
        <w:t xml:space="preserve"> time, narrative, out; EU scope not established. This is a provisional connection, not an outcome finding.</w:t>
      </w:r>
    </w:p>
    <w:p>
      <w:pPr>
        <w:pStyle w:val="SourceNote"/>
      </w:pPr>
      <w:r>
        <w:rPr>
          <w:b/>
        </w:rPr>
        <w:t>Available abstract (not full text):</w:t>
      </w:r>
      <w:r>
        <w:t xml:space="preserve"> This paper examines the connections between Augustine ́s conception of Time in two of his main works: City of God and Confession. The issue of Time is crucial for Augustine ́s narrative purposes, and it appears in his account of the history of mankind – the City of God, just as it appears in his account of his own history – the Confessions. Book XI in both works discuss time and creation, and put the narrativeof the book in the context of time as a whole. The two accounts proceed from similar motivations and in a similar method. But they at the same time complete eachother: the account of the Confessions is more detailed in the way it presents the problem and works out the solution step by step; the City of God seems to pick it upfrom where Confessions leaves off and takes it a step further. In this paper, I first briefly sketch the concept of time as presented in Confessions XI. I continue bypointing out how it is completed in the account in City of God I conclude by indicating how these two accounts together put into perspective Augustine’s concern with narrative, as well as his use of it.</w:t>
      </w:r>
    </w:p>
    <w:p>
      <w:pPr/>
      <w:r>
        <w:rPr>
          <w:b/>
        </w:rPr>
        <w:t>POSSIBLE 2022:</w:t>
      </w:r>
      <w:r>
        <w:t xml:space="preserve"> The Narrative Tone of Stories — https://doi.org/10.4324/9781003316503-4</w:t>
      </w:r>
    </w:p>
    <w:p>
      <w:pPr/>
      <w:r>
        <w:rPr>
          <w:b/>
        </w:rPr>
        <w:t>Shared claim-specific concepts:</w:t>
      </w:r>
      <w:r>
        <w:t xml:space="preserve"> four, developed, each, narrative; EU scope not established. This is a provisional connection, not an outcome finding.</w:t>
      </w:r>
    </w:p>
    <w:p>
      <w:pPr>
        <w:pStyle w:val="SourceNote"/>
      </w:pPr>
      <w:r>
        <w:rPr>
          <w:b/>
        </w:rPr>
        <w:t>Available abstract (not full text):</w:t>
      </w:r>
      <w:r>
        <w:t xml:space="preserve"> Every author develops a narrative tone in their writings, either consciously or unconsciously. This chapter examines two aspects of narrative tone, both of which are especially relevant to the ideas used in this research. One of the concepts is the attachment style used in each story. John Bowlby was the ‘father’ of attachment theory; Mary Ainsworth is the lesser-known ‘mother’ of the theory. The author describes the four types of attachment style: namely, secure, insecure ambivalent, insecure avoidant, insecure disorganised. Each attachment schema is described in some detail. The author then moves on to another facet of narrative tone: namely, to the visions of reality or world views depicted in writings. The author uses a typology of world views developed by Northrop Frye: Romantic, Comic, Tragic and Ironic. Later writers (Messer &amp; Winokur, and Shafer) have identified the underlying metatheoretical assumptions of these world views as they pertain to the four main differing theoretical modalities in counselling and psychotherapy. The four competing visions are completely at odds with each other in some regards; in others, it is a matter of gradation. A number of elements are compared and contrasted: loci of responsibility and control; agency and structure; optimism versus pessimism. The author stresses that the world view put forward in each story may be expressed consciously </w:t>
      </w:r>
    </w:p>
    <w:p>
      <w:pPr/>
      <w:r>
        <w:rPr>
          <w:b/>
        </w:rPr>
        <w:t>POSSIBLE 2021:</w:t>
      </w:r>
      <w:r>
        <w:t xml:space="preserve"> Time Machines: Artificial Intelligence, Process, and Narrative — https://doi.org/10.1007/s13347-021-00479-y</w:t>
      </w:r>
    </w:p>
    <w:p>
      <w:pPr/>
      <w:r>
        <w:rPr>
          <w:b/>
        </w:rPr>
        <w:t>Shared claim-specific concepts:</w:t>
      </w:r>
      <w:r>
        <w:t xml:space="preserve"> narratives, time, narrative; EU scope not established. This is a provisional connection, not an outcome finding.</w:t>
      </w:r>
    </w:p>
    <w:p>
      <w:pPr>
        <w:pStyle w:val="SourceNote"/>
      </w:pPr>
      <w:r>
        <w:rPr>
          <w:b/>
        </w:rPr>
        <w:t>Available abstract (not full text):</w:t>
      </w:r>
      <w:r>
        <w:t xml:space="preserve"> Abstract While today there is much discussion about the ethics of artificial intelligence (AI), less work has been done on the philosophical nature of AI. Drawing on Bergson and Ricoeur, this paper proposes to use the concepts of time, process, and narrative to conceptualize AI and its normatively relevant impact on human lives and society. Distinguishing between a number of different ways in which AI and time are related, the paper explores what it means to understand AI as narrative, as process, or as the emergent outcome of processes and narratives. It pays particular attention to what it calls the “narrator” and “time machine” roles of AI and the normative implications of these roles. It argues that AI processes and narratives shape our time and link past, present, and future in particular ways that are ethically and politically significant.</w:t>
      </w:r>
    </w:p>
    <w:p>
      <w:pPr/>
      <w:r>
        <w:rPr>
          <w:b/>
        </w:rPr>
        <w:t>POSSIBLE 2021:</w:t>
      </w:r>
      <w:r>
        <w:t xml:space="preserve"> What drives global science? The four competing narratives — https://doi.org/10.1080/03075079.2021.1942822</w:t>
      </w:r>
    </w:p>
    <w:p>
      <w:pPr/>
      <w:r>
        <w:rPr>
          <w:b/>
        </w:rPr>
        <w:t>Shared claim-specific concepts:</w:t>
      </w:r>
      <w:r>
        <w:t xml:space="preserve"> four, narratives, each, narrative; EU scope not established. This is a provisional connection, not an outcome finding.</w:t>
      </w:r>
    </w:p>
    <w:p>
      <w:pPr>
        <w:pStyle w:val="SourceNote"/>
      </w:pPr>
      <w:r>
        <w:rPr>
          <w:b/>
        </w:rPr>
        <w:t>Available abstract (not full text):</w:t>
      </w:r>
      <w:r>
        <w:t xml:space="preserve"> Since 1990 there has been remarkable growth and diversification of worldwide capacity and output in science, and a distinctive global science system has emerged, primarily grounded in research universities, fostered by Internet-mediated communication and publication in English, cross-border authorship and researcher mobility. While global science overlaps with and is affected by national science systems, it is constituted by pan-national knowledge flows and collegial collaboration and has partial autonomy. Four different interpretive frameworks (narratives) have evolved to explain global science: science as an expanding cross-border network; science as an arms race between competing nations; science as a global market of competing ‘World-Class Universities’; and science as a centre-periphery hierarchy in which emerging countries are permanently constrained by Euro-American dominance. The paper reviews each narrative in relation to the literature, especially in scientometrics, and empirical tendencies in global science, tracked in secondary data derived from bibliometric collections. While each narrative contains at least a grain of truth, each also conflicts with the others and each is radically insufficient. A better explanation of the drivers of global science combines (1) flat open networked relations with (2) the inequalities and closures shaped by global hegemony, arbitrar</w:t>
      </w:r>
    </w:p>
    <w:p>
      <w:pPr/>
      <w:r>
        <w:rPr>
          <w:b/>
        </w:rPr>
        <w:t>POSSIBLE 2021:</w:t>
      </w:r>
      <w:r>
        <w:t xml:space="preserve"> Fugue for Four Voices: Building narratives through music behind bars — https://doi.org/10.1177/10298649211015505</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The project On the Wings of a Piano . . . I Learn to Fly was developed with four women in custody inside a Portuguese prison during 2013–2014 over a period of eight months. Weekly individual sessions focused on improvisation, composition, memorization, and learning repertoire. This one-to-one work with participants resulted in the presentation of three distinct public performances in different contexts and for different audiences. Community music principles of decentralization, accessibility and equal opportunity were the foundation of a strong triangular relationship between the participants, the music they played on the piano, and the facilitator. With the narrative of each participant at its core, this article explores different ways in which this project can be identified as community music, despite the emphasis on individual work with each of the participants. The importance of adapting to each participant’s personal needs, requests and skills is highlighted, as well as the value of the affection developed between facilitator and participants. The subjectivity inherent in the involvement of the facilitator as a researcher is discussed, and the pedagogic outcomes of the project are also considered as an important contribution to research on music in prisons.</w:t>
      </w:r>
    </w:p>
    <w:p>
      <w:pPr/>
      <w:r>
        <w:rPr>
          <w:b/>
        </w:rPr>
        <w:t>POSSIBLE 2021:</w:t>
      </w:r>
      <w:r>
        <w:t xml:space="preserve"> Shared socioeconomic pathways for climate change research in Finland: co-developing extended SSP narratives for agriculture — https://doi.org/10.1007/s10113-020-01734-2</w:t>
      </w:r>
    </w:p>
    <w:p>
      <w:pPr/>
      <w:r>
        <w:rPr>
          <w:b/>
        </w:rPr>
        <w:t>Shared claim-specific concepts:</w:t>
      </w:r>
      <w:r>
        <w:t xml:space="preserve"> four, narratives, developed, each, final, workshop; EU scope visible. This is a provisional connection, not an outcome finding.</w:t>
      </w:r>
    </w:p>
    <w:p>
      <w:pPr>
        <w:pStyle w:val="SourceNote"/>
      </w:pPr>
      <w:r>
        <w:rPr>
          <w:b/>
        </w:rPr>
        <w:t>Available abstract (not full text):</w:t>
      </w:r>
      <w:r>
        <w:t xml:space="preserve"> Abstract Shared socioeconomic pathways (SSPs), developed at global scale, comprise narrative descriptions and quantifications of future world developments that are intended for climate change scenario analysis. However, their extension to national and regional scales can be challenging. Here, we present SSP narratives co-developed with stakeholders for the agriculture and food sector in Finland. These are derived from intensive discussions at a workshop attended by approximately 39 participants offering a range of sectoral perspectives. Using general background descriptions of the SSPs for Europe, facilitated discussions were held in parallel for each of four SSPs reflecting very different contexts for the development of the sector up to 2050 and beyond. Discussions focused on five themes from the perspectives of consumers, producers and policy-makers, included a joint final session and allowed for post-workshop feedback. Results reflect careful sector-based, national-level interpretations of the global SSPs from which we have constructed consensus narratives. Our results also show important critical remarks and minority viewpoints. Interesting features of the Finnish narratives compared to the global SSP narratives include greater emphasis on environmental quality; significant land abandonment in SSPs with reduced livestock production and increased plant-based diets; continued</w:t>
      </w:r>
    </w:p>
    <w:p>
      <w:pPr/>
      <w:r>
        <w:rPr>
          <w:b/>
        </w:rPr>
        <w:t>POSSIBLE 2021:</w:t>
      </w:r>
      <w:r>
        <w:t xml:space="preserve"> Narratives and the Policy Process : Applications of the Narrative Policy Framework — https://doi.org/10.15788/npf</w:t>
      </w:r>
    </w:p>
    <w:p>
      <w:pPr/>
      <w:r>
        <w:rPr>
          <w:b/>
        </w:rPr>
        <w:t>Shared claim-specific concepts:</w:t>
      </w:r>
      <w:r>
        <w:t xml:space="preserve"> four, narratives, narrative; EU scope not established. This is a provisional connection, not an outcome finding.</w:t>
      </w:r>
    </w:p>
    <w:p>
      <w:pPr>
        <w:pStyle w:val="SourceNote"/>
      </w:pPr>
      <w:r>
        <w:rPr>
          <w:b/>
        </w:rPr>
        <w:t>Available abstract (not full text):</w:t>
      </w:r>
      <w:r>
        <w:t xml:space="preserve"> A long history of literature describes how stories are central to how humans understand and communicate about the world around them. The NPF applies these discoveries to the policy process, whereby narratives are meaning-making tools used to capture attention and influence policy outcomes. Conceived at the Portneuf School of Narrative in the early part of the century and formally named in 2010, the Narrative Policy Framework’s (NPF) initial purpose was to scientifically understand the relationship between narratives and the policy process. Since its seminal naming, the NPF’s charter has expanded to non-scientific approaches (Gray &amp; Jones, 2015; Jones and Radaelli, 2015), to science and policy communication, as well as proclaiming normative commitments to both science and democracy. Recently, guideline publications have also been produced that provide detailed instructions about how to conduct NPF research. Along the way several summary pieces have chronicled the NPF’s development. Two of these NPF assessments were part of larger collections of NPF studies, including the 2014 edited volume The Science of Stories and a special NPF symposium issue featured in the Policy Studies Journal. On par with NPF collections emerging every four years, here we offer a third collection of NPF studies that represent some of the best NPF studies to date.</w:t>
      </w:r>
    </w:p>
    <w:p>
      <w:pPr>
        <w:pStyle w:val="Heading2"/>
      </w:pPr>
      <w:r>
        <w:t>909.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2023:</w:t>
      </w:r>
      <w:r>
        <w:t xml:space="preserve"> Niche and Range Shifts of the Fall Webworm (Hyphantria cunea Dury) in Europe Imply Its Huge Invasion Potential in the Future — https://doi.org/10.3390/insects14040316</w:t>
      </w:r>
    </w:p>
    <w:p>
      <w:pPr/>
      <w:r>
        <w:rPr>
          <w:b/>
        </w:rPr>
        <w:t>Shared claim-specific concepts:</w:t>
      </w:r>
      <w:r>
        <w:t xml:space="preserve"> here, range, result; EU scope visible. This is a provisional connection, not an outcome finding.</w:t>
      </w:r>
    </w:p>
    <w:p>
      <w:pPr>
        <w:pStyle w:val="SourceNote"/>
      </w:pPr>
      <w:r>
        <w:rPr>
          <w:b/>
        </w:rPr>
        <w:t>Available abstract (not full text):</w:t>
      </w:r>
      <w:r>
        <w:t xml:space="preserve"> Dury) has a strong impact on agricultural systems in Europe. However, its invasive potential, which was inherited from its native niche in North America, remains unknown. Here, we investigated the climatic niche and range shifts of the fall webworm in Europe and compared them with those in native North America, then assessed the worms' invasive potential in Europe. Compared with the fall webworm in Europe, those in North America survived in more diverse climatic conditions, which was closely associated with their broader niche and larger potential ranges in Europe. If the fall webworm in Europe could exploit the native niche inherited from those in North America to adapt to climatic conditions in Europe, their potential ranges in Europe could be 5.5-fold those based on the niche as introduced in Europe. The potentially unfilled ranges of the fall webworm in Europe were mainly detected in vast regions of Europe, excluding Norway, Sweden, Finland, North Russia, Hungary, Croatia, Romania, and Ukraine, suggesting that, without strict control, these vast regions might be preferably invaded by the fall webworm in Europe in the future. Therefore, strict control against its invasion is needed. Given that small niche shifts in this invasive insect could result in large range shifts, the niche shifts represent a more sensitive indicator of invasion risk than range shifts.</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here, range, shift, over, climate, realized;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2023:</w:t>
      </w:r>
      <w:r>
        <w:t xml:space="preserve"> Predicting the impacts of climate change on the distribution of European syngnathids over the next century — https://doi.org/10.3389/fmars.2023.1138657</w:t>
      </w:r>
    </w:p>
    <w:p>
      <w:pPr/>
      <w:r>
        <w:rPr>
          <w:b/>
        </w:rPr>
        <w:t>Shared claim-specific concepts:</w:t>
      </w:r>
      <w:r>
        <w:t xml:space="preserve"> here, range, over, century, according, climate; EU scope visible. This is a provisional connection, not an outcome finding.</w:t>
      </w:r>
    </w:p>
    <w:p>
      <w:pPr>
        <w:pStyle w:val="SourceNote"/>
      </w:pPr>
      <w:r>
        <w:rPr>
          <w:b/>
        </w:rPr>
        <w:t>Available abstract (not full text):</w:t>
      </w:r>
      <w:r>
        <w:t xml:space="preserve"> At the latitudinal interval that encompasses Europe, due to the gradual seawater warming imposed by climate change, there is now continuing evidence for a widespread pattern of poleward range shifts, often translated by expansions in the northern leading edges of distribution and contraction episodes at the southern boundaries. As the distribution of biodiversity is far from static, it seems imperative that we can predict changes in species’ geographic ranges to potentially circumvent severe biodiversity losses in the near future. Here, we focus on syngnathids, flagship species and umbrella taxa for coastal marine ecosystems, and attempt to identify areas of environmental suitability in Europe over the next century, according to distinct greenhouse gas concentration trajectories. Our results seamlessly match the general and region-specific impacts of climate change projections for European seas. Especially within the Atlantic Coast, species are expected to continue poleward range shifts, with the hotspot of syngnathid diversity remaining around the Celtic-Biscay Shelf, albeit with slightly distinct species composition from that of present day. The most dramatic changes are expected within semi-enclosed areas such as the Baltic, the Mediterranean and the Black Sea, where present-day endemic species diversity is likely to plunge, especially under a ‘business-as-usual’ scenario. W</w:t>
      </w:r>
    </w:p>
    <w:p>
      <w:pPr/>
      <w:r>
        <w:rPr>
          <w:b/>
        </w:rPr>
        <w:t>POSSIBLE 2023:</w:t>
      </w:r>
      <w:r>
        <w:t xml:space="preserve"> Extreme heat and drought typical of an end-of-century climate could occur over Europe soon and repeatedly — https://doi.org/10.1038/s43247-023-01075-y</w:t>
      </w:r>
    </w:p>
    <w:p>
      <w:pPr/>
      <w:r>
        <w:rPr>
          <w:b/>
        </w:rPr>
        <w:t>Shared claim-specific concepts:</w:t>
      </w:r>
      <w:r>
        <w:t xml:space="preserve"> over, two, climate; EU scope visible. This is a provisional connection, not an outcome finding.</w:t>
      </w:r>
    </w:p>
    <w:p>
      <w:pPr>
        <w:pStyle w:val="SourceNote"/>
      </w:pPr>
      <w:r>
        <w:rPr>
          <w:b/>
        </w:rPr>
        <w:t>Available abstract (not full text):</w:t>
      </w:r>
      <w:r>
        <w:t xml:space="preserve"> Abstract Extreme heat and drought levels typical of an end-of-century climate could occur swiftly, and repeatedly. Despite the European climate being potentially prone to multi-year successive extremes due to the influence of the North Atlantic variability, it remains unclear how the likelihood of such successive extremes changes under warming, how early they could reach end-of-century levels, and how this is affected by internal climate variability. Using the MPI Grand Ensemble, we find that even under moderate warming, end-of-century heat and drought levels virtually impossible 20 years ago reach 1-in-10 likelihoods as early as the 2030s. By 2050-2075, two successive years of single or compound end-of-century extremes, unprecedented to date, exceed 1-in-10 likelihoods; while Europe-wide 5-year megadroughts become plausible. Whole decades of end-of-century heat stress could start by 2040, by 2020 for rain-deficit drought, and end-of-century decades starting as early as 2030 become twice as likely under a warm North Atlantic state.</w:t>
      </w:r>
    </w:p>
    <w:p>
      <w:pPr/>
      <w:r>
        <w:rPr>
          <w:b/>
        </w:rPr>
        <w:t>POSSIBLE 2023:</w:t>
      </w:r>
      <w:r>
        <w:t xml:space="preserve"> Rapid range shifts in African Anopheles mosquitoes over the last century — https://doi.org/10.1098/rsbl.2022.0365</w:t>
      </w:r>
    </w:p>
    <w:p>
      <w:pPr/>
      <w:r>
        <w:rPr>
          <w:b/>
        </w:rPr>
        <w:t>Shared claim-specific concepts:</w:t>
      </w:r>
      <w:r>
        <w:t xml:space="preserve"> here, range, over, century, climate, one; EU scope not established. This is a provisional connection, not an outcome finding.</w:t>
      </w:r>
    </w:p>
    <w:p>
      <w:pPr>
        <w:pStyle w:val="SourceNote"/>
      </w:pPr>
      <w:r>
        <w:rPr>
          <w:b/>
        </w:rPr>
        <w:t>Available abstract (not full text):</w:t>
      </w:r>
      <w:r>
        <w:t xml:space="preserve"> Abstract Facing a warming climate, many tropical species-including the arthropod vectors of several infectious diseases-will be displaced to higher latitudes and elevations. These shifts are frequently forecasted for the future, but rarely documented in the present day. Here, we use one of the most comprehensive datasets ever compiled by medical entomologists to track the observed range limits of African malaria mosquito vectors ( Anopheles spp.) from 1898 to 2016. Using a simple regression approach, we estimate that these species’ ranges gained an average of 6.5 meters of elevation per year, and the southern limits of their ranges moved polewards 4.7 kilometers per year. These shifts are consistent with the local velocity of climate change, and might help explain the incursion of malaria transmission into new areas over the past few decades. Confirming that climate change underlies these shifts, and applying similar methods to other disease vectors, are important directions for future research.</w:t>
      </w:r>
    </w:p>
    <w:p>
      <w:pPr/>
      <w:r>
        <w:rPr>
          <w:b/>
        </w:rPr>
        <w:t>POSSIBLE 2023:</w:t>
      </w:r>
      <w:r>
        <w:t xml:space="preserve"> The Long Sixth Century in Eastern Europe — https://doi.org/10.5406/23300841.68.3.19</w:t>
      </w:r>
    </w:p>
    <w:p>
      <w:pPr/>
      <w:r>
        <w:rPr>
          <w:b/>
        </w:rPr>
        <w:t>Shared claim-specific concepts:</w:t>
      </w:r>
      <w:r>
        <w:t xml:space="preserve"> here, century, migration, two, one, use; EU scope visible. This is a provisional connection, not an outcome finding.</w:t>
      </w:r>
    </w:p>
    <w:p>
      <w:pPr>
        <w:pStyle w:val="SourceNote"/>
      </w:pPr>
      <w:r>
        <w:rPr>
          <w:b/>
        </w:rPr>
        <w:t>Available abstract (not full text):</w:t>
      </w:r>
      <w:r>
        <w:t xml:space="preserve"> The transformative nature of the sixth century has always seemed obvious to historians of the medieval West, who see the period as the long transition from the political structures of the late Roman empire to the kingdoms of the early Middle Ages. In his new book, archaeologist-historian Florin Curta for the first time provides an overarching and compelling argument for the vital importance of the transformation which “Eastern Europe”—as Curta points out, two-thirds of the European continent by area (p. 3)—underwent in the same time period. It is no small accomplishment—no written sources exist for the vast majority of the territory discussed in the period, and archaeological resources are often fragmentary, inconclusive, and subject to nationalist controversy. In providing a synthesis with a geographical scope ranging from the Balkans to the Russian taiga, the author has had to wrestle with a bewildering variety of source-types, languages, and historiographical traditions. But Curta proceeds in exemplary fashion, guiding the reader at a rapid clip from the edges of the eastern Roman empire north and east, regions largely ignored by traditional medievalists and ancient historians alike.This neglect is the main villain of Curta's monograph. The author trains his ire especially on Chris Wickham's magisterial Framing the Early Middle Ages, a synthesis of the early European economy</w:t>
      </w:r>
    </w:p>
    <w:p>
      <w:pPr/>
      <w:r>
        <w:rPr>
          <w:b/>
        </w:rPr>
        <w:t>POSSIBLE 2022:</w:t>
      </w:r>
      <w:r>
        <w:t xml:space="preserve"> Climate Change Is Driving Shifts in Dragonfly Species Richness across Europe via Differential Dynamics of Taxonomic and Biogeographic Groups — https://doi.org/10.3390/d14121066</w:t>
      </w:r>
    </w:p>
    <w:p>
      <w:pPr/>
      <w:r>
        <w:rPr>
          <w:b/>
        </w:rPr>
        <w:t>Shared claim-specific concepts:</w:t>
      </w:r>
      <w:r>
        <w:t xml:space="preserve"> here, range, dynamics, climate, result, distribution; EU scope visible. This is a provisional connection, not an outcome finding.</w:t>
      </w:r>
    </w:p>
    <w:p>
      <w:pPr>
        <w:pStyle w:val="SourceNote"/>
      </w:pPr>
      <w:r>
        <w:rPr>
          <w:b/>
        </w:rPr>
        <w:t>Available abstract (not full text):</w:t>
      </w:r>
      <w:r>
        <w:t xml:space="preserve"> Understanding how changes in species richness pattern correlate with range changes in different taxonomic and biogeographic groups is important for conservation because it allows for generalizations about which species are at greatest risk. Here, we assessed whether changes in species richness patterns result from generalized range shifts across taxonomic and biogeographic groups or from changes in specific subsets of species. Using data from 1988 and from 2010, we studied changes in distributional range of European dragonfly species, using outline distribution maps for all dragonflies combined and separately for taxonomic suborders (Zygoptera and Anisoptera) and biogeographic groups (Boreo-alpine, Eurasian, Mediterranean, and Tropical). The results demonstrated differing range dynamics for Zygoptera and Anisoptera, with Anisoptera driving local turnover in species richness to a greater extent than Zygoptera. The distributional range of Tropical and Mediterranean species had expanded to a much greater extent than that of Eurasian and Boreo-alpine species. Large-scale changes in species richness arose from several divergent, group-specific processes. Overall, local diversity especially declined in parts of southern and south-eastern Europe, reflecting local losses in multiple species rather than major range contractions among Mediterranean or Eurasian species. In fact, among the</w:t>
      </w:r>
    </w:p>
    <w:p>
      <w:pPr/>
      <w:r>
        <w:rPr>
          <w:b/>
        </w:rPr>
        <w:t>POSSIBLE 2022:</w:t>
      </w:r>
      <w:r>
        <w:t xml:space="preserve"> Ticks on the move—climate change-induced range shifts of three tick species in Europe: current and future habitat suitability for Ixodes ricinus in comparison with Dermacentor reticulatus and Dermacentor marginatus — https://doi.org/10.1007/s00436-022-07556-x</w:t>
      </w:r>
    </w:p>
    <w:p>
      <w:pPr/>
      <w:r>
        <w:rPr>
          <w:b/>
        </w:rPr>
        <w:t>Shared claim-specific concepts:</w:t>
      </w:r>
      <w:r>
        <w:t xml:space="preserve"> range, climate, result, distribution; EU scope visible. This is a provisional connection, not an outcome finding.</w:t>
      </w:r>
    </w:p>
    <w:p>
      <w:pPr>
        <w:pStyle w:val="SourceNote"/>
      </w:pPr>
      <w:r>
        <w:rPr>
          <w:b/>
        </w:rPr>
        <w:t>Available abstract (not full text):</w:t>
      </w:r>
      <w:r>
        <w:t xml:space="preserve"> Tick-borne diseases are a major health problem worldwide and could become even more important in Europe in the future. Due to changing climatic conditions, ticks are assumed to be able to expand their ranges in Europe towards higher latitudes and altitudes, which could result in an increased occurrence of tick-borne diseases.There is a great interest to identify potential (new) areas of distribution of vector species in order to assess the future infection risk with vector-borne diseases, improve surveillance, to develop more targeted monitoring program, and, if required, control measures.Based on an ecological niche modelling approach we project the climatic suitability for the three tick species Ixodes ricinus, Dermacentor reticulatus and Dermacentor marginatus under current and future climatic conditions in Europe. These common tick species also feed on humans and livestock and are vector competent for a number of pathogens.For niche modelling, we used a comprehensive occurrence data set based on several databases and publications and six bioclimatic variables in a maximum entropy approach. For projections, we used the most recent IPCC data on current and future climatic conditions including four different scenarios of socio-economic developments.Our models clearly support the assumption that the three tick species will benefit from climate change with projected range expans</w:t>
      </w:r>
    </w:p>
    <w:p>
      <w:pPr>
        <w:pStyle w:val="Heading2"/>
      </w:pPr>
      <w:r>
        <w:t>910.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r>
        <w:rPr>
          <w:b/>
        </w:rPr>
        <w:t>POSSIBLE 2022:</w:t>
      </w:r>
      <w:r>
        <w:t xml:space="preserve"> Mass Migration and Technological Change — https://doi.org/10.1093/jeea/jvac017</w:t>
      </w:r>
    </w:p>
    <w:p>
      <w:pPr/>
      <w:r>
        <w:rPr>
          <w:b/>
        </w:rPr>
        <w:t>Shared claim-specific concepts:</w:t>
      </w:r>
      <w:r>
        <w:t xml:space="preserve"> mass, migration, related; EU scope visible. This is a provisional connection, not an outcome finding.</w:t>
      </w:r>
    </w:p>
    <w:p>
      <w:pPr>
        <w:pStyle w:val="SourceNote"/>
      </w:pPr>
      <w:r>
        <w:rPr>
          <w:b/>
        </w:rPr>
        <w:t>Available abstract (not full text):</w:t>
      </w:r>
      <w:r>
        <w:t xml:space="preserve"> Abstract This paper studies the effect of emigration on technological change in sending locations after one of the largest migration events in human history, the mass migration from Europe to the United States in the 19th century. To establish causality, we adopt an instrumental variable strategy that combines local growing-season frost shocks with proximity to emigration ports. Using data on patents, we find that emigration led to an increase in innovative activity in sending localities. Using data on capital and labor inputs in agriculture and industry, we find evidence of an increased capital intensity related to new technologies in both sectors. We argue that these results are consistent with theories of induced (labor-saving) innovation due to high labor costs following emigration.</w:t>
      </w:r>
    </w:p>
    <w:p>
      <w:pPr/>
      <w:r>
        <w:rPr>
          <w:b/>
        </w:rPr>
        <w:t>POSSIBLE 2022:</w:t>
      </w:r>
      <w:r>
        <w:t xml:space="preserve"> The impact of mass migration of Syrians on the Turkish labor market — https://doi.org/10.1016/j.labeco.2022.102183</w:t>
      </w:r>
    </w:p>
    <w:p>
      <w:pPr/>
      <w:r>
        <w:rPr>
          <w:b/>
        </w:rPr>
        <w:t>Shared claim-specific concepts:</w:t>
      </w:r>
      <w:r>
        <w:t xml:space="preserve"> mass, migration;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Educational Problems of Mass Migration — https://doi.org/10.4324/9781003172246-22</w:t>
      </w:r>
    </w:p>
    <w:p>
      <w:pPr/>
      <w:r>
        <w:rPr>
          <w:b/>
        </w:rPr>
        <w:t>Shared claim-specific concepts:</w:t>
      </w:r>
      <w:r>
        <w:t xml:space="preserve"> third, mass, migration, world; EU scope not established. This is a provisional connection, not an outcome finding.</w:t>
      </w:r>
    </w:p>
    <w:p>
      <w:pPr>
        <w:pStyle w:val="SourceNote"/>
      </w:pPr>
      <w:r>
        <w:rPr>
          <w:b/>
        </w:rPr>
        <w:t>Available abstract (not full text):</w:t>
      </w:r>
      <w:r>
        <w:t xml:space="preserve"> This chapter argues that philosophy of education should avoid the sedentary bias, that is, the assumption that those who are educated will stay and live in the country and society in which they were educated. It adopts a pluralist and non-ideal approach to address three challenges. The first challenge is the relevance of citizenship education for children and teenagers who, once they reach adulthood, will not get citizenship in their country of residence. The second challenge is equality of opportunity for students whose families do not possess the linguistic and cultural capital needed to strive in the countries they arrive in. The third challenge is the problem of fair distribution of educational costs and benefits, in a world in which people do not always work and pay taxes in the countries that paid for their education.</w:t>
      </w:r>
    </w:p>
    <w:p>
      <w:pPr/>
      <w:r>
        <w:rPr>
          <w:b/>
        </w:rPr>
        <w:t>POSSIBLE 2022:</w:t>
      </w:r>
      <w:r>
        <w:t xml:space="preserve"> Struggles With Mass-Migrations, National- and State-Interests in the Late Habsburg Empire — https://doi.org/10.4324/9781003246619-13</w:t>
      </w:r>
    </w:p>
    <w:p>
      <w:pPr/>
      <w:r>
        <w:rPr>
          <w:b/>
        </w:rPr>
        <w:t>Shared claim-specific concepts:</w:t>
      </w:r>
      <w:r>
        <w:t xml:space="preserve"> third, mass, migration, different, policies; EU scope visible. This is a provisional connection, not an outcome finding.</w:t>
      </w:r>
    </w:p>
    <w:p>
      <w:pPr>
        <w:pStyle w:val="SourceNote"/>
      </w:pPr>
      <w:r>
        <w:rPr>
          <w:b/>
        </w:rPr>
        <w:t>Available abstract (not full text):</w:t>
      </w:r>
      <w:r>
        <w:t xml:space="preserve"> The 18th- and 19th-century spatial political mobilization of masses not only was a concern of self-defense of the affected communities themselves but appeared also as a tool for different “third party” actors to solve different security issues. The southern and eastern parts of the Habsburg Empire, liberated from Ottoman Turkish rule, offered an opportunity for the centralized administration to utilize mobility, namely mass migration for economic revival and other security-related goals and interests against the Hungarian nobility estate, thus planting the seeds of later security struggles. The Austro-Hungarian era’s nation-building policies used methods of mass mobilization as well. This chapter will cover three phenomena that are all implementations of the mass mobilization processes in the late Habsburg Empire. The church-led “great Serb migration” was not only a result of basic self-defense in the face of a possible Ottoman retaliation after the Great Turkish War but also a core interest of the war-torn Habsburg Monarchy. The already militarized Serb masses served a farseeing imperial political goal by gathering more loyal elements facing the Turkish border and encircling an inner threat: The Hungarian noble estate. However, this mobility of masses, with privileges, later became a wider security, by viewing the “descendants of immigrants” and their undefined status as a thr</w:t>
      </w:r>
    </w:p>
    <w:p>
      <w:pPr/>
      <w:r>
        <w:rPr>
          <w:b/>
        </w:rPr>
        <w:t>POSSIBLE 2021:</w:t>
      </w:r>
      <w:r>
        <w:t xml:space="preserve"> Migration and invention in the Age of Mass Migration — https://doi.org/10.1093/jeg/lbab032</w:t>
      </w:r>
    </w:p>
    <w:p>
      <w:pPr/>
      <w:r>
        <w:rPr>
          <w:b/>
        </w:rPr>
        <w:t>Shared claim-specific concepts:</w:t>
      </w:r>
      <w:r>
        <w:t xml:space="preserve"> mass, migration, between, regions; EU scope not established. This is a provisional connection, not an outcome finding.</w:t>
      </w:r>
    </w:p>
    <w:p>
      <w:pPr>
        <w:pStyle w:val="SourceNote"/>
      </w:pPr>
      <w:r>
        <w:rPr>
          <w:b/>
        </w:rPr>
        <w:t>Available abstract (not full text):</w:t>
      </w:r>
      <w:r>
        <w:t xml:space="preserve"> Abstract More than 30 million people migrated to the USA between late-ninetieth and early-twentieth century, and thousands became inventors. Drawing on a novel dataset of immigrant inventors in the USA, we assess the city-level impact of immigrants’ patenting and their contribution to the technological specialization of the receiving US regions between 1870 and 1940. Our results show that native inventors benefited from the inventive activity of immigrants. In addition, we show that the knowledge transferred by immigrants gave rise to new and previously not exiting technological fields in the US regions where immigrants moved to.</w:t>
      </w:r>
    </w:p>
    <w:p>
      <w:pPr/>
      <w:r>
        <w:rPr>
          <w:b/>
        </w:rPr>
        <w:t>POSSIBLE 2021:</w:t>
      </w:r>
      <w:r>
        <w:t xml:space="preserve"> Migration Networks and Location Decisions: Evidence from US Mass Migration — https://doi.org/10.1257/app.20180294</w:t>
      </w:r>
    </w:p>
    <w:p>
      <w:pPr/>
      <w:r>
        <w:rPr>
          <w:b/>
        </w:rPr>
        <w:t>Shared claim-specific concepts:</w:t>
      </w:r>
      <w:r>
        <w:t xml:space="preserve"> mass, migration, estimate; EU scope not established. This is a provisional connection, not an outcome finding.</w:t>
      </w:r>
    </w:p>
    <w:p>
      <w:pPr>
        <w:pStyle w:val="SourceNote"/>
      </w:pPr>
      <w:r>
        <w:rPr>
          <w:b/>
        </w:rPr>
        <w:t>Available abstract (not full text):</w:t>
      </w:r>
      <w:r>
        <w:t xml:space="preserve"> This paper studies how birth town migration networks affected long-run location decisions during historical US migration episodes. We develop a new method to estimate the strength of migration networks for each receiving and sending location. Our estimates imply that when one randomly chosen African American moved from a Southern birth town to a destination county, then 1.9 additional Black migrants made the same move on average. For White migrants from the Great Plains, the average is only 0.4. Networks were particularly important in connecting Black migrants with attractive employment opportunities and played a larger role in less costly moves. (JEL J15, J61, N32, N92, R23, Z13)</w:t>
      </w:r>
    </w:p>
    <w:p>
      <w:pPr/>
      <w:r>
        <w:rPr>
          <w:b/>
        </w:rPr>
        <w:t>POSSIBLE 2021:</w:t>
      </w:r>
      <w:r>
        <w:t xml:space="preserve"> Is There 'Mass Migration' in Canada? — https://doi.org/10.32920/ryerson.14641026.v1</w:t>
      </w:r>
    </w:p>
    <w:p>
      <w:pPr/>
      <w:r>
        <w:rPr>
          <w:b/>
        </w:rPr>
        <w:t>Shared claim-specific concepts:</w:t>
      </w:r>
      <w:r>
        <w:t xml:space="preserve"> mass, migration, allows, world; EU scope not established. This is a provisional connection, not an outcome finding.</w:t>
      </w:r>
    </w:p>
    <w:p>
      <w:pPr>
        <w:pStyle w:val="SourceNote"/>
      </w:pPr>
      <w:r>
        <w:rPr>
          <w:b/>
        </w:rPr>
        <w:t>Available abstract (not full text):</w:t>
      </w:r>
      <w:r>
        <w:t xml:space="preserve"> Immigration in Canada has been a topic of great debate in recent years. Canadian public opinion polls have raised problematic issues around immigration and the increasing diversity of the Canadian population. Some feel that Canada accepts far too many immigrants from diverse backgrounds, too many refugees from crisis-ridden parts of the world and allows large numbers of asylum seekers from the United States.</w:t>
      </w:r>
    </w:p>
    <w:p>
      <w:pPr/>
      <w:r>
        <w:rPr>
          <w:b/>
        </w:rPr>
        <w:t>POSSIBLE 2021:</w:t>
      </w:r>
      <w:r>
        <w:t xml:space="preserve"> Mass Migration as a Hybrid Threat? – A Legal Perspective — https://doi.org/10.15804/ppsy202122</w:t>
      </w:r>
    </w:p>
    <w:p>
      <w:pPr/>
      <w:r>
        <w:rPr>
          <w:b/>
        </w:rPr>
        <w:t>Shared claim-specific concepts:</w:t>
      </w:r>
      <w:r>
        <w:t xml:space="preserve"> mass, migration, between, policies; EU scope visible. This is a provisional connection, not an outcome finding.</w:t>
      </w:r>
    </w:p>
    <w:p>
      <w:pPr>
        <w:pStyle w:val="SourceNote"/>
      </w:pPr>
      <w:r>
        <w:rPr>
          <w:b/>
        </w:rPr>
        <w:t>Available abstract (not full text):</w:t>
      </w:r>
      <w:r>
        <w:t xml:space="preserve"> Migration as a weapon sounds like a policy statement by resurgent nationalistic parties (and governments) in the West. However, politics and the human cost aside, what if an adversary (both state and non-state actor) does exploit the current global crisis of mass migration due to globalization, war, and political unrest? This article will look at the ongoing mass migration to the European Union within the wider security context of the so-called hybrid threats and/or ‘grey zone’ tactics. It looks at the various legal categories of migration as how the law can be weaponized as so-called ‘lawfare’ to undermine the existing legal frameworks distinguishing between legal and illegal migration. The authors recognize the possibility that this article will be used as an argument by the political actors involved for their nationalistic and anti-migration politics and policies. Yet, we believe that the potential of abusing the current vacuum for political gains along ideological party lines makes it necessary to provide a wider legal-security focused perspective on mass migration.</w:t>
      </w:r>
    </w:p>
    <w:p>
      <w:pPr>
        <w:pStyle w:val="Heading2"/>
      </w:pPr>
      <w:r>
        <w:t>911.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r>
        <w:rPr>
          <w:b/>
        </w:rPr>
        <w:t>POSSIBLE 2021:</w:t>
      </w:r>
      <w:r>
        <w:t xml:space="preserve"> Concrete Is as Concrete Doesn’t — https://doi.org/10.1215/9781478021971-001</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Introduction: Concrete Is as Concrete Doesn'tWhen I think of my body and ask what it does to earn that name, two things stand out.It moves.It feels.In fact, it does both at the same time.It moves as it feels, and it feels itself moving.Can we think a body without this: an intrinsic connection between movement and sensation whereby each immediately summons the other?If you start from an intrinsic connection between movement and sensation, the slightest, most literal displacement convokes a qualitative difference, because as directly as it conducts itself it beckons a feeling, and feelings have a way of folding into each other, resonating together, interfering with each other, mutually intensifying, all in unquantifiable ways apt to unfold again in action, often unpredictably.Qualitative difference: immediately the issue is change.Felt and unforeseen.The proj ect of this book is to explore the implications for cultural theory of this simple conceptual displacement: body-(movement/ sensation)-change.Cultural theory of the past two de cades has tended to bracket the middle terms and their unmediated connection.It can be argued that in doing so it has significantly missed the two outside terms, even though they have been of consistent concern-perhaps the central concerns in the humanities.Attention to the literality of movement was deflected by fears of falling into a "naive realism</w:t>
      </w:r>
    </w:p>
    <w:p>
      <w:pPr/>
      <w:r>
        <w:rPr>
          <w:b/>
        </w:rPr>
        <w:t>POSSIBLE 2020:</w:t>
      </w:r>
      <w:r>
        <w:t xml:space="preserve"> Between Imagined Communities and Communities of Practice - Participation, Territory and the Making of Heritage — https://openalex.org/W2605418063</w:t>
      </w:r>
    </w:p>
    <w:p>
      <w:pPr/>
      <w:r>
        <w:rPr>
          <w:b/>
        </w:rPr>
        <w:t>Shared claim-specific concepts:</w:t>
      </w:r>
      <w:r>
        <w:t xml:space="preserve"> concrete, terms, territory; EU scope visible. This is a provisional connection, not an outcome finding.</w:t>
      </w:r>
    </w:p>
    <w:p>
      <w:pPr>
        <w:pStyle w:val="SourceNote"/>
      </w:pPr>
      <w:r>
        <w:rPr>
          <w:b/>
        </w:rPr>
        <w:t>Available abstract (not full text):</w:t>
      </w:r>
      <w:r>
        <w:t xml:space="preserve"> Community and participation have become central concepts in the nomination processes surrounding heritage, intersecting time and again with questions of territory. In this volume, anthropologists and legal scholars from France, Germany, Italy and the USA take up questions arising from these intertwined concerns from diverse perspectives: How and by whom were these concepts interpreted and re-interpreted, and what effects did they bring forth in their implementation? What impact was wielded by these terms, and what kinds of discursive formations did they bring forth? How do actors from local to national levels interpret these new components of the heritage regime, and how do actors within heritage-granting national and international bodies work it into their cultural and political agency? What is the role of experts and expertise, and when is scholarly knowledge expertise and when is it partisan? How do bureaucratic institutions translate the imperative of participation into concrete practices?Case studies from within and without the UNESCO matrix combine with essays probing larger concerns generated by the valuation and valorization of culture.</w:t>
      </w:r>
    </w:p>
    <w:p>
      <w:pPr/>
      <w:r>
        <w:rPr>
          <w:b/>
        </w:rPr>
        <w:t>POSSIBLE 2020:</w:t>
      </w:r>
      <w:r>
        <w:t xml:space="preserve"> Learning in, with, and through the Territory: Territory-Based Learning as a Catalyst for Urban Sustainability — https://doi.org/10.3390/su12073000</w:t>
      </w:r>
    </w:p>
    <w:p>
      <w:pPr/>
      <w:r>
        <w:rPr>
          <w:b/>
        </w:rPr>
        <w:t>Shared claim-specific concepts:</w:t>
      </w:r>
      <w:r>
        <w:t xml:space="preserve"> concrete, terms, territory; EU scope not established. This is a provisional connection, not an outcome finding.</w:t>
      </w:r>
    </w:p>
    <w:p>
      <w:pPr>
        <w:pStyle w:val="SourceNote"/>
      </w:pPr>
      <w:r>
        <w:rPr>
          <w:b/>
        </w:rPr>
        <w:t>Available abstract (not full text):</w:t>
      </w:r>
      <w:r>
        <w:t xml:space="preserve"> Territorial problems such as the socio-ecological degradation of urban rivers represent a great challenge to achieving sustainability in cities. This issue demands collaborative efforts and the crossing of boundaries determined by actors that act from diverse spheres of knowledge and systems of practice. Based on an integrative territory notion and the boundary approach, the goal of this paper is to comprehend the boundary crossings that take place in multi-actor initiatives towards the resolution of this problem and what type of territorial transformation is produced as an outcome. Our analysis is built on participatory research on the Taquara Stream case, a degraded watercourse in a socio-ecologically vulnerable area, in southern Brazil. Our data analysis applied a visual chronological narrative and an interdisciplinary theoretical framework of analysis that combined concepts related to the territory (geography) and the boundary approach (education). We verified that local territorial issues functioned as boundary objects, fostering and facilitating dialogical interaction among involved actors, knowledge co-production, and collaborative practical actions that led to changes in the territory in terms of practices, comprehensions, and physical concrete transformations. We framed this study as one of territory-based learning meant to advance the understanding of territorial inte</w:t>
      </w:r>
    </w:p>
    <w:p>
      <w:pPr/>
      <w:r>
        <w:rPr>
          <w:b/>
        </w:rPr>
        <w:t>POSSIBLE 2019:</w:t>
      </w:r>
      <w:r>
        <w:t xml:space="preserve"> Prediction of Compressive Strength of Concrete: Critical Comparison of Performance of a Hybrid Machine Learning Model with Standalone Models — https://doi.org/10.1061/(asce)mt.1943-5533.0002902</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The use of machine learning (ML) techniques to model quantitative composition–property relationships in concrete has received substantial attention in the past few years. This paper presents a novel hybrid ML model (RF-FFA) for prediction of compressive strength of concrete by combining the random forests (RF) model with the firefly algorithm (FFA). The firefly algorithm is utilized to determine optimum values of two hyper-parameters (i.e., number of trees and number of leaves per tree in the forest) of the RF model in relation to the nature and volume of the dataset. The RF-FFA model was trained to develop correlations between input variables and output of two different categories of datasets; such correlations were subsequently leveraged by the model to make predictions in previously untrained data domains. The first category included two separate datasets featuring highly nonlinear and periodic relationship between input variables and output, as given by trigonometric functions. The second category included two real-world datasets, composed of mixture design variables of concretes as inputs and their age-dependent compressive strengths as outputs. The prediction performance of the hybrid RF-FFA model was benchmarked against commonly used standalone ML models—support vector machine (SVM), multilayer perceptron artificial neural network (MLP-ANN), M5Prime model tree algorithm </w:t>
      </w:r>
    </w:p>
    <w:p>
      <w:pPr/>
      <w:r>
        <w:rPr>
          <w:b/>
        </w:rPr>
        <w:t>POSSIBLE 2016:</w:t>
      </w:r>
      <w:r>
        <w:t xml:space="preserve"> Architecture-territory for the urban design, 1970-2016 — https://openalex.org/W2624028795</w:t>
      </w:r>
    </w:p>
    <w:p>
      <w:pPr/>
      <w:r>
        <w:rPr>
          <w:b/>
        </w:rPr>
        <w:t>Shared claim-specific concepts:</w:t>
      </w:r>
      <w:r>
        <w:t xml:space="preserve"> concrete, terms, productivity, territory, past, developed; EU scope not established. This is a provisional connection, not an outcome finding.</w:t>
      </w:r>
    </w:p>
    <w:p>
      <w:pPr>
        <w:pStyle w:val="SourceNote"/>
      </w:pPr>
      <w:r>
        <w:rPr>
          <w:b/>
        </w:rPr>
        <w:t>Available abstract (not full text):</w:t>
      </w:r>
      <w:r>
        <w:t xml:space="preserve"> The debate developed during the 70s of the twentieth century around the planning of the University of Cagliari in the territory of the wide area, matures in a cultural and national climate particularly rich in experiences, some of which are proposed by great Italian protagonists of architecture in the Italian peninsula. Significant in this context is the competition project won by Vittorio Gregotti - coordinator of the project team, made up of Emilio Battisti, Hiromichi Matsui, Pierluigi Nicolin, Franco Purini, Carlo Rusconi Clerici and Bruno Viganò - for the University of Calabria (1974), achieved starting from 1977. \nIn these same years the University of Cagliari is launching a design competition for the construction of a university and hospital center in the territory of the first urban belt of the capital of Sardinia (composed by some little cities: Elmas, Monserrato, Quartucciu, Selargius, Sestu, Pirri), where compact city, with some timid and limited residential projects in the first suburbs, gave way to the campaign, and to an economy even based on agriculture and wine production. The competition was won by Luisa Anversa Ferretti, architect learner of the “Roman school” who coordinated the group \nconsisting of Pierluigi Malesani, Giuseppina Marcialis, Giuseppe and Marcello Rebecchini, Giangiacomo d'Ardia, Dario Passi and Livio Quaroni. The proposal is very ambitious; </w:t>
      </w:r>
    </w:p>
    <w:p>
      <w:pPr>
        <w:pStyle w:val="Heading2"/>
      </w:pPr>
      <w:r>
        <w:t>912.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review, build, recent, reflection, key, needed;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r>
        <w:rPr>
          <w:b/>
        </w:rPr>
        <w:t>POSSIBLE 2022:</w:t>
      </w:r>
      <w:r>
        <w:t xml:space="preserve"> Visions of Europe in the Resistance — https://doi.org/10.3726/b19126</w:t>
      </w:r>
    </w:p>
    <w:p>
      <w:pPr/>
      <w:r>
        <w:rPr>
          <w:b/>
        </w:rPr>
        <w:t>Shared claim-specific concepts:</w:t>
      </w:r>
      <w:r>
        <w:t xml:space="preserve"> visions, there; EU scope visible. This is a provisional connection, not an outcome finding.</w:t>
      </w:r>
    </w:p>
    <w:p>
      <w:pPr>
        <w:pStyle w:val="SourceNote"/>
      </w:pPr>
      <w:r>
        <w:rPr>
          <w:b/>
        </w:rPr>
        <w:t>Available abstract (not full text):</w:t>
      </w:r>
      <w:r>
        <w:t xml:space="preserve"> The fight against Fascism and Nazism during the Second World War gave rise to a strong "desire for Europe": a desire for a united, peaceful, democratic Europe. In many countries, there was a flowering of movements, actions, newspapers and constitutional projects in which the vision of the "United States of Europe" was an essential element, enriching the Resistance with a new, profound and lasting political and historical dimension. By interpreting the changes that the Second World War generated, the Europeanists and federalist forerunners of the times mentioned in this volume were able to identify, ahead of their time, the basis for the construction of the new united Europe and, with it, a new peaceful and democratic international order.</w:t>
      </w:r>
    </w:p>
    <w:p>
      <w:pPr/>
      <w:r>
        <w:rPr>
          <w:b/>
        </w:rPr>
        <w:t>POSSIBLE 2020:</w:t>
      </w:r>
      <w:r>
        <w:t xml:space="preserve"> Review of the evidence for oceans and human health relationships in Europe: A systematic map — https://doi.org/10.1016/j.envint.2020.106275</w:t>
      </w:r>
    </w:p>
    <w:p>
      <w:pPr/>
      <w:r>
        <w:rPr>
          <w:b/>
        </w:rPr>
        <w:t>Shared claim-specific concepts:</w:t>
      </w:r>
      <w:r>
        <w:t xml:space="preserve"> review, build, recent, key, there; EU scope visible. This is a provisional connection, not an outcome finding.</w:t>
      </w:r>
    </w:p>
    <w:p>
      <w:pPr>
        <w:pStyle w:val="SourceNote"/>
      </w:pPr>
      <w:r>
        <w:rPr>
          <w:b/>
        </w:rPr>
        <w:t>Available abstract (not full text):</w:t>
      </w:r>
      <w:r>
        <w:t xml:space="preserve"> BACKGROUND: Globally, there is increasing scientific evidence of critical links between the oceans and human health, with research into issues such as pollution, harmful algal blooms and nutritional contributions. However, Oceans and Human Health (OHH) remains an emerging discipline. As such these links are poorly recognized in policy efforts such as the Sustainable Development Goals, with OHH not included in either marine (SDG14) or health (SDG3) goals. This is arguably short-sighted given recent development strategies such as the EU Blue Growth Agenda. OBJECTIVES: In this systematic map we aim to build on recent efforts to enhance OHH in Europe by setting a baseline of existing evidence, asking: What links have been researched between marine environments and the positive and negative impacts to human health and wellbeing? METHODS: We searched eight bibliographic databases and queried 57 organizations identified through stakeholder consultation. Results include primary research and systematic reviews which were screened double blind against pre-defined inclusion criteria as per a published protocol. Studies were limited to Europe, US, Australia, New Zealand and Canada. Data was extracted according to a stakeholder-defined code book. A narrative synthesis explores the current evidence for relationships between marine exposures and human health outcomes, trends in knowledge gaps</w:t>
      </w:r>
    </w:p>
    <w:p>
      <w:pPr/>
      <w:r>
        <w:rPr>
          <w:b/>
        </w:rPr>
        <w:t>POSSIBLE 2020:</w:t>
      </w:r>
      <w:r>
        <w:t xml:space="preserve"> A review of interactions between peripheral and foveal vision — https://doi.org/10.1167/jov.20.12.2</w:t>
      </w:r>
    </w:p>
    <w:p>
      <w:pPr/>
      <w:r>
        <w:rPr>
          <w:b/>
        </w:rPr>
        <w:t>Shared claim-specific concepts:</w:t>
      </w:r>
      <w:r>
        <w:t xml:space="preserve"> review, recent; EU scope not established. This is a provisional connection, not an outcome finding.</w:t>
      </w:r>
    </w:p>
    <w:p>
      <w:pPr>
        <w:pStyle w:val="SourceNote"/>
      </w:pPr>
      <w:r>
        <w:rPr>
          <w:b/>
        </w:rPr>
        <w:t>Available abstract (not full text):</w:t>
      </w:r>
      <w:r>
        <w:t xml:space="preserve"> Visual processing varies dramatically across the visual field. These differences start in the retina and continue all the way to the visual cortex. Despite these differences in processing, the perceptual experience of humans is remarkably stable and continuous across the visual field. Research in the last decade has shown that processing in peripheral and foveal vision is not independent, but is more directly connected than previously thought. We address three core questions on how peripheral and foveal vision interact, and review recent findings on potentially related phenomena that could provide answers to these questions. First, how is the processing of peripheral and foveal signals related during fixation? Peripheral signals seem to be processed in foveal retinotopic areas to facilitate peripheral object recognition, and foveal information seems to be extrapolated toward the periphery to generate a homogeneous representation of the environment. Second, how are peripheral and foveal signals re-calibrated? Transsaccadic changes in object features lead to a reduction in the discrepancy between peripheral and foveal appearance. Third, how is peripheral and foveal information stitched together across saccades? Peripheral and foveal signals are integrated across saccadic eye movements to average percepts and to reduce uncertainty. Together, these findings illustrate that peripher</w:t>
      </w:r>
    </w:p>
    <w:p>
      <w:pPr/>
      <w:r>
        <w:rPr>
          <w:b/>
        </w:rPr>
        <w:t>POSSIBLE 2020:</w:t>
      </w:r>
      <w:r>
        <w:t xml:space="preserve"> A critical review on computer vision and artificial intelligence in food industry — https://doi.org/10.1016/j.jafr.2020.100033</w:t>
      </w:r>
    </w:p>
    <w:p>
      <w:pPr/>
      <w:r>
        <w:rPr>
          <w:b/>
        </w:rPr>
        <w:t>Shared claim-specific concepts:</w:t>
      </w:r>
      <w:r>
        <w:t xml:space="preserve"> review, sustainability, key; EU scope not established. This is a provisional connection, not an outcome finding.</w:t>
      </w:r>
    </w:p>
    <w:p>
      <w:pPr>
        <w:pStyle w:val="SourceNote"/>
      </w:pPr>
      <w:r>
        <w:rPr>
          <w:b/>
        </w:rPr>
        <w:t>Available abstract (not full text):</w:t>
      </w:r>
      <w:r>
        <w:t xml:space="preserve"> Emerging technologies such as computer vision and Artificial Intelligence (AI) are estimated to leverage the accessibility of big data for active training and yielding operational real time smart machines and predictable models. This phenomenon of applying vision and learning methods for the improvement of food industry is termed as computer vision and AI driven food industry. This review contributes to provide an insight into state-of-the-art AI and computer vision technologies that can assist farmers in agriculture and food processing. This paper investigates various scenarios and use cases of machine learning, machine vision and deep learning in global perspective with the lens of sustainability. It explains the increasing demand towards the AgTech industry using computer vision and AI which might be a path towards sustainable food production to feed the future. Also, this review tosses some implications regarding challenges and recommendations in inclusion of technologies in real time farming, substantial global policies and investments. Finally, the paper discusses the possibility of using Fourth Industrial Revolution [4.0 IR] technologies such as deep learning and computer vision robotics as a key for sustainable food production.</w:t>
      </w:r>
    </w:p>
    <w:p>
      <w:pPr/>
      <w:r>
        <w:rPr>
          <w:b/>
        </w:rPr>
        <w:t>POSSIBLE 2019:</w:t>
      </w:r>
      <w:r>
        <w:t xml:space="preserve"> HPV vaccination in a context of public mistrust and uncertainty: a systematic literature review of determinants of HPV vaccine hesitancy in Europe — https://doi.org/10.1080/21645515.2018.1564436</w:t>
      </w:r>
    </w:p>
    <w:p>
      <w:pPr/>
      <w:r>
        <w:rPr>
          <w:b/>
        </w:rPr>
        <w:t>Shared claim-specific concepts:</w:t>
      </w:r>
      <w:r>
        <w:t xml:space="preserve"> review, build, develop; EU scope visible. This is a provisional connection, not an outcome finding.</w:t>
      </w:r>
    </w:p>
    <w:p>
      <w:pPr>
        <w:pStyle w:val="SourceNote"/>
      </w:pPr>
      <w:r>
        <w:rPr>
          <w:b/>
        </w:rPr>
        <w:t>Available abstract (not full text):</w:t>
      </w:r>
      <w:r>
        <w:t xml:space="preserve"> Europe is increasingly described as the region in the world with the least confidence in vaccination, and particularly in the safety of vaccines. The aim of this systematic literature review was to gather and summarise all peer-reviewed and grey literature published about determinants of Human Papillomavirus (HPV) vaccine hesitancy in Europe. Ten thematic categories were identified across the 103 articles which were included in the review. Participants from European studies most commonly reported issues with the quantity and quality of information available about HPV vaccination; followed by concerns about potential side effects of the vaccine; and mistrust of health authorities, healthcare workers, and new vaccines. Comparative analyses indicated that confidence determinants differed by country and population groups. This evidence supports the need to develop context-specific interventions to improve confidence in HPV vaccination and design community engagement strategies aiming to build public trust.</w:t>
      </w:r>
    </w:p>
    <w:p>
      <w:pPr/>
      <w:r>
        <w:rPr>
          <w:b/>
        </w:rPr>
        <w:t>POSSIBLE 2019:</w:t>
      </w:r>
      <w:r>
        <w:t xml:space="preserve"> The European Marine Observation and Data Network (EMODnet): Visions and Roles of the Gateway to Marine Data in Europe — https://doi.org/10.3389/fmars.2019.00313</w:t>
      </w:r>
    </w:p>
    <w:p>
      <w:pPr/>
      <w:r>
        <w:rPr>
          <w:b/>
        </w:rPr>
        <w:t>Shared claim-specific concepts:</w:t>
      </w:r>
      <w:r>
        <w:t xml:space="preserve"> visions, key, needed; EU scope visible. This is a provisional connection, not an outcome finding.</w:t>
      </w:r>
    </w:p>
    <w:p>
      <w:pPr>
        <w:pStyle w:val="SourceNote"/>
      </w:pPr>
      <w:r>
        <w:rPr>
          <w:b/>
        </w:rPr>
        <w:t>Available abstract (not full text):</w:t>
      </w:r>
      <w:r>
        <w:t xml:space="preserve"> Marine data are needed for many purposes: for acquiring a better scientific understanding of the marine environment, but also, increasingly, as marine knowledge for decision making as well as developing products and services supporting economic growth. Data must be of sufficient quality to meet the specific users’ needs. It must also be accessible in a timely manner. And yet, despite being critical, this timely access to known-quality data proves challenging. Europe’s marine data have traditionally been collected by a myriad of entities with the result that much of our data are scattered throughout unconnected databases and repositories. Even when data are available, they are often not compatible, making the sharing of the information and data aggregation particularly challenging. In this paper, we present how the European Marine Observation and Data network (EMODnet) has developed over the last decade to tackle these issues. Today, EMODnet is comprised of more than 150 organisations which gather marine data, metadata and data products and make them more easily accessible for a wider range of users. EMODnet currently consists of seven sub-portals: bathymetry, geology, physics, chemistry, biology, seabed habitats and human activities. In addition, Sea-basin Checkpoints have been established to assess the observation capacity in the North Sea, Mediterranean, Atlantic, Baltic, Art</w:t>
      </w:r>
    </w:p>
    <w:p>
      <w:pPr/>
      <w:r>
        <w:rPr>
          <w:b/>
        </w:rPr>
        <w:t>POSSIBLE 2018:</w:t>
      </w:r>
      <w:r>
        <w:t xml:space="preserve"> Farming for Life Quality and Sustainability: A Literature Review of Green Care Research Trends in Europe — https://doi.org/10.3390/ijerph15061282</w:t>
      </w:r>
    </w:p>
    <w:p>
      <w:pPr/>
      <w:r>
        <w:rPr>
          <w:b/>
        </w:rPr>
        <w:t>Shared claim-specific concepts:</w:t>
      </w:r>
      <w:r>
        <w:t xml:space="preserve"> review, sustainability, life; EU scope visible. This is a provisional connection, not an outcome finding.</w:t>
      </w:r>
    </w:p>
    <w:p>
      <w:pPr>
        <w:pStyle w:val="SourceNote"/>
      </w:pPr>
      <w:r>
        <w:rPr>
          <w:b/>
        </w:rPr>
        <w:t>Available abstract (not full text):</w:t>
      </w:r>
      <w:r>
        <w:t xml:space="preserve"> Green care is an innovative approach that combines simultaneously caring for people and caring for land through three elements that have not been previously connected: (1) multifunctional agriculture and recognition of the plurality of agricultural system values; (2) social services and health care; and (3) the possibility of strengthening the farming sector and local communities. The current research provides a comprehensive overview of green care in Europe as a scientific discipline through a literature review (n = 98 studies). According to our results, the Netherlands, the UK, Norway and Sweden followed by Italy have led the scientific studies published in English. Green care research comprises a wide range of perspectives and frameworks (social farming, care farming, nature-based solutions, etc.) with differences in their specificities. Green care studies have mainly focused on measuring the effectiveness of therapeutic interventions. Studies that evaluate its relevance in socio-economic and environmental terms are still limited. According to our results, the most common users studied were people suffering from psychological and mental ill health, while the most common activities were horticulture, animal husbandry and gardening. Finally, we discuss the potential of green care to reconnect people with nature and to diversify the farming sector providing new public services </w:t>
      </w:r>
    </w:p>
    <w:p>
      <w:pPr/>
      <w:r>
        <w:rPr>
          <w:b/>
        </w:rPr>
        <w:t>POSSIBLE 2018:</w:t>
      </w:r>
      <w:r>
        <w:t xml:space="preserve"> Reviewing progress in public involvement in NIHR research: developing and implementing a new vision for the future — https://doi.org/10.1136/bmjopen-2017-017124</w:t>
      </w:r>
    </w:p>
    <w:p>
      <w:pPr/>
      <w:r>
        <w:rPr>
          <w:b/>
        </w:rPr>
        <w:t>Shared claim-specific concepts:</w:t>
      </w:r>
      <w:r>
        <w:t xml:space="preserve"> review, develop, key, there; EU scope not established. This is a provisional connection, not an outcome finding.</w:t>
      </w:r>
    </w:p>
    <w:p>
      <w:pPr>
        <w:pStyle w:val="SourceNote"/>
      </w:pPr>
      <w:r>
        <w:rPr>
          <w:b/>
        </w:rPr>
        <w:t>Available abstract (not full text):</w:t>
      </w:r>
      <w:r>
        <w:t xml:space="preserve"> OBJECTIVES: To review the progress of public involvement (PPI) in NIHR (National Institute for Health Research) research, identify barriers and enablers, reflect on the influence of PPI on the wider health research system in the UK and internationally and develop a vision for public involvement in research for 2025. The developing evidence base, growing institutional commitment and public involvement activity highlight its growth as a significant international social movement. DESIGN: The 'Breaking Boundaries Review' was commissioned by the Department of Health. An expert advisory panel was convened. Data sources included: an online survey, international evidence sessions, workshop events, open submission of documents and supporting materials and existing systematic reviews. Thematic analysis identified key themes. NVivo was used for data management. The themes informed the report's vision, mission and recommendations, published as 'Going the Extra Mile-Improving the health and the wealth of the nation through public involvement in research'. The Review is now being implemented across the NIHR. RESULTS: This paper reports the Review findings, the first of its type internationally. A range of barriers and enablers to progress were identified, including attitudes, resources, infrastructure, training and support and leadership. The importance of evidence to underpin practice and c</w:t>
      </w:r>
    </w:p>
    <w:p>
      <w:pPr/>
      <w:r>
        <w:rPr>
          <w:b/>
        </w:rPr>
        <w:t>POSSIBLE 2018:</w:t>
      </w:r>
      <w:r>
        <w:t xml:space="preserve"> Sketching sustainable land use in Europe by 2040: a multi-stakeholder participatory approach to elicit cross-sectoral visions — https://doi.org/10.1007/s10113-018-1297-7</w:t>
      </w:r>
    </w:p>
    <w:p>
      <w:pPr/>
      <w:r>
        <w:rPr>
          <w:b/>
        </w:rPr>
        <w:t>Shared claim-specific concepts:</w:t>
      </w:r>
      <w:r>
        <w:t xml:space="preserve"> visions, develop; EU scope visible. This is a provisional connection, not an outcome finding.</w:t>
      </w:r>
    </w:p>
    <w:p>
      <w:pPr>
        <w:pStyle w:val="SourceNote"/>
      </w:pPr>
      <w:r>
        <w:rPr>
          <w:b/>
        </w:rPr>
        <w:t>Available abstract (not full text):</w:t>
      </w:r>
      <w:r>
        <w:t xml:space="preserve"> The continuously growing global demands on a finite land resource will require better strategic policies and management of trade-offs to avoid conflicts between different land-use sectors. Visions of the future can support strategic planning by stimulating dialogue, building a consensus on shared priorities and providing long-term targets. We present a novel approach to elicit stakeholder visions of future desired land use, which was applied with a broad range of experts to develop cross-sectoral visions in Europe. The approach is based on (i) combination of software tools and facilitation techniques to stimulate engagement and creativity; (ii) methodical selection of stakeholders; (iii) use of land attributes to deconstruct the multifaceted sectoral visions into land-use changes that can be clustered into few cross-sectoral visions, and (iv) a rigorous iterative process. Three cross-sectoral visions of sustainable land use in Europe in 2040 emerged from applying the approach in participatory workshops involving experts in nature conservation, recreation, agriculture, forestry, settlements, energy, and water. The three visions— Best Land in Europe , Regional Connected and Local Multifunctional —shared a wish to achieve a land use that is sustainable through multifunctionality, resource use efficiency, controlled urban growth, rural renewal and widespread nature. However, they d</w:t>
      </w:r>
    </w:p>
    <w:p>
      <w:pPr>
        <w:pStyle w:val="Heading2"/>
      </w:pPr>
      <w:r>
        <w:t>913.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2018:</w:t>
      </w:r>
      <w:r>
        <w:t xml:space="preserve"> Phytoplankton response to a plume front in the northern South China Sea — https://doi.org/10.5194/bg-15-2551-2018</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Due to a strong river discharge during April–June 2016, a persistent salinity front, with freshwater flushing seaward on the surface but seawater moving landward at the bottom, was formed in the coastal waters west of the Pearl River Estuary (PRE) over the Northern South China Sea (NSCS) shelf. Hydrographic measurements revealed that the salinity front was influenced by both river plume and coastal upwelling. Shipboard nutrient-enrichment experiments with size-fractionation chlorophyll-a measurements were performed on both sides of the front as well as the front zone to diagnose the spatial variations of phytoplankton physiology across the frontal system. We also assessed the size-fractionated responses of phytoplankton to the treatment of plume water at the frontal zone and the seaside of the front. Biological impact of vertical mixing or upwelling was further examined by the response of surface phytoplankton to the addition of local bottom water. Our results suggested that there was a large variation of phytoplankton physiology on the seaside of the front driven by dynamic nutrient fluxes, although P-limitation was prevailing on the shore-side of the front and at the frontal zone. The spreading of plume water at the frontal zone would directly improve the growth of micro-phytoplankton, while nano- and pico-phytoplankton growths could become saturated at high percent</w:t>
      </w:r>
    </w:p>
    <w:p>
      <w:pPr/>
      <w:r>
        <w:rPr>
          <w:b/>
        </w:rPr>
        <w:t>POSSIBLE 2018:</w:t>
      </w:r>
      <w:r>
        <w:t xml:space="preserve"> Copyright Protection of Digital Movies Using the Coalition of Technology and Law in China — https://doi.org/10.4236/chnstd.2018.74023</w:t>
      </w:r>
    </w:p>
    <w:p>
      <w:pPr/>
      <w:r>
        <w:rPr>
          <w:b/>
        </w:rPr>
        <w:t>Shared claim-specific concepts:</w:t>
      </w:r>
      <w:r>
        <w:t xml:space="preserve"> china, coalition, increasing; EU scope not established. This is a provisional connection, not an outcome finding.</w:t>
      </w:r>
    </w:p>
    <w:p>
      <w:pPr>
        <w:pStyle w:val="SourceNote"/>
      </w:pPr>
      <w:r>
        <w:rPr>
          <w:b/>
        </w:rPr>
        <w:t>Available abstract (not full text):</w:t>
      </w:r>
      <w:r>
        <w:t xml:space="preserve"> Copyright protection of digital movie is becoming increasingly important with increasing developing of the information technology. In China, unlimited replication and rapid propagation of the network makes it increasingly difficult to monitor the copyright piracy and illegal dissemination. Currently, encryption and tracking technology is predominantly used for copyright protection of digital film. The law is also committed to combating piracy and protecting copyright. But neither technical protection nor legal protection can achieve the protective effect that is necessary. Every year, the industry loses billions of dollars in revenue and faces the potential loss of hundreds of thousands of jobs. And Chinese laws do not define the consumer’s responsibilities. So the legal protection is a little weak in reality. This paper argues that there is a need for an alliance of technology and law. Copyright owners actively carry out technical protection to minimize the impact of piracy. Simultaneously, when the technical protection fails or has loopholes, the law shall punish the infringer severely according to the technical data and proof, and deter the offender. This is the better way to protect the copyright of digital film.</w:t>
      </w:r>
    </w:p>
    <w:p>
      <w:pPr/>
      <w:r>
        <w:rPr>
          <w:b/>
        </w:rPr>
        <w:t>POSSIBLE 2015:</w:t>
      </w:r>
      <w:r>
        <w:t xml:space="preserve"> Structure and Type Characteristics of the Winter Quasi-stationary Front in South China — https://openalex.org/W2384076123</w:t>
      </w:r>
    </w:p>
    <w:p>
      <w:pPr/>
      <w:r>
        <w:rPr>
          <w:b/>
        </w:rPr>
        <w:t>Shared claim-specific concepts:</w:t>
      </w:r>
      <w:r>
        <w:t xml:space="preserve"> addition, china, front, below; EU scope not established. This is a provisional connection, not an outcome finding.</w:t>
      </w:r>
    </w:p>
    <w:p>
      <w:pPr>
        <w:pStyle w:val="SourceNote"/>
      </w:pPr>
      <w:r>
        <w:rPr>
          <w:b/>
        </w:rPr>
        <w:t>Available abstract (not full text):</w:t>
      </w:r>
      <w:r>
        <w:t xml:space="preserve"> Using the daily National Centers for Environmental Prediction(NCEP) global final analysis(FNL) data and daily station rainfall data in China for the winters of 2000–2011, we first define an index to measure the strength of the South China quasi-stationary front(SCSF), and strong SCSF cases are then selected. The structure and characteristic circulation of strong SCSFs in relation to winter precipitation over South China are analyzed by composite analysis. The results show that strong SCSFs are nearly west–east oriented, are more common in January and February, and their frequency of occurrence shows a clear upward trend over the past 12 winters. The frontal zone of a strong SCSF is indicated by a dense band of potential pseudo-equivalent temperatures in the lower troposphere, slanting northward with altitude, with obvious differences across the band in temperature rather than in moisture. In addition, the frontal zone is often associated with a great temperature inversion, positive relative vorticity, and moisture flux convergence of north and south winds. Updrafts mainly appear above the slanted frontal zone, and disturbance zonal circulations with sub-frontal scale updrafts and downdrafts exist at about 850 h Pa below the upper–level westerlies. Strong SCSFs can be classified into three types according to their wind convergence patterns in the frontal zone at 850 h Pa. Among </w:t>
      </w:r>
    </w:p>
    <w:p>
      <w:pPr>
        <w:pStyle w:val="Heading2"/>
      </w:pPr>
      <w:r>
        <w:t>914.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evaluation, suitable, namely;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2023:</w:t>
      </w:r>
      <w:r>
        <w:t xml:space="preserve"> Exploring pathways to 100% renewable energy in European industry — https://doi.org/10.1016/j.energy.2023.126687</w:t>
      </w:r>
    </w:p>
    <w:p>
      <w:pPr/>
      <w:r>
        <w:rPr>
          <w:b/>
        </w:rPr>
        <w:t>Shared claim-specific concepts:</w:t>
      </w:r>
      <w:r>
        <w:t xml:space="preserve"> pathways, transition, each, sectors;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Future of HSR Program Evaluation: A European Perspective — https://doi.org/10.1093/eurpub/ckad160.052</w:t>
      </w:r>
    </w:p>
    <w:p>
      <w:pPr/>
      <w:r>
        <w:rPr>
          <w:b/>
        </w:rPr>
        <w:t>Shared claim-specific concepts:</w:t>
      </w:r>
      <w:r>
        <w:t xml:space="preserve"> evaluation, developed;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2022:</w:t>
      </w:r>
      <w:r>
        <w:t xml:space="preserve"> Evaluation of attractiveness of Russian and Western European green bonds — https://doi.org/10.18323/2221-5689-2022-3-25-33</w:t>
      </w:r>
    </w:p>
    <w:p>
      <w:pPr/>
      <w:r>
        <w:rPr>
          <w:b/>
        </w:rPr>
        <w:t>Shared claim-specific concepts:</w:t>
      </w:r>
      <w:r>
        <w:t xml:space="preserve"> evaluation, comparing, them; EU scope visible. This is a provisional connection, not an outcome finding.</w:t>
      </w:r>
    </w:p>
    <w:p>
      <w:pPr>
        <w:pStyle w:val="SourceNote"/>
      </w:pPr>
      <w:r>
        <w:rPr>
          <w:b/>
        </w:rPr>
        <w:t>Available abstract (not full text):</w:t>
      </w:r>
      <w:r>
        <w:t xml:space="preserve"> More and more companies in Western markets provide potential investors with an instrument to attract debt financing called “green bonds”. In recent years, a significant rise in demand for this type of securities is observed in Western stock markets; Russian investors also demonstrate interest in them, which makes issues of evaluating green bonds and comparing their investment attractiveness with the attractiveness of traditional bonds topical ones. The paper gives the assessment of attractiveness of green bonds both of Russian and Western European issuers and compares green and traditional corporate bonds from the point of view of a potential investor. The authors analyzed key financial performance indicators of green bonds: a coupon size, yield to maturity, and duration; assessed alternative costs of holding green bonds (bank deposit for the period of more than one year is considered an alternative variant of investment). Based on the results of the work, the authors conclude that, in general, non-green bonds today are more attractive for an investor; however, green bonds have an advantage in view of nominal coupon profitability. High duration is a distinctive feature of green bonds: the average due date of return of investments of green bonds is close to the maturity date, while traditional bonds have the duration much less than the term to their maturity. Therefore, one can </w:t>
      </w:r>
    </w:p>
    <w:p>
      <w:pPr/>
      <w:r>
        <w:rPr>
          <w:b/>
        </w:rPr>
        <w:t>POSSIBLE 2020:</w:t>
      </w:r>
      <w:r>
        <w:t xml:space="preserve"> Recycling of European plastic is a pathway for plastic debris in the ocean — https://doi.org/10.1016/j.envint.2020.105893</w:t>
      </w:r>
    </w:p>
    <w:p>
      <w:pPr/>
      <w:r>
        <w:rPr>
          <w:b/>
        </w:rPr>
        <w:t>Shared claim-specific concepts:</w:t>
      </w:r>
      <w:r>
        <w:t xml:space="preserve"> pathway, three; EU scope visible. This is a provisional connection, not an outcome finding.</w:t>
      </w:r>
    </w:p>
    <w:p>
      <w:pPr>
        <w:pStyle w:val="SourceNote"/>
      </w:pPr>
      <w:r>
        <w:rPr>
          <w:b/>
        </w:rPr>
        <w:t>Available abstract (not full text):</w:t>
      </w:r>
      <w:r>
        <w:t xml:space="preserve"> Polyethylene (PE) is one of the most common types of plastic. Whilst an increasing share of post-consumer plastic waste from Europe is collected for recycling, 46% of separated PE waste is exported outside of the source country (including intra-EU trade). The fate of this exported European plastic is not well known. This study integrated data on PE waste flows in 2017 from UN Comtrade, an open repository providing detailed international trade data, with best available information on waste management in destination countries, to model the fate of PE exported for recycling from Europe (EU-28, Norway and Switzerland) into: recycled high-density PE (HDPE) and low-density PE (LDPE) resins, "landfill", incineration and ocean debris. Data uncertainty was reflected in three scenarios representing high, low and average recovery efficiency factors in material recovery facilities and reprocessing facilities, and different ocean debris fate factors. The fates of exported PE were then linked back to the individual European countries of export. Our study estimated that 83,187 Mg (tonnes) (range: 32,115-180,558 Mg), or 3% (1-7%) of exported European PE in 2017 ended up in the ocean, indicating an important and hitherto undocumented pathway of plastic debris entering the oceans. The countries with the greatest percentage of exported PE ending up as recycled HDPE or LDPE were Luxembourg and Swi</w:t>
      </w:r>
    </w:p>
    <w:p>
      <w:pPr/>
      <w:r>
        <w:rPr>
          <w:b/>
        </w:rPr>
        <w:t>POSSIBLE 2020:</w:t>
      </w:r>
      <w:r>
        <w:t xml:space="preserve"> Sustainable Banking; Evaluation of the European Business Models — https://doi.org/10.3390/su12062314</w:t>
      </w:r>
    </w:p>
    <w:p>
      <w:pPr/>
      <w:r>
        <w:rPr>
          <w:b/>
        </w:rPr>
        <w:t>Shared claim-specific concepts:</w:t>
      </w:r>
      <w:r>
        <w:t xml:space="preserve"> evaluation, developed, each; EU scope visible. This is a provisional connection, not an outcome finding.</w:t>
      </w:r>
    </w:p>
    <w:p>
      <w:pPr>
        <w:pStyle w:val="SourceNote"/>
      </w:pPr>
      <w:r>
        <w:rPr>
          <w:b/>
        </w:rPr>
        <w:t>Available abstract (not full text):</w:t>
      </w:r>
      <w:r>
        <w:t xml:space="preserve"> Sustainability has become one of the challenges of today’s banks. Since sustainable business models are responsible for the environment and society along with generating economic benefits, they are an attractive approach to sustainability. Sustainable business models also offer banks competitive advantages such as increasing brand reputation and cost reduction. However, no framework is presented to evaluate the sustainability of banking business models. To bridge this theoretical gap, the current study using A Delphi-Analytic Hierarchy Process method, firstly, developed a sustainable business model to evaluate the sustainability of the business model of banks. In the second step, the sustainability performance of sixteen banks from eight European countries including Norway, The UK, Poland, Hungary, Germany, France, Spain, and Italy, assessed. The proposed business model components of this study were ranked in terms of their impact on achieving sustainability goals. Consequently, the proposed model components of this study, based on their impact on sustainability, are respectively value proposition, core competencies, financial aspects, business processes, target customers, resources, technology, customer interface, and partner network. The results of the comparison of the banks studied by each country disclosed that the sustainability of the Norwegian and German banks’ business</w:t>
      </w:r>
    </w:p>
    <w:p>
      <w:pPr/>
      <w:r>
        <w:rPr>
          <w:b/>
        </w:rPr>
        <w:t>POSSIBLE 2019:</w:t>
      </w:r>
      <w:r>
        <w:t xml:space="preserve"> A protocol to develop Shared Socio-economic Pathways for European agriculture — https://doi.org/10.1016/j.jenvman.2019.109701</w:t>
      </w:r>
    </w:p>
    <w:p>
      <w:pPr/>
      <w:r>
        <w:rPr>
          <w:b/>
        </w:rPr>
        <w:t>Shared claim-specific concepts:</w:t>
      </w:r>
      <w:r>
        <w:t xml:space="preserve"> evaluation, pathways, develop, suitable, each, sectors; EU scope visible. This is a provisional connection, not an outcome finding.</w:t>
      </w:r>
    </w:p>
    <w:p>
      <w:pPr>
        <w:pStyle w:val="SourceNote"/>
      </w:pPr>
      <w:r>
        <w:rPr>
          <w:b/>
        </w:rPr>
        <w:t>Available abstract (not full text):</w:t>
      </w:r>
      <w:r>
        <w:t xml:space="preserve"> Moving towards a more sustainable future requires concerted actions, particularly in the context of global climate change. Integrated assessments of agricultural systems (IAAS) are considered valuable tools to provide sound information for policy and decision-making. IAAS use storylines to define socio-economic and environmental framework assumptions. While a set of qualitative global storylines, known as the Shared Socio-economic Pathways (SSPs), is available to inform integrated assessments at large scales, their spatial resolution and scope is insufficient for regional studies in agriculture. We present a protocol to operationalize the development of Shared Socio-economic Pathways for European agriculture - Eur-Agri-SSPs - to support IAAS. The proposed design of the storyline development process is based on six quality criteria: plausibility, vertical and horizontal consistency, salience, legitimacy, richness and creativity. Trade-offs between these criteria may occur. The process is science-driven and iterative to enhance plausibility and horizontal consistency. A nested approach is suggested to link storylines across scales while maintaining vertical consistency. Plausibility, legitimacy, salience, richness and creativity shall be stimulated in a participatory and interdisciplinary storyline development process. The quality criteria and process design requirements are comb</w:t>
      </w:r>
    </w:p>
    <w:p>
      <w:pPr>
        <w:pStyle w:val="Heading2"/>
      </w:pPr>
      <w:r>
        <w:t>915.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2022:</w:t>
      </w:r>
      <w:r>
        <w:t xml:space="preserve"> A Global Overview of Aquaculture Food Production with a Focus on the Activity’s Development in Transitional Systems—The Case Study of a South European Country (Portugal) — https://doi.org/10.3390/jmse10030417</w:t>
      </w:r>
    </w:p>
    <w:p>
      <w:pPr/>
      <w:r>
        <w:rPr>
          <w:b/>
        </w:rPr>
        <w:t>Shared claim-specific concepts:</w:t>
      </w:r>
      <w:r>
        <w:t xml:space="preserve"> particular, every, developed; EU scope visible. This is a provisional connection, not an outcome finding.</w:t>
      </w:r>
    </w:p>
    <w:p>
      <w:pPr>
        <w:pStyle w:val="SourceNote"/>
      </w:pPr>
      <w:r>
        <w:rPr>
          <w:b/>
        </w:rPr>
        <w:t>Available abstract (not full text):</w:t>
      </w:r>
      <w:r>
        <w:t xml:space="preserve"> World aquaculture food production rises every year, amounting, by 2018, to another all-time record of 82.1 million tonnes of farmed seafood, with Asia leading global production. In Europe, although coastal countries present historical fishing habits, aquaculture is in true expansion. Norway, the leading European producer, is the eighth main producer worldwide. Portugal is a traditional fishing country but has invested in the development of aquaculture for the past decade, attaining, by 2018, 13.3 tonnes produced, making Portugal the 16th main producer amongst European Union member states that year. Most Portuguese aquaculture facilities operate in coastal systems, resorting to extensive and semi-intensive rearing techniques. In Portugal, marine food production in transitional systems is particularly interesting as the practice has, worldwide, been continuously substituted by intensive methods. In fact, facilities in transitional systems have developed over time and products gained higher commercial value. Clams and oysters corresponded, together, to over three quarters of total mollusc production in Portugal in 2018, while gilthead seabream and European seabass made up nearly all fish production in coastal environments. The state of aquaculture practices worldwide is reviewed in the present work, providing a particular focus on Portugal, where considerable development of the aq</w:t>
      </w:r>
    </w:p>
    <w:p>
      <w:pPr/>
      <w:r>
        <w:rPr>
          <w:b/>
        </w:rPr>
        <w:t>POSSIBLE 2022:</w:t>
      </w:r>
      <w:r>
        <w:t xml:space="preserve"> Food Waste to Bioethanol: Opportunities and Challenges — https://doi.org/10.3390/fermentation9010008</w:t>
      </w:r>
    </w:p>
    <w:p>
      <w:pPr/>
      <w:r>
        <w:rPr>
          <w:b/>
        </w:rPr>
        <w:t>Shared claim-specific concepts:</w:t>
      </w:r>
      <w:r>
        <w:t xml:space="preserve"> bioethanol, loss, continuous, potential; EU scope not established. This is a provisional connection, not an outcome finding.</w:t>
      </w:r>
    </w:p>
    <w:p>
      <w:pPr>
        <w:pStyle w:val="SourceNote"/>
      </w:pPr>
      <w:r>
        <w:rPr>
          <w:b/>
        </w:rPr>
        <w:t>Available abstract (not full text):</w:t>
      </w:r>
      <w:r>
        <w:t xml:space="preserve"> The increasing global population will require sustainable means to sustain life and growth. The continuous depletion and increasing wastage of the energy resources will pose a challenge for the survival of the increasing population in the coming years. The bioconversion of waste generated at different stages of the food value chain to ethanol can provide a sustainable solution to the depleting energy resources and a sustainable way to address the growing food waste issue globally. The high carbohydrate and nitrogen content in the food waste can make it an ideal alternative substrate for developing a decentralized bioprocess. Optimizing the process can address the bottleneck issues viz. substrate collection and transport, pretreatment, fermentative organism, and product separation, which is required to make the process economic. The current review focuses on the opportunities and challenges for using the food loss and waste at different stages of the food value chain, its pretreatment, the fermentation process to produce bioethanol, and potential ways to improve the process economics. The impact of substrate, fermentative organisms’ process development, downstream processing, and by-product stream to make the bioethanol production from the waste in the food value chain a commercial success are also discussed.</w:t>
      </w:r>
    </w:p>
    <w:p>
      <w:pPr/>
      <w:r>
        <w:rPr>
          <w:b/>
        </w:rPr>
        <w:t>POSSIBLE 2022:</w:t>
      </w:r>
      <w:r>
        <w:t xml:space="preserve"> Bioethanol and biodiesel blended fuels — Feasibility analysis of biofuel feedstocks in Bangladesh — https://doi.org/10.1016/j.egyr.2022.01.001</w:t>
      </w:r>
    </w:p>
    <w:p>
      <w:pPr/>
      <w:r>
        <w:rPr>
          <w:b/>
        </w:rPr>
        <w:t>Shared claim-specific concepts:</w:t>
      </w:r>
      <w:r>
        <w:t xml:space="preserve"> residue, bioethanol, biofuel, potential; EU scope not established. This is a provisional connection, not an outcome finding.</w:t>
      </w:r>
    </w:p>
    <w:p>
      <w:pPr>
        <w:pStyle w:val="SourceNote"/>
      </w:pPr>
      <w:r>
        <w:rPr>
          <w:b/>
        </w:rPr>
        <w:t>Available abstract (not full text):</w:t>
      </w:r>
      <w:r>
        <w:t xml:space="preserve"> In 2019–2020, Bangladesh imported 5.2 million metric tonnes of petroleum products, worth 2.5 billion USD, and 50% of the imports were consumed by the transportation sector. Having limited natural oil reserves and being heavily dependent on oil imports, the country is vulnerable to shocks in the international oil market, which can jeopardize its consistent economic growth. The Government announced a 5% blending of bioethanol with gasoline in 2017, with broken rice, maize, and molasses as the feedstocks, but sourcing biofuel from food crops can hamper the country’s food security. This study explores second and third generation feedstocks e.g., organic plants, seeds, agricultural residues, and waste animal fat or skin that can be collected and processed for the extraction of biofuels. Technical potential of biofuel from the feedstocks is analysed which shows that Bangladesh has a potential to extract 44.4 million metric tonnes of bioethanol in a year from agricultural residues with rice residue having the highest potential (71%). Ground nut and rubber seeds can be major feedstocks for biodiesel production having a potential of 61,000 and 42,000 metric tonnes per year, respectively. Waste chicken skin can be another promising feedstock for the extraction of biodiesel. Biofuels extracted from these non-edible feedstocks and blended with existing transport fuels can lessen Bangladesh</w:t>
      </w:r>
    </w:p>
    <w:p>
      <w:pPr/>
      <w:r>
        <w:rPr>
          <w:b/>
        </w:rPr>
        <w:t>POSSIBLE 2022:</w:t>
      </w:r>
      <w:r>
        <w:t xml:space="preserve"> Bioconversion of Starch Base Food Waste into Bioethanol — https://doi.org/10.3390/su141811401</w:t>
      </w:r>
    </w:p>
    <w:p>
      <w:pPr/>
      <w:r>
        <w:rPr>
          <w:b/>
        </w:rPr>
        <w:t>Shared claim-specific concepts:</w:t>
      </w:r>
      <w:r>
        <w:t xml:space="preserve"> every, bioethanol, potential; EU scope not established. This is a provisional connection, not an outcome finding.</w:t>
      </w:r>
    </w:p>
    <w:p>
      <w:pPr>
        <w:pStyle w:val="SourceNote"/>
      </w:pPr>
      <w:r>
        <w:rPr>
          <w:b/>
        </w:rPr>
        <w:t>Available abstract (not full text):</w:t>
      </w:r>
      <w:r>
        <w:t xml:space="preserve"> The global demand for fuel keeps increasing daily. The massive depletion of fossil fuels and their influence on the environment as pollution is a severe problem. Meanwhile, food waste disposal is also a complex problem in solid-waste management since one-third of every food consumed is discarded as waste. The standard waste management methods, including food waste incineration and landfilling, are considered hazardous to the environment. Food waste constituents are majorly starch-based and contain various biomolecules, including sugar, lipids, proteins, vitamins, cellulose, etc. These polysaccharides can be hydrolysed into monosaccharides such as glucose, which can then be fermented using microorganisms to produce ethanol through the fermenting of sugars derived from enzymatic hydrolysis treatment of food wastes. The human food system is rich in starch, which can be a potential resource for bioethanol production.</w:t>
      </w:r>
    </w:p>
    <w:p>
      <w:pPr/>
      <w:r>
        <w:rPr>
          <w:b/>
        </w:rPr>
        <w:t>POSSIBLE 2020:</w:t>
      </w:r>
      <w:r>
        <w:t xml:space="preserve"> Finger Millet as a Sustainable Feedstock for Bioethanol Production — https://doi.org/10.2174/1874331502014010257</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The current trend in volatile oil prices, global warming and environmental pollution, has encouraged major consumers worldwide to sharply increase their use of “green” fuels. Bioethanol is usually obtained from the conversion of carbon-based feedstock. Bioethanol from biomass sources is the principal fuel used as a fossil fuels’ substitute for road transport vehicles. Bioethanol is predominantly produced by the sugar fermentation process, although it can also be generated by the chemical process of reacting ethylene with steam. Finger millet (Eleusine coracana) is also known as Ragi (India), Kodo (Nepal), Uburo (Rwanda), Kurakkan (Srilanka), Bulo (Uganda), Kambale (Zambia) and Tamba (Nigeria) and can be used as an efficient source for bioethanol production. Despite all its importance, however, finger millet is still grossly undervalued both scientifically and internationally. This review observes current progress in bioethanol production from E. coracana feedstock and the effectiveness of various technological approaches for that. The main aspects of ethanol production from finger millet seeds have been considered. Seeds, which are already used for brewing, are the most obvious variant of feedstock for ethanol production from this crop. The conversion of finger millet straw and agricultural waste into bioethanol has also been reviewed. Practical results of development and testi</w:t>
      </w:r>
    </w:p>
    <w:p>
      <w:pPr/>
      <w:r>
        <w:rPr>
          <w:b/>
        </w:rPr>
        <w:t>POSSIBLE 2019:</w:t>
      </w:r>
      <w:r>
        <w:t xml:space="preserve"> The Human Cost of Anthropogenic Global Warming: Semi-Quantitative Prediction and the 1,000-Tonne Rule — https://doi.org/10.3389/fpsyg.2019.02323</w:t>
      </w:r>
    </w:p>
    <w:p>
      <w:pPr/>
      <w:r>
        <w:rPr>
          <w:b/>
        </w:rPr>
        <w:t>Shared claim-specific concepts:</w:t>
      </w:r>
      <w:r>
        <w:t xml:space="preserve"> every, tonne, predicted; EU scope not established. This is a provisional connection, not an outcome finding.</w:t>
      </w:r>
    </w:p>
    <w:p>
      <w:pPr>
        <w:pStyle w:val="SourceNote"/>
      </w:pPr>
      <w:r>
        <w:rPr>
          <w:b/>
        </w:rPr>
        <w:t>Available abstract (not full text):</w:t>
      </w:r>
      <w:r>
        <w:t xml:space="preserve"> Greenhouse-gas emissions are indirectly causing future deaths by multiple mechanisms. For example, reduced food and water supplies will exacerbate hunger, disease, violence, and migration. How will anthropogenic global warming (AGW) affect global mortality due to poverty around and beyond 2100? Roughly how much burned fossil carbon corresponds to one future death? What are the psychological, medical, political, and economic implications? Predicted death tolls are crucial for policy formulation, but uncertainty increases with temporal distance from the present and estimates may be biased. Order-of-magnitude estimates should refer to literature from diverse relevant disciplines. The carbon budget for 2°C AGW (roughly 10^12 tonnes carbon) will indirectly cause roughly 10^9 future premature deaths (10% of projected maximum global population), spread over one to two centuries. This zeroth-order prediction is relative and in addition to existing preventable death rates. It lies between likely best- and worst-case scenarios of roughly 3 x 10^8 and 3 x 10^9, corresponding to plus/minus one standard deviation on a logarithmic scale in a Gaussian probability distribution. It implies that one future premature death is caused every time roughly 1000 (300 to 3000) tonnes of carbon are burned. Therefore, any fossil-fuel project that burns millions of tons of carbon is probably indirectly kil</w:t>
      </w:r>
    </w:p>
    <w:p>
      <w:pPr/>
      <w:r>
        <w:rPr>
          <w:b/>
        </w:rPr>
        <w:t>POSSIBLE 2018:</w:t>
      </w:r>
      <w:r>
        <w:t xml:space="preserve"> BIOETHANOL FROM STRAW AND ITS PUBLIC ACCEPTANCE — https://doi.org/10.15544/rd.2017.009</w:t>
      </w:r>
    </w:p>
    <w:p>
      <w:pPr/>
      <w:r>
        <w:rPr>
          <w:b/>
        </w:rPr>
        <w:t>Shared claim-specific concepts:</w:t>
      </w:r>
      <w:r>
        <w:t xml:space="preserve"> bioethanol, biofuel, level; EU scope not established. This is a provisional connection, not an outcome finding.</w:t>
      </w:r>
    </w:p>
    <w:p>
      <w:pPr>
        <w:pStyle w:val="SourceNote"/>
      </w:pPr>
      <w:r>
        <w:rPr>
          <w:b/>
        </w:rPr>
        <w:t>Available abstract (not full text):</w:t>
      </w:r>
      <w:r>
        <w:t xml:space="preserve"> The consequences of global warming and the need for a reduction in greenhouse gases have led to dramatic changes in the automotive sector. Whereas the use of biofuel increased continuously over the first decade of this century, e-mobility has been deemed.by politicians and the media alike. As the development of the electric car, rechargeable batteries and charging stations are far from being fully explored, biofuels will play an important role as a bridging technology over the next 20 years. The successful use of biofuels requires its widespread acceptance by consumers. To evaluate the public opinion towards biofuels we carried out a representative opinion poll to collect information on the population’s acceptance of biofuels. The result indicates that there is a lack of interest and information about biofuels, especially among young people and women. First generation bioethanol is strongly associated with the waste of food, but the acceptance of the second generation, produced from agricultural remnants like straw from wheat or corn, is considerably higher. The interviewees see more transparent, objective and less technical information about biofuels as an essential way to increase the level of information and the acceptance rate. In summary, the introduction of biofuels must be accompanied by information campaigns if biofuels should ever reach larger market shares. The irrita</w:t>
      </w:r>
    </w:p>
    <w:p>
      <w:pPr/>
      <w:r>
        <w:rPr>
          <w:b/>
        </w:rPr>
        <w:t>POSSIBLE 2018:</w:t>
      </w:r>
      <w:r>
        <w:t xml:space="preserve"> Utilization of damaged and spoiled wheat grains for bioethanol production — https://doi.org/10.21786/bbrc/11.4/17</w:t>
      </w:r>
    </w:p>
    <w:p>
      <w:pPr/>
      <w:r>
        <w:rPr>
          <w:b/>
        </w:rPr>
        <w:t>Shared claim-specific concepts:</w:t>
      </w:r>
      <w:r>
        <w:t xml:space="preserve"> bioethanol, recently, potential; EU scope not established. This is a provisional connection, not an outcome finding.</w:t>
      </w:r>
    </w:p>
    <w:p>
      <w:pPr>
        <w:pStyle w:val="SourceNote"/>
      </w:pPr>
      <w:r>
        <w:rPr>
          <w:b/>
        </w:rPr>
        <w:t>Available abstract (not full text):</w:t>
      </w:r>
      <w:r>
        <w:t xml:space="preserve"> First generation ethanol from starchy crops particularly maize is an established technology that being a renewable and bio-based resource has advantages over gasoline.The second generation ethanol from lignocellulosics owing to its economic considerations is still at pilot scale and is yet to see commercialization.This has increased the demand of starchy feed-stocks for energy.The recently released National Policy on Biofuels in May, 2018 categorically also emphasizes on the potential of different raw materials for ethanol production by consenting the utilization of damaged food grains like wheat, broken rice etc. that area otherwise unfi t for human consumption.As far as wheat is concerned, The Comptroller and Auditor General (CAG), India (2017) reported that Food Corporation of India's (FCI) wheat stock worth 700 crores was damaged solely in Punjab from 2011 to 2016 as the grain was kept in open areas attributed to the lack in storage facility.Development of effi cient technology to pretreat and convert damaged starch into fermentable sugars and optimization of enzymatic hydrolysis using commercial as well as indigenous enzyme preparation are the key points for the effi cient bioethanol production from damaged wheat.Further, the synergistic action of alpha and glucoamylase in the hydrolysis of wheat mash have been tried that has revealed 96.25% conversion effi ciency with an </w:t>
      </w:r>
    </w:p>
    <w:p>
      <w:pPr/>
      <w:r>
        <w:rPr>
          <w:b/>
        </w:rPr>
        <w:t>POSSIBLE 2016:</w:t>
      </w:r>
      <w:r>
        <w:t xml:space="preserve"> Health Impacts of Active Transportation in Europe — https://doi.org/10.1371/journal.pone.0149990</w:t>
      </w:r>
    </w:p>
    <w:p>
      <w:pPr/>
      <w:r>
        <w:rPr>
          <w:b/>
        </w:rPr>
        <w:t>Shared claim-specific concepts:</w:t>
      </w:r>
      <w:r>
        <w:t xml:space="preserve"> level, potential; EU scope visible. This is a provisional connection, not an outcome finding.</w:t>
      </w:r>
    </w:p>
    <w:p>
      <w:pPr>
        <w:pStyle w:val="SourceNote"/>
      </w:pPr>
      <w:r>
        <w:rPr>
          <w:b/>
        </w:rPr>
        <w:t>Available abstract (not full text):</w:t>
      </w:r>
      <w:r>
        <w:t xml:space="preserve"> Policies that stimulate active transportation (walking and bicycling) have been related to heath benefits. This study aims to assess the potential health risks and benefits of promoting active transportation for commuting populations (age groups 16-64) in six European cities. We conducted a health impact assessment using two scenarios: increased cycling and increased walking. The primary outcome measure was all-cause mortality related to changes in physical activity level, exposure to fine particulate matter air pollution with a diameter &lt;2.5 μm, as well as traffic fatalities in the cities of Barcelona, Basel, Copenhagen, Paris, Prague, and Warsaw. All scenarios produced health benefits in the six cities. An increase in bicycle trips to 35% of all trips (as in Copenhagen) produced the highest benefits among the different scenarios analysed in Warsaw 113 (76-163) annual deaths avoided, Prague 61 (29-104), Barcelona 37 (24-56), Paris 37 (18-64) and Basel 5 (3-9). An increase in walking trips to 50% of all trips (as in Paris) resulted in 19 (3-42) deaths avoided annually in Warsaw, 11(3-21) in Prague, 6 (4-9) in Basel, 3 (2-6) in Copenhagen and 3 (2-4) in Barcelona. The scenarios would also reduce carbon dioxide emissions in the six cities by 1,139 to 26,423 (metric tonnes per year). Policies to promote active transportation may produce health benefits, but these depend of the exi</w:t>
      </w:r>
    </w:p>
    <w:p>
      <w:pPr>
        <w:pStyle w:val="Heading2"/>
      </w:pPr>
      <w:r>
        <w:t>916.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2023:</w:t>
      </w:r>
      <w:r>
        <w:t xml:space="preserve"> A Comprehensive Analysis of Kyoto Protocol — https://openalex.org/W7216616326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“We think that the Kyoto Protocol is a necessary document, necessary process. I am convinced that we will agree to disagree about substance” - Goran Persson (Former Prime Minister of Sweden) The Kyoto Protocol was established on December 11th, 1997. Due to a complicated ratification procedure, it went into effect on February 16, 2005. The Kyoto Protocol makes the United Nations Framework Convention on Climate Change operative by obligating industrialised nations and economies in transition to limit and decrease greenhouse gas (GHG) emissions according to the specified objectives. The Convention itself only requires these nations to implement mitigation policies and actions and to submit periodic reports of their progress. It exclusively binds industrialised nations and lays a higher burden on them in accordance with the notion of "common but differentiated responsibility and distinct capacities," recognising that they are primarily responsible for the present high levels of GHG emissions in the atmosphere. Under Annex B of the Kyoto Protocol, 37 industrialised nations, economies in transition, and the European Union are obligated to reduce their emissions.</w:t>
      </w:r>
    </w:p>
    <w:p>
      <w:pPr/>
      <w:r>
        <w:rPr>
          <w:b/>
        </w:rPr>
        <w:t>POSSIBLE 2022:</w:t>
      </w:r>
      <w:r>
        <w:t xml:space="preserve"> Pledge-and-Review Bargaining: from Kyoto to Paris — https://doi.org/10.1093/ej/ueac076</w:t>
      </w:r>
    </w:p>
    <w:p>
      <w:pPr/>
      <w:r>
        <w:rPr>
          <w:b/>
        </w:rPr>
        <w:t>Shared claim-specific concepts:</w:t>
      </w:r>
      <w:r>
        <w:t xml:space="preserve"> kyoto, agreement; EU scope not established. This is a provisional connection, not an outcome finding.</w:t>
      </w:r>
    </w:p>
    <w:p>
      <w:pPr>
        <w:pStyle w:val="SourceNote"/>
      </w:pPr>
      <w:r>
        <w:rPr>
          <w:b/>
        </w:rPr>
        <w:t>Available abstract (not full text):</w:t>
      </w:r>
      <w:r>
        <w:t xml:space="preserve"> Abstract A tractable dynamic model of international climate policies is analysed. The choice of bargaining game influences participation levels, emission quotas and technology investment levels. I derive several predictions that are arguably consistent with the differences between the 1997 Kyoto Protocol and the 2015 Paris Agreement—including the transitioning from the former to the latter.</w:t>
      </w:r>
    </w:p>
    <w:p>
      <w:pPr/>
      <w:r>
        <w:rPr>
          <w:b/>
        </w:rPr>
        <w:t>POSSIBLE 2022:</w:t>
      </w:r>
      <w:r>
        <w:t xml:space="preserve"> The Wistar Kyoto Rat: A Model of Depression Traits — https://doi.org/10.2174/1570159x21666221129120902</w:t>
      </w:r>
    </w:p>
    <w:p>
      <w:pPr/>
      <w:r>
        <w:rPr>
          <w:b/>
        </w:rPr>
        <w:t>Shared claim-specific concepts:</w:t>
      </w:r>
      <w:r>
        <w:t xml:space="preserve"> kyoto, value; EU scope not established. This is a provisional connection, not an outcome finding.</w:t>
      </w:r>
    </w:p>
    <w:p>
      <w:pPr>
        <w:pStyle w:val="SourceNote"/>
      </w:pPr>
      <w:r>
        <w:rPr>
          <w:b/>
        </w:rPr>
        <w:t>Available abstract (not full text):</w:t>
      </w:r>
      <w:r>
        <w:t xml:space="preserve"> There is an ongoing debate about the value of animal research in psychiatry with valid lines of reasoning stating the limits of individual animal models compared to human psychiatric illnesses. Human depression is not a homogenous disorder; therefore, one cannot expect a single animal model to reflect depression heterogeneity. This limited review presents arguments that the Wistar Kyoto (WKY) rats show intrinsic depression traits. The phenotypes of WKY do not completely mirror those of human depression but clearly indicate characteristics that are common with it. WKYs present despair- like behavior, passive coping with stress, comorbid anxiety, and enhanced drug use compared to other routinely used inbred or outbred strains of rats. The commonly used tests identifying these phenotypes reflect exploratory, escape-oriented, and withdrawal-like behaviors. The WKYs consistently choose withdrawal or avoidance in novel environments and freezing behaviors in response to a challenge in these tests. The physiological response to a stressful environment is exaggerated in WKYs. Selective breeding generated two WKY substrains that are nearly isogenic but show clear behavioral differences, including that of depression-like behavior. WKY and its substrains may share characteristics of subgroups of depressed individuals with social withdrawal, low energy, weight loss, sleep disturbances, and </w:t>
      </w:r>
    </w:p>
    <w:p>
      <w:pPr/>
      <w:r>
        <w:rPr>
          <w:b/>
        </w:rPr>
        <w:t>POSSIBLE 2021:</w:t>
      </w:r>
      <w:r>
        <w:t xml:space="preserve"> Reduced Sign Representations for Characteristic Points Selection in Images — https://doi.org/10.1134/s1054661821030147</w:t>
      </w:r>
    </w:p>
    <w:p>
      <w:pPr/>
      <w:r>
        <w:rPr>
          <w:b/>
        </w:rPr>
        <w:t>Shared claim-specific concepts:</w:t>
      </w:r>
      <w:r>
        <w:t xml:space="preserve"> need, possible; EU scope not established. This is a provisional connection, not an outcome finding.</w:t>
      </w:r>
    </w:p>
    <w:p>
      <w:pPr>
        <w:pStyle w:val="SourceNote"/>
      </w:pPr>
      <w:r>
        <w:rPr>
          <w:b/>
        </w:rPr>
        <w:t>Available abstract (not full text):</w:t>
      </w:r>
      <w:r>
        <w:t xml:space="preserve"> Abstract The aim of this study is to develop a method for detecting the characteristic points in a digital image that is stable under a certain class of brightness transformations. The need for such a method is due to the need to identify key points of images in video surveillance and face recognition systems, which often work in conditions of variations in illumination. A feature of the proposed method, which distinguishes it from a number of well-known approaches to the problem of identifying characteristic points, is the use of the so-called reduced sign representation of images. In contrast to the usual representation of a digital image by its discrete function of brightness, it represents the image by a directed acyclic graph corresponding to the binary relation of increasing brightness over the set of pixels. Thus, the sign representation defines a set of images, the brightness functions of which are connected by strictly monotonic transformations. It is this property of the sign representation that makes it efficient for achievement the aim mentioned above. The next feature of the method under consideration is its approach to the interpretation of the characteristic points of the image. Note that in the modern theory of image processing this concept is not rigorously defined; we can say that the characteristic point is distinguished by the increased complexity of the str</w:t>
      </w:r>
    </w:p>
    <w:p>
      <w:pPr/>
      <w:r>
        <w:rPr>
          <w:b/>
        </w:rPr>
        <w:t>POSSIBLE 2021:</w:t>
      </w:r>
      <w:r>
        <w:t xml:space="preserve"> Automatic Annotation and Segmentation of Sign Language Videos: Base-level Features and Lexical Signs Classification — https://doi.org/10.5220/0010247104840491</w:t>
      </w:r>
    </w:p>
    <w:p>
      <w:pPr/>
      <w:r>
        <w:rPr>
          <w:b/>
        </w:rPr>
        <w:t>Shared claim-specific concepts:</w:t>
      </w:r>
      <w:r>
        <w:t xml:space="preserve"> reduce, different; EU scope not established. This is a provisional connection, not an outcome finding.</w:t>
      </w:r>
    </w:p>
    <w:p>
      <w:pPr>
        <w:pStyle w:val="SourceNote"/>
      </w:pPr>
      <w:r>
        <w:rPr>
          <w:b/>
        </w:rPr>
        <w:t>Available abstract (not full text):</w:t>
      </w:r>
      <w:r>
        <w:t xml:space="preserve"> The automatic recognition of Sign Languages is the main focus of most of the works in the field, which explains the progressing demand on the annotated data to train the dedicated models. In this paper, we present a semi automatic annotation system for Sign Languages. Such automation will not only help to create training data but it will reduce as well the processing time and the subjectivity of manual annotations done by linguists in order to study the sign language. The system analyses hand shapes, hands speed variations, and face landmarks to annotate base level features and to separate the different signs. In a second stage, signs are classified into two types, whether they are lexical (i.e. present in a dictionary) or iconic (illustrative), using a probabilistic model. The results show that our system is partially capable of annotating automatically the video sequence with a F1 score = 0.68 for lexical sign annotation and an error of 3.8 frames for sign segmentation. An expert validation of the annotations is still needed.</w:t>
      </w:r>
    </w:p>
    <w:p>
      <w:pPr/>
      <w:r>
        <w:rPr>
          <w:b/>
        </w:rPr>
        <w:t>POSSIBLE 2020:</w:t>
      </w:r>
      <w:r>
        <w:t xml:space="preserve"> Environmental and economic effectiveness of the Kyoto Protocol — https://doi.org/10.1371/journal.pone.0236299</w:t>
      </w:r>
    </w:p>
    <w:p>
      <w:pPr/>
      <w:r>
        <w:rPr>
          <w:b/>
        </w:rPr>
        <w:t>Shared claim-specific concepts:</w:t>
      </w:r>
      <w:r>
        <w:t xml:space="preserve"> kyoto, carbon, emissions; EU scope not established. This is a provisional connection, not an outcome finding.</w:t>
      </w:r>
    </w:p>
    <w:p>
      <w:pPr>
        <w:pStyle w:val="SourceNote"/>
      </w:pPr>
      <w:r>
        <w:rPr>
          <w:b/>
        </w:rPr>
        <w:t>Available abstract (not full text):</w:t>
      </w:r>
      <w:r>
        <w:t xml:space="preserve"> This study investigates the environmental and economic impacts of the Kyoto Protocol on Annex I parties through an impact assessment by combining the propensity score matching and the difference-in-difference methods. We establish a country-level panel data set including CO2 emissions, gross domestic product (GDP), and other socioeconomic data for 1997-2008 and 2005-2008. Based on the impact evaluation, we conduct the simulation predicting the impacts of the Protocol to capture the differences of marginal damage cost of carbon emissions between the actual and counterfactual situations. The results suggest that participating as an Annex I party has a significant positive impact on CO2 emission reductions, but a negative impact on the GDP of the participants in the long run. The predicted marginal benefit of the Protocol based on the marginal damage cost of carbon emissions shows that the marginal benefit of emission reductions mitigates a limited portion of the GDP loss. Future global climate change frameworks should focus on balancing the impact on economic and environmental performance in order to ensure sustainable development, especially for developing countries that have low capacity to mitigate emissions.</w:t>
      </w:r>
    </w:p>
    <w:p>
      <w:pPr/>
      <w:r>
        <w:rPr>
          <w:b/>
        </w:rPr>
        <w:t>POSSIBLE 2018:</w:t>
      </w:r>
      <w:r>
        <w:t xml:space="preserve"> Less is More: Techniques to Reduce Overfitting in your Transformer Model for Sign Language Recognition — https://doi.org/10.52591/lxai2023061812</w:t>
      </w:r>
    </w:p>
    <w:p>
      <w:pPr/>
      <w:r>
        <w:rPr>
          <w:b/>
        </w:rPr>
        <w:t>Shared claim-specific concepts:</w:t>
      </w:r>
      <w:r>
        <w:t xml:space="preserve"> need, reduce; EU scope not established. This is a provisional connection, not an outcome finding.</w:t>
      </w:r>
    </w:p>
    <w:p>
      <w:pPr>
        <w:pStyle w:val="SourceNote"/>
      </w:pPr>
      <w:r>
        <w:rPr>
          <w:b/>
        </w:rPr>
        <w:t>Available abstract (not full text):</w:t>
      </w:r>
      <w:r>
        <w:t xml:space="preserve"> Sign language recognition (SLR) in deep learning is a challenging task due to the need for interpreting human body movements, including detailed hand movements and facial expressions. Recent research has focused on using keypoint body landmarks and transformer models to improve SLR performance. However, these models can face overfitting issues due to the need for more available datasets. To address these problems, we analyze three Peruvian sign language (LSP) datasets for SLR. Additionally, we apply several techniques to reduce overfitting in the Spoter model, a transformer-based architecture for SLR. The results of these techniques reveal that the data-based techniques improve generalization and reduce overfitting in transformer-based models for SLR.</w:t>
      </w:r>
    </w:p>
    <w:p>
      <w:pPr/>
      <w:r>
        <w:rPr>
          <w:b/>
        </w:rPr>
        <w:t>POSSIBLE 2017:</w:t>
      </w:r>
      <w:r>
        <w:t xml:space="preserve"> The impact of the US retreat from the Paris Agreement: Kyoto revisited? — https://doi.org/10.1080/14693062.2017.1412934</w:t>
      </w:r>
    </w:p>
    <w:p>
      <w:pPr/>
      <w:r>
        <w:rPr>
          <w:b/>
        </w:rPr>
        <w:t>Shared claim-specific concepts:</w:t>
      </w:r>
      <w:r>
        <w:t xml:space="preserve"> kyoto, agreement, reduce, emissions, different, possible; EU scope not established. This is a provisional connection, not an outcome finding.</w:t>
      </w:r>
    </w:p>
    <w:p>
      <w:pPr>
        <w:pStyle w:val="SourceNote"/>
      </w:pPr>
      <w:r>
        <w:rPr>
          <w:b/>
        </w:rPr>
        <w:t>Available abstract (not full text):</w:t>
      </w:r>
      <w:r>
        <w:t xml:space="preserve"> The United States’ decision to withdraw from the Paris Agreement (pending possible re-engagement under different terms) may have significant ramifications for international climate policy, but the implications of this decision remain contested. This commentary illustrates how comparative analysis of US participation in multilateral environmental agreements can inform predictions and future assessments of the decision. We compare and contrast US non-participation in the Kyoto Protocol and the Paris Agreement, focusing on four key areas that may condition the influence of US treaty decisions on international climate policy: (i) global momentum on climate change mitigation; (ii) the possibility of US non-participation giving rise to alternative forms of international collaboration on climate policy; (iii) the timing and circumstances of the US decision to exit; and (iv) the influence of treaty design on countries’ incentives to participate and comply. We find that differences across the two treaties relating to the first three factors are more likely to reduce the negative ramifications of US withdrawal from the Paris Agreement compared to the Kyoto Protocol. However, the increased urgency of deep decarbonization renders US non-participation a major concern despite its declining share of global emissions. Moreover, key design features of the Paris Agreement suggest that other coun</w:t>
      </w:r>
    </w:p>
    <w:p>
      <w:pPr>
        <w:pStyle w:val="Heading2"/>
      </w:pPr>
      <w:r>
        <w:t>917.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assess, energy, climate, between;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Climate Policy Priorities for the Next European Commission — https://openalex.org/W4392885355</w:t>
      </w:r>
    </w:p>
    <w:p>
      <w:pPr/>
      <w:r>
        <w:rPr>
          <w:b/>
        </w:rPr>
        <w:t>Shared claim-specific concepts:</w:t>
      </w:r>
      <w:r>
        <w:t xml:space="preserve"> commission, energy, climate;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2023:</w:t>
      </w:r>
      <w:r>
        <w:t xml:space="preserve"> Access to European Commission Guidance — https://doi.org/10.21552/estal/2023/3/2</w:t>
      </w:r>
    </w:p>
    <w:p>
      <w:pPr/>
      <w:r>
        <w:rPr>
          <w:b/>
        </w:rPr>
        <w:t>Shared claim-specific concepts:</w:t>
      </w:r>
      <w:r>
        <w:t xml:space="preserve"> commission, assess, between; EU scope visible. This is a provisional connection, not an outcome finding.</w:t>
      </w:r>
    </w:p>
    <w:p>
      <w:pPr>
        <w:pStyle w:val="SourceNote"/>
      </w:pPr>
      <w:r>
        <w:rPr>
          <w:b/>
        </w:rPr>
        <w:t>Available abstract (not full text):</w:t>
      </w:r>
      <w:r>
        <w:t xml:space="preserve"> The Treaty on the Functioning of the European Union (TFEU) grants unique powers to the European Commission in the field of State aid.In no other policy field does the TFEU require Member States to inform the Commission of plans to implement a measure and confer to the Commission the right to assess those measures without obtaining the prior consent of the Council or EU courts.Even under Article 258, where the TFEU empowers the Commission to initiate action against Member States that infringe EU law, the TFEU still obliges the Commission to "bring the matter before the Court of Justice".The TFEU establishes this system of prior control of State aid because public subsidies can distort competition in the internal EU market.The integrity of this system depends on the Commission being able to distinguish between subsidies that remedy market failure and subsidies that worsen market failure.However, the effectiveness of prior control is conditional on compliance by Member States.And, compliance by Member States, in turn, depends on the rules being clear and comprehensible.</w:t>
      </w:r>
    </w:p>
    <w:p>
      <w:pPr/>
      <w:r>
        <w:rPr>
          <w:b/>
        </w:rPr>
        <w:t>POSSIBLE 2023:</w:t>
      </w:r>
      <w:r>
        <w:t xml:space="preserve"> Assessing the role of the European Council and the European Commission during the migration and COVID-19 crises — https://doi.org/10.1080/01402382.2023.2225403</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Over the past decades, ‘emergency politics’ has become a quasi-permanent feature of the European Union (EU). According to some, this has reinforced the trend towards a greater role for the European Council (EUCO) in EU agenda-setting, to the detriment of the European Commission (Commission). In this article, this claim is critically assessed by analysing two major crises: the 2015-2016 migration crisis and the COVID-19 pandemic. By systematically tracing the various agenda-setting roles played by EU actors in these crises, two claims are made. First, using a more fine-grained typology of agenda-setting roles, the relationship between EUCO and the Commission is shown to be more nuanced than is often suggested. Second, EUCO and the Commission cannot be considered monolithic players. Instead, actors within these institutions operate outside of formal channels to purse their own policy goals. This puts in doubt the usefulness of focussing on the EUCO-Commission relationship in a purely inter-institutional sense.</w:t>
      </w:r>
    </w:p>
    <w:p>
      <w:pPr/>
      <w:r>
        <w:rPr>
          <w:b/>
        </w:rPr>
        <w:t>POSSIBLE 2023:</w:t>
      </w:r>
      <w:r>
        <w:t xml:space="preserve"> The European Commission: a climate policy entrepreneur — https://doi.org/10.4337/9781789906981.00013</w:t>
      </w:r>
    </w:p>
    <w:p>
      <w:pPr/>
      <w:r>
        <w:rPr>
          <w:b/>
        </w:rPr>
        <w:t>Shared claim-specific concepts:</w:t>
      </w:r>
      <w:r>
        <w:t xml:space="preserve"> commission, energy, climate; EU scope visible. This is a provisional connection, not an outcome finding.</w:t>
      </w:r>
    </w:p>
    <w:p>
      <w:pPr>
        <w:pStyle w:val="SourceNote"/>
      </w:pPr>
      <w:r>
        <w:rPr>
          <w:b/>
        </w:rPr>
        <w:t>Available abstract (not full text):</w:t>
      </w:r>
      <w:r>
        <w:t xml:space="preserve"> The European Commission is a crucial actor in EU climate policy in three regards. First, based on its unique role in the EU system as an initiator of policy proposals, it acts as a policy entrepreneur, contributing to the gradual advancement of EU climate policy. In this role, it has promoted commitments to ever more ambitious greenhouse gas emission reduction targets (compared to 1990 levels) that, once agreed, served as the basis for the Commission’s legislative initiatives. Second, as ‘guardian of the treaties’, the Commission monitors EU countries’ compliance with the adopted legislation. To this end, it has constantly improved coordination processes with national governments. Finally, the Commission is actively involved in EU international climate policy, coordinating bi-lateral and multilateral partnerships on climate change and energy with third countries, contributing to knowledge transfer and policy learning.</w:t>
      </w:r>
    </w:p>
    <w:p>
      <w:pPr/>
      <w:r>
        <w:rPr>
          <w:b/>
        </w:rPr>
        <w:t>POSSIBLE 2023:</w:t>
      </w:r>
      <w:r>
        <w:t xml:space="preserve"> Three decades of EU climate policy: Racing toward climate neutrality? — https://doi.org/10.1002/wcc.863</w:t>
      </w:r>
    </w:p>
    <w:p>
      <w:pPr/>
      <w:r>
        <w:rPr>
          <w:b/>
        </w:rPr>
        <w:t>Shared claim-specific concepts:</w:t>
      </w:r>
      <w:r>
        <w:t xml:space="preserve"> established, commission, energy, climate; EU scope visible. This is a provisional connection, not an outcome finding.</w:t>
      </w:r>
    </w:p>
    <w:p>
      <w:pPr>
        <w:pStyle w:val="SourceNote"/>
      </w:pPr>
      <w:r>
        <w:rPr>
          <w:b/>
        </w:rPr>
        <w:t>Available abstract (not full text):</w:t>
      </w:r>
      <w:r>
        <w:t xml:space="preserve"> Abstract The European Union (EU) began developing climate policy in the 1990s. Since then, it has built up a broad portfolio of mitigation policy measures and governance tools, including legally binding targets to reduce greenhouse gas (GHG) emissions, and policy measures addressing emissions trading, renewable energy, energy efficiency, and more. In 2019, the European Commission—the EU's executive arm—published the European Green Deal (EGD), an overarching policy framework to achieve the goal of climate neutrality by 2050. The EGD aims to push EU climate policy and governance far beyond incremental policy development. In this article, we ask: does the EGD represent a break from past patterns of EU climate governance? We argue that it maintains several past patterns, but nevertheless breaks from other established policy and governance trends. We review insights from politicization and new institutionalist theoretical lenses to help us understand these findings. We reveal certain tensions and challenges inherent in the EU's climate governance approach—around speed and coherence, effectiveness and just transition—that highlight future research needs, and raise questions about the EU's ability to implement its climate policy goals. This article is categorized under: Policy and Governance &gt; Multilevel and Transnational Climate Change Governance</w:t>
      </w:r>
    </w:p>
    <w:p>
      <w:pPr/>
      <w:r>
        <w:rPr>
          <w:b/>
        </w:rPr>
        <w:t>POSSIBLE 2023:</w:t>
      </w:r>
      <w:r>
        <w:t xml:space="preserve"> The European Union's Climate and Environmental Policy in Times of Geopolitical Crisis — https://doi.org/10.1111/jcms.13530</w:t>
      </w:r>
    </w:p>
    <w:p>
      <w:pPr/>
      <w:r>
        <w:rPr>
          <w:b/>
        </w:rPr>
        <w:t>Shared claim-specific concepts:</w:t>
      </w:r>
      <w:r>
        <w:t xml:space="preserve"> commission, energy, climate, between, relative; EU scope visible. This is a provisional connection, not an outcome finding.</w:t>
      </w:r>
    </w:p>
    <w:p>
      <w:pPr>
        <w:pStyle w:val="SourceNote"/>
      </w:pPr>
      <w:r>
        <w:rPr>
          <w:b/>
        </w:rPr>
        <w:t>Available abstract (not full text):</w:t>
      </w:r>
      <w:r>
        <w:t xml:space="preserve"> European Union (EU) environmental policy is made in the framework of a multiannual Environment Action Programme (EAP), which rests on the principles of prevention, precaution and tackling pollution at its source rather than at the 'end of the pipe'. The current, 8th EAP defines objectives for environmental policy in the narrow sense as measures to prevent, reduce or end adverse effects on nature and natural resources but recognises that environmental policy objectives must go hand in hand with reducing greenhouse gas (GHG) emissions, which is the main goal of EU climate policy. The EAP's integrated view on environmental and climate policy resonates with the one put forth by the European Green Deal (EGD). This is the EU's approach to delivering on the 2015 Paris Agreement on climate change and the United Nations' Sustainable Development Goals adopted in the same year (Koundouri et al., 2021). It is a comprehensive strategy for sustainable growth and goes beyond the classic dimensions of sustainability, as it covers economic viability, environmental protection and social equity (Bongardt and Torres, 2022). The EGD guides policy action in the strategic fields of agriculture and food, construction and renovation, climate, energy, environment, financial and regional development, industry, research and innovation, and transport and mobility to achieve the overarching goal of transfor</w:t>
      </w:r>
    </w:p>
    <w:p>
      <w:pPr>
        <w:pStyle w:val="Heading2"/>
      </w:pPr>
      <w:r>
        <w:t>918.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2017:</w:t>
      </w:r>
      <w:r>
        <w:t xml:space="preserve"> Handbook of European Social Policy — https://doi.org/10.4337/9781783476466</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The UK and Ireland are typically paired together as the Anglo-Saxon or liberal welfare states of Europe, however, comparative analysis of both countries' welfare states is rare. The most recent systematic comparative analysis dates to Daly and Yeates’ (2003) analysis of social security. Regarding structural, political and ideological factors they noted a range of ways the two countries diverged and suggested that both countries were transforming, but in significantly different ways, thus questioning whether they could still be feasibly situated within the same welfare model. In the intervening period both countries experienced major upheaval, their common ‘Anglo-liberal’ growth model (Hay 2013) being at the core of the financial crisis in 2008. Consequently we ask whether the Irish and UK welfare states are still as divergent as Daly and Yeates observed or whether recent trends have meant that these two welfare states are moving in a common direction, without necessarily reaching full convergence. We proceed to address these questions by broadly tracking the typical characteristics of liberal welfare regimes in the UK and Irish contexts. We first look at patterns of social expenditure, taxation and related policy reform. We then look at what might be deemed social investment policies and this is followed with an analysis of selected welfare outcomes. We end by analysing the mai</w:t>
      </w:r>
    </w:p>
    <w:p>
      <w:pPr>
        <w:pStyle w:val="Heading2"/>
      </w:pPr>
      <w:r>
        <w:t>919.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2021:</w:t>
      </w:r>
      <w:r>
        <w:t xml:space="preserve"> Medical Brain Drain From Southeastern Europe: Using Digital Demography to Forecast Health Worker Emigration — https://doi.org/10.2196/30831</w:t>
      </w:r>
    </w:p>
    <w:p>
      <w:pPr/>
      <w:r>
        <w:rPr>
          <w:b/>
        </w:rPr>
        <w:t>Shared claim-specific concepts:</w:t>
      </w:r>
      <w:r>
        <w:t xml:space="preserve"> forecasts, drawing, conclusions, system; EU scope visible. This is a provisional connection, not an outcome finding.</w:t>
      </w:r>
    </w:p>
    <w:p>
      <w:pPr>
        <w:pStyle w:val="SourceNote"/>
      </w:pPr>
      <w:r>
        <w:rPr>
          <w:b/>
        </w:rPr>
        <w:t>Available abstract (not full text):</w:t>
      </w:r>
      <w:r>
        <w:t xml:space="preserve"> BACKGROUND: This paper shows that the tools of digital demography, such as Google Trends, can be used for determining, estimating, and predicting the migration of health care workers (HWs), in this case, from Croatia and the Western Balkans (WB) to Germany and Austria. OBJECTIVE: This study aims to test the usefulness of Google Trends indexes to forecast HW migration from Croatia and the WB to Germany and Austria. The paper analyzes recent trends in HW mobility in Europe and focuses specifically on mobility patterns among medical doctors and nurses using digital demography. Without increased emigration in the last 10 years, Croatia and the WB would have 50% more HWs today, and this staff is now crucial in the fight against a pandemic. Furthermore, the COVID-19 pandemic contributed to the increase in emigration. METHODS: A particular problem in analyzing the emigration of HCWs from Croatia and the WB is that there is no system for monitoring this process. Official data is up to 3 years late and exists only for persons deregistered from the state system. Furthermore, during the pandemic, the "normal" ways of data collection are simply too slow. The primary methodological concept of our approach is to monitor the digital trace of language searches with the Google Trends analytical tool. To standardize the data, we requested the data from January 2010 to December 2020 and divided t</w:t>
      </w:r>
    </w:p>
    <w:p>
      <w:pPr/>
      <w:r>
        <w:rPr>
          <w:b/>
        </w:rPr>
        <w:t>POSSIBLE 2021:</w:t>
      </w:r>
      <w:r>
        <w:t xml:space="preserve"> Interpretation of point forecasts with unknown directive — https://doi.org/10.1002/jae.2833</w:t>
      </w:r>
    </w:p>
    <w:p>
      <w:pPr/>
      <w:r>
        <w:rPr>
          <w:b/>
        </w:rPr>
        <w:t>Shared claim-specific concepts:</w:t>
      </w:r>
      <w:r>
        <w:t xml:space="preserve"> forecasts, point, abstract; EU scope not established. This is a provisional connection, not an outcome finding.</w:t>
      </w:r>
    </w:p>
    <w:p>
      <w:pPr>
        <w:pStyle w:val="SourceNote"/>
      </w:pPr>
      <w:r>
        <w:rPr>
          <w:b/>
        </w:rPr>
        <w:t>Available abstract (not full text):</w:t>
      </w:r>
      <w:r>
        <w:t xml:space="preserve"> Abstract Point forecasts can be interpreted as functionals (i.e., point summaries) of predictive distributions. We extend methodology for the identification of the functional based on time series of point forecasts and associated realizations. Focusing on state‐dependent quantiles and expectiles, we provide a generalized method of moments estimator for the functional, along with tests of optimality under general joint hypotheses of functional relationships and information bases. Our tests are more flexible, and in simulations better calibrated and more powerful than existing solutions. In empirical examples, economic growth forecasts and model output for precipitation are indicative of overstatement in anticipation of extreme events.</w:t>
      </w:r>
    </w:p>
    <w:p>
      <w:pPr/>
      <w:r>
        <w:rPr>
          <w:b/>
        </w:rPr>
        <w:t>POSSIBLE 2019:</w:t>
      </w:r>
      <w:r>
        <w:t xml:space="preserve"> Argoverse: 3D Tracking and Forecasting With Rich Maps — https://doi.org/10.1109/cvpr.2019.00895</w:t>
      </w:r>
    </w:p>
    <w:p>
      <w:pPr/>
      <w:r>
        <w:rPr>
          <w:b/>
        </w:rPr>
        <w:t>Shared claim-specific concepts:</w:t>
      </w:r>
      <w:r>
        <w:t xml:space="preserve"> point, view, present; EU scope not established. This is a provisional connection, not an outcome finding.</w:t>
      </w:r>
    </w:p>
    <w:p>
      <w:pPr>
        <w:pStyle w:val="SourceNote"/>
      </w:pPr>
      <w:r>
        <w:rPr>
          <w:b/>
        </w:rPr>
        <w:t>Available abstract (not full text):</w:t>
      </w:r>
      <w:r>
        <w:t xml:space="preserve"> We present Argoverse, a dataset designed to support autonomous vehicle perception tasks including 3D tracking and motion forecasting. Argoverse includes sensor data collected by a fleet of autonomous vehicles in Pittsburgh and Miami as well as 3D tracking annotations, 300k extracted interesting vehicle trajectories, and rich semantic maps. The sensor data consists of 360 degree images from 7 cameras with overlapping fields of view, forward-facing stereo imagery, 3D point clouds from long range LiDAR, and 6-DOF pose. Our 290km of mapped lanes contain rich geometric and semantic metadata which are not currently available in any public dataset. All data is released under a Creative Commons license at Argoverse.org. In baseline experiments, we use map information such as lane direction, driveable area, and ground height to improve the accuracy of 3D object tracking. We use 3D object tracking to mine for more than 300k interesting vehicle trajectories to create a trajectory forecasting benchmark. Motion forecasting experiments ranging in complexity from classical methods (k-NN) to LSTMs demonstrate that using detailed vector maps with lane-level information substantially reduces prediction error. Our tracking and forecasting experiments represent only a superficial exploration of the potential of rich maps in robotic perception. We hope that Argoverse will enable the research commun</w:t>
      </w:r>
    </w:p>
    <w:p>
      <w:pPr/>
      <w:r>
        <w:rPr>
          <w:b/>
        </w:rPr>
        <w:t>POSSIBLE 2019:</w:t>
      </w:r>
      <w:r>
        <w:t xml:space="preserve"> Colour forecasting — https://doi.org/10.1080/00405167.2019.1659564</w:t>
      </w:r>
    </w:p>
    <w:p>
      <w:pPr/>
      <w:r>
        <w:rPr>
          <w:b/>
        </w:rPr>
        <w:t>Shared claim-specific concepts:</w:t>
      </w:r>
      <w:r>
        <w:t xml:space="preserve"> drawing, important, view, system; EU scope not established. This is a provisional connection, not an outcome finding.</w:t>
      </w:r>
    </w:p>
    <w:p>
      <w:pPr>
        <w:pStyle w:val="SourceNote"/>
      </w:pPr>
      <w:r>
        <w:rPr>
          <w:b/>
        </w:rPr>
        <w:t>Available abstract (not full text):</w:t>
      </w:r>
      <w:r>
        <w:t xml:space="preserve"> The underlying principles of colour forecasting now have a history spanning a full century. This issue of Textile Progress is somewhat timely as the challenges that industry face now differ from those of the twentieth century, in particular, the increased need to address sustainability and the increased competiveness of the global marketplace. This Textile Progress provides an overview of the historical context drawing out the importance of the role of colour forecasting in the fashion and textile industries. It provides a detailed analysis of the more-recently established and establishing trend forecasting methods with a view to thinking more innovatively about the potential of colour forecasting. It investigates the effects and impact of colour and trend forecasting with a particular focus on the consequences of the process and system on business, on consumers and on the environment. In reviewing the developments in colour forecasting, we begin with the subjective techniques highlighting the strengths and weaknesses of the approaches. The more-objective characteristics that have emerged from new developments and new thinking provide a focus on the potential for greater accuracy in colour forecasting. This issue of Textile Progress explains how and why colour forecasting is an essential component of the business of making and selling fashion garments, through merchandising, re</w:t>
      </w:r>
    </w:p>
    <w:p>
      <w:pPr/>
      <w:r>
        <w:rPr>
          <w:b/>
        </w:rPr>
        <w:t>POSSIBLE 2019:</w:t>
      </w:r>
      <w:r>
        <w:t xml:space="preserve"> Seasonal streamflow forecasts for Europe – Part 2: Sources of skill — https://doi.org/10.5194/hess-23-371-2019</w:t>
      </w:r>
    </w:p>
    <w:p>
      <w:pPr/>
      <w:r>
        <w:rPr>
          <w:b/>
        </w:rPr>
        <w:t>Shared claim-specific concepts:</w:t>
      </w:r>
      <w:r>
        <w:t xml:space="preserve"> forecasts, abstract, system; EU scope visible. This is a provisional connection, not an outcome finding.</w:t>
      </w:r>
    </w:p>
    <w:p>
      <w:pPr>
        <w:pStyle w:val="SourceNote"/>
      </w:pPr>
      <w:r>
        <w:rPr>
          <w:b/>
        </w:rPr>
        <w:t>Available abstract (not full text):</w:t>
      </w:r>
      <w:r>
        <w:t xml:space="preserve"> Abstract. Seasonal predictions can be exploited among others to optimize hydropower energy generation, navigability of rivers and irrigation management to decrease crop yield losses. This paper is the second of two papers dealing with a model-based system built to produce seasonal hydrological forecasts (WUSHP: Wageningen University Seamless Hydrological Prediction system), applied here to Europe. Whereas the first paper presents the development and the skill evaluation of the system, this paper provides explanations for the skill. In WUSHP hydrology is simulated by running the Variable Infiltration Capacity (VIC) hydrological model with meteorological forcing from bias-corrected output of ECMWF's Seasonal Forecasting System 4 (S4). WUSHP is probabilistic. For the assessment of skill, hindcast simulations (1981–2010) were carried out. To explain skill, we first looked at the forcing and found considerable skill in the precipitation forecasts of the first lead month but hardly any significant skill for later lead months. Seasonal forecasts for temperature have more skill. Skill in summer temperature is related to climate change and more or less independent of lead time. Skill in February and March is unrelated to climate change. Sources of skill in runoff were isolated with Ensemble Streamflow Prediction (ESP) experiments. These revealed that beyond the second lead month simulat</w:t>
      </w:r>
    </w:p>
    <w:p>
      <w:pPr/>
      <w:r>
        <w:rPr>
          <w:b/>
        </w:rPr>
        <w:t>POSSIBLE 2018:</w:t>
      </w:r>
      <w:r>
        <w:t xml:space="preserve"> How Can Existing Ground-Based Profiling Instruments Improve European Weather Forecasts? — https://doi.org/10.1175/bams-d-17-0231.1</w:t>
      </w:r>
    </w:p>
    <w:p>
      <w:pPr/>
      <w:r>
        <w:rPr>
          <w:b/>
        </w:rPr>
        <w:t>Shared claim-specific concepts:</w:t>
      </w:r>
      <w:r>
        <w:t xml:space="preserve"> forecasts, important, abstract; EU scope visible. This is a provisional connection, not an outcome finding.</w:t>
      </w:r>
    </w:p>
    <w:p>
      <w:pPr>
        <w:pStyle w:val="SourceNote"/>
      </w:pPr>
      <w:r>
        <w:rPr>
          <w:b/>
        </w:rPr>
        <w:t>Available abstract (not full text):</w:t>
      </w:r>
      <w:r>
        <w:t xml:space="preserve"> Abstract To realize the promise of improved predictions of hazardous weather such as flash floods, wind storms, fog, and poor air quality from high-resolution mesoscale models, the forecast models must be initialized with an accurate representation of the current state of the atmosphere, but the lowest few kilometers are hardly accessible by satellite, especially in dynamically active conditions. We report on recent European developments in the exploitation of existing ground-based profiling instruments so that they are networked and able to send data in real time to forecast centers. The three classes of instruments are i) automatic lidars and ceilometers providing backscatter profiles of clouds, aerosols, dust, fog, and volcanic ash, the last two being especially important for air traffic control; ii) Doppler wind lidars deriving profiles of wind, turbulence, wind shear, wind gusts, and low-level jets; and iii) microwave radiometers estimating profiles of temperature and humidity in nearly all weather conditions. The project includes collaboration from 22 European countries and 15 European national weather services, which involves the implementation of common operating procedures, instrument calibrations, data formats, and retrieval algorithms. Currently, data from 265 ceilometers in 19 countries are being distributed in near–real time to national weather forecast centers; th</w:t>
      </w:r>
    </w:p>
    <w:p>
      <w:pPr/>
      <w:r>
        <w:rPr>
          <w:b/>
        </w:rPr>
        <w:t>POSSIBLE 2017:</w:t>
      </w:r>
      <w:r>
        <w:t xml:space="preserve"> Summer drought predictability over Europe: empirical versus dynamical forecasts — https://doi.org/10.1088/1748-9326/aa7859</w:t>
      </w:r>
    </w:p>
    <w:p>
      <w:pPr/>
      <w:r>
        <w:rPr>
          <w:b/>
        </w:rPr>
        <w:t>Shared claim-specific concepts:</w:t>
      </w:r>
      <w:r>
        <w:t xml:space="preserve"> forecasts, important, system; EU scope visible. This is a provisional connection, not an outcome finding.</w:t>
      </w:r>
    </w:p>
    <w:p>
      <w:pPr>
        <w:pStyle w:val="SourceNote"/>
      </w:pPr>
      <w:r>
        <w:rPr>
          <w:b/>
        </w:rPr>
        <w:t>Available abstract (not full text):</w:t>
      </w:r>
      <w:r>
        <w:t xml:space="preserve"> Seasonal climate forecasts could be an important planning tool for farmers, government and insurance companies that can lead to better and timely management of seasonal climate risks. However, climate seasonal forecasts are often under-used, because potential users are not well aware of the capabilities and limitations of these products. This study aims at assessing the merits and caveats of a statistical empirical method, the ensemble streamflow prediction system (ESP, an ensemble based on reordering historical data) and an operational dynamical forecast system, the European Centre for Medium-Range Weather Forecasts—System 4 (S4) in predicting summer drought in Europe. Droughts are defined using the Standardized Precipitation Evapotranspiration Index for the month of August integrated over 6 months. Both systems show useful and mostly comparable deterministic skill. We argue that this source of predictability is mostly attributable to the observed initial conditions. S4 shows only higher skill in terms of ability to probabilistically identify drought occurrence. Thus, currently, both approaches provide useful information and ESP represents a computationally fast alternative to dynamical prediction applications for drought prediction.</w:t>
      </w:r>
    </w:p>
    <w:p>
      <w:pPr>
        <w:pStyle w:val="Heading2"/>
      </w:pPr>
      <w:r>
        <w:t>920.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2022:</w:t>
      </w:r>
      <w:r>
        <w:t xml:space="preserve"> Foresight and regulation: anticipatory governance and administrative foresight in times of transition and recovery — https://openalex.org/W7125625500</w:t>
      </w:r>
    </w:p>
    <w:p>
      <w:pPr/>
      <w:r>
        <w:rPr>
          <w:b/>
        </w:rPr>
        <w:t>Shared claim-specific concepts:</w:t>
      </w:r>
      <w:r>
        <w:t xml:space="preserve"> based, general, foresight, exercise, group, external; EU scope visible. This is a provisional connection, not an outcome finding.</w:t>
      </w:r>
    </w:p>
    <w:p>
      <w:pPr>
        <w:pStyle w:val="SourceNote"/>
      </w:pPr>
      <w:r>
        <w:rPr>
          <w:b/>
        </w:rPr>
        <w:t>Available abstract (not full text):</w:t>
      </w:r>
      <w:r>
        <w:t xml:space="preserve"> [EN] Administrative law has the challenge to protect rights without a time and general. Regulation and administrative activity, in its pursuit of the general interest, cannot renounce the creation of spaces for the exercise of executive power in a collaborative or participatory manner. Considering the possible future means adapting the rules and the activity of the administration to the current reality, without compromising the actions of governments in the future in order to respect international consensus, such as the green pact and sustainable economic recovery. Esta situación es objeto de reflexión en esta obra colectiva que constituye la primera reflexión realizada por los investigadores del proyecto de investigación I+D+I financiado por el Ministerio de ciencia e innovación, Gobierno de España con el título: Por un consenso de futuro sostenible: Gobernanza anticipatoria y Prospectiva administrativa (PROFUTURE) PID2020-116401GB-I00 Foresight offers a range of experiences for a practical application of foresight to administrative planning and policy development. These tools are based on the bureaucratic reality and the competences of public administrations. As a consequence of the health, economic and energy crises, administrations will have to face planning and decision-making for recovery. Are they prepared? Administrations make decisions with models that do not foresee t</w:t>
      </w:r>
    </w:p>
    <w:p>
      <w:pPr/>
      <w:r>
        <w:rPr>
          <w:b/>
        </w:rPr>
        <w:t>POSSIBLE 2022:</w:t>
      </w:r>
      <w:r>
        <w:t xml:space="preserve"> ANALYSIS OF SECURITY RISKS BASED ON THE INFORMATION PROVIDED IN THE GENERAL DECLARATION OF ARRIVAL IN THE EUROPEAN UNION — https://doi.org/10.31891/2307-5740-2022-312-6(1)-20</w:t>
      </w:r>
    </w:p>
    <w:p>
      <w:pPr/>
      <w:r>
        <w:rPr>
          <w:b/>
        </w:rPr>
        <w:t>Shared claim-specific concepts:</w:t>
      </w:r>
      <w:r>
        <w:t xml:space="preserve"> based, general, out, submitted; EU scope visible. This is a provisional connection, not an outcome finding.</w:t>
      </w:r>
    </w:p>
    <w:p>
      <w:pPr>
        <w:pStyle w:val="SourceNote"/>
      </w:pPr>
      <w:r>
        <w:rPr>
          <w:b/>
        </w:rPr>
        <w:t>Available abstract (not full text):</w:t>
      </w:r>
      <w:r>
        <w:t xml:space="preserve"> The purpose of the article is to study the experience of European countries regarding the peculiarities of security risk analysis based on the information provided in the general declaration of arrival and to develop proposals for bringing domestic customs legislation closer to the legislation of the European Union. The article analyzes the features of security risk analysis based on the information provided in the general declaration of arrival in the European Union. The regulatory and legal bases for the use of the general declaration of arrival in European countries have been determined. The parties responsible for submitting preliminary data to the customs authorities, the deadlines for submitting the general declaration of arrival and the amount of data that must be submitted to the customs authority, depending on the type of transport on which the goods will be imported into the customs territory of the EU, were found. It was found that the data are specified in the general declaration arrival, the so-called “security notices”, which are submitted to border customs before the import of goods into the customs territory of the European Union, enable customs authorities to carry out a risk analysis, primarily with the aim of determining the degree of security and the appropriate way of conducting customs control. Studied the procedure for assessing security risks based on th</w:t>
      </w:r>
    </w:p>
    <w:p>
      <w:pPr/>
      <w:r>
        <w:rPr>
          <w:b/>
        </w:rPr>
        <w:t>POSSIBLE 2022:</w:t>
      </w:r>
      <w:r>
        <w:t xml:space="preserve"> Prevalence of most common skin diseases in Europe: a population‐based study — https://doi.org/10.1111/jdv.18050</w:t>
      </w:r>
    </w:p>
    <w:p>
      <w:pPr/>
      <w:r>
        <w:rPr>
          <w:b/>
        </w:rPr>
        <w:t>Shared claim-specific concepts:</w:t>
      </w:r>
      <w:r>
        <w:t xml:space="preserve"> based, general, who; EU scope visible. This is a provisional connection, not an outcome finding.</w:t>
      </w:r>
    </w:p>
    <w:p>
      <w:pPr>
        <w:pStyle w:val="SourceNote"/>
      </w:pPr>
      <w:r>
        <w:rPr>
          <w:b/>
        </w:rPr>
        <w:t>Available abstract (not full text):</w:t>
      </w:r>
      <w:r>
        <w:t xml:space="preserve">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pPr/>
      <w:r>
        <w:rPr>
          <w:b/>
        </w:rPr>
        <w:t>POSSIBLE 2022:</w:t>
      </w:r>
      <w:r>
        <w:t xml:space="preserve"> Over the shoulder enforcement in European regulatory networks:the role of arbitrage mitigation mechanisms in the General Data Protection Regulation — https://doi.org/10.1080/13501763.2022.2069845</w:t>
      </w:r>
    </w:p>
    <w:p>
      <w:pPr/>
      <w:r>
        <w:rPr>
          <w:b/>
        </w:rPr>
        <w:t>Shared claim-specific concepts:</w:t>
      </w:r>
      <w:r>
        <w:t xml:space="preserve"> general, out, national; EU scope visible. This is a provisional connection, not an outcome finding.</w:t>
      </w:r>
    </w:p>
    <w:p>
      <w:pPr>
        <w:pStyle w:val="SourceNote"/>
      </w:pPr>
      <w:r>
        <w:rPr>
          <w:b/>
        </w:rPr>
        <w:t>Available abstract (not full text):</w:t>
      </w:r>
      <w:r>
        <w:t xml:space="preserve"> Across many domains, the European Union relies on a system of regulatory network-based enforcement. National agencies work with peers to carry out on-the-ground implementation of supranational law. Network-based enforcement, however, raises concerns including regulatory capture and shirking. We explore how a novel governance tool – arbitrage mitigation mechanisms – may address some of these issues. These mechanisms are formal institutional procedures, which attempt to generate equivalent application of EU law for cross border regulation, and include horizontal checks among regulatory peers as well as vertical checks that allow civil society to voice accountability concerns. To demonstrate the validity of our argument, we examine the General Data Protection Regulation (GDPR) and European privacy enforcement. Our study contributes to the understanding of enforcement and compliance in European regulatory networks and offers a more fine grained understanding of when and how European citizens’ civil liberties will be upheld.</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national, level, analysed, horizon;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2021:</w:t>
      </w:r>
      <w:r>
        <w:t xml:space="preserve"> New Strategic Foresight in EU — https://doi.org/10.15211/soveurope720215060</w:t>
      </w:r>
    </w:p>
    <w:p>
      <w:pPr/>
      <w:r>
        <w:rPr>
          <w:b/>
        </w:rPr>
        <w:t>Shared claim-specific concepts:</w:t>
      </w:r>
      <w:r>
        <w:t xml:space="preserve"> based, general, foresight, four; EU scope visible. This is a provisional connection, not an outcome finding.</w:t>
      </w:r>
    </w:p>
    <w:p>
      <w:pPr>
        <w:pStyle w:val="SourceNote"/>
      </w:pPr>
      <w:r>
        <w:rPr>
          <w:b/>
        </w:rPr>
        <w:t>Available abstract (not full text):</w:t>
      </w:r>
      <w:r>
        <w:t xml:space="preserve"> The article deals with the consideration of the concept and practice of the new strategic foresight being developed in the European Union. It summarizes the EU's experience in clarifying the conceptual framework, in the conceptual apparatus, methodology and expected practice of using strategic foresight for the development and implementation of policies to achieve the declared goals of long-term development. The main attention is paid to the analysis of four interrelated factors assessed by the European Commission as determining its target setting for sustainable development: socio-economic, geopolitical, green and digital, as well as issues of political decisions monitoring. Based on the results of the work, conclusions were made that are of fundamental importance for the formation of the prognostic component of domestic policy, with a focus on the general socio-economic and political conditions necessary to create a strategic forecasting system that is not yet available in Russia, adequate to the requirements of modern development.</w:t>
      </w:r>
    </w:p>
    <w:p>
      <w:pPr/>
      <w:r>
        <w:rPr>
          <w:b/>
        </w:rPr>
        <w:t>POSSIBLE 2021:</w:t>
      </w:r>
      <w:r>
        <w:t xml:space="preserve"> General And Limited Partnerships: Features Of Legal Regulation In Ukraine And European States — https://doi.org/10.15330/apiclu.55.130-142</w:t>
      </w:r>
    </w:p>
    <w:p>
      <w:pPr/>
      <w:r>
        <w:rPr>
          <w:b/>
        </w:rPr>
        <w:t>Shared claim-specific concepts:</w:t>
      </w:r>
      <w:r>
        <w:t xml:space="preserve"> based, general, out, national, different, direction; EU scope visible. This is a provisional connection, not an outcome finding.</w:t>
      </w:r>
    </w:p>
    <w:p>
      <w:pPr>
        <w:pStyle w:val="SourceNote"/>
      </w:pPr>
      <w:r>
        <w:rPr>
          <w:b/>
        </w:rPr>
        <w:t>Available abstract (not full text):</w:t>
      </w:r>
      <w:r>
        <w:t xml:space="preserve"> The article focuses on one of the corporate forms of entrepreneurial activity - general and limited partnerships. Limited liability companies and joint stock companies are among the most popular legal forms of companies. However, the development of Ukrainian legislation moves in the direction of creating a system of different forms of entrepreneurship, which are aimed at different needs and interests of their founders. Such forms of entrepreneurship exist and operate successfully in Europe. Carrying out a comparative analysis in the article allows the author to confirm the existing thesis that there is no single vector in European countries concerning the legal status of these partnerships. Some states define these partnerships as legal entities, others - as a form of joint business activity. It is emphasized in the article that the European legal space is characterized by the use of the concept of defective legal entity. The author perceives any of these European approaches, but points to the need for its consistent reflection in all legal acts that determine the status of general and limited partnerships. The article supports the assertion formed in the scientific literature about the criticism of domestic legislation on general and limited partnerships. Such criticism concerns to those norms of Ukrainian legislation, which use untypical provisions for legal entities. All exi</w:t>
      </w:r>
    </w:p>
    <w:p>
      <w:pPr/>
      <w:r>
        <w:rPr>
          <w:b/>
        </w:rPr>
        <w:t>POSSIBLE 2020:</w:t>
      </w:r>
      <w:r>
        <w:t xml:space="preserve"> Determinants of Suicidality in the European General Population: A Systematic Review and Meta-Analysis — https://doi.org/10.3390/ijerph17114115</w:t>
      </w:r>
    </w:p>
    <w:p>
      <w:pPr/>
      <w:r>
        <w:rPr>
          <w:b/>
        </w:rPr>
        <w:t>Shared claim-specific concepts:</w:t>
      </w:r>
      <w:r>
        <w:t xml:space="preserve"> general, carried, out; EU scope visible. This is a provisional connection, not an outcome finding.</w:t>
      </w:r>
    </w:p>
    <w:p>
      <w:pPr>
        <w:pStyle w:val="SourceNote"/>
      </w:pPr>
      <w:r>
        <w:rPr>
          <w:b/>
        </w:rPr>
        <w:t>Available abstract (not full text):</w:t>
      </w:r>
      <w:r>
        <w:t xml:space="preserve"> Close to one million people commit suicide each year, with suicidal attempts being the main risk factor for suicide. The aim of this systematic review and meta-analysis is to achieve a greater understanding of suicidality in the general population of Europe by studying associated factors and their statistical significance with suicidality, as well as the effect of the temporal moment in which suicidality is observed in a relationship. A search strategy was carried out in electronic databases: Proquest's Psychology Database, Scopus, PsycINFO, Medline and Embase. Odds ratios (ORs), publication bias, influential studies on heterogeneity and analysis moderators were calculated. Twenty-six studies were included after meeting the inclusion criteria. Factors statistically associated with suicidality are female gender, age over 65 years, unemployment, low social support, adulthood adversity, childhood adversity, family history of mental disorder, any affective disorder, major depression, anxiety/stress/somatoform disorders, tobacco and substance use, any mental disorder and body mass index. As a limitation, a high heterogeneity between studies was found. Factors associated with suicidality in the general population are relevant for understanding the suicidal phenomenon.</w:t>
      </w:r>
    </w:p>
    <w:p>
      <w:pPr>
        <w:pStyle w:val="Heading2"/>
      </w:pPr>
      <w:r>
        <w:t>921.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2020:</w:t>
      </w:r>
      <w:r>
        <w:t xml:space="preserve"> The Making of the New European Wind Atlas – Part 2: Production and evaluation — https://doi.org/10.5194/gmd-13-5079-2020</w:t>
      </w:r>
    </w:p>
    <w:p>
      <w:pPr/>
      <w:r>
        <w:rPr>
          <w:b/>
        </w:rPr>
        <w:t>Shared claim-specific concepts:</w:t>
      </w:r>
      <w:r>
        <w:t xml:space="preserve"> present, set, all, two; EU scope visible. This is a provisional connection, not an outcome finding.</w:t>
      </w:r>
    </w:p>
    <w:p>
      <w:pPr>
        <w:pStyle w:val="SourceNote"/>
      </w:pPr>
      <w:r>
        <w:rPr>
          <w:b/>
        </w:rPr>
        <w:t>Available abstract (not full text):</w:t>
      </w:r>
      <w:r>
        <w:t xml:space="preserve"> Abstract. This is the second of two papers that document the creation of the New European Wind Atlas (NEWA). In Part 1, we described the sensitivity experiments and accompanying evaluation done to arrive at the final mesoscale model setup used to produce the mesoscale wind atlas. In this paper, Part 2, we document how we made the final wind atlas product, covering both the production of the mesoscale climatology generated with the Weather Research and Forecasting (WRF) model and the microscale climatology generated with the Wind Atlas Analysis and Applications Program (WAsP). The paper includes a detailed description of the technical and practical aspects that went into running the mesoscale simulations and the downscaling using WAsP. We show the main results from the final wind atlas and present a comprehensive evaluation of each component of the NEWA model chain using observations from a large set of tall masts located all over Europe. The added value of the WRF and WAsP downscaling of wind climatologies is evaluated relative to the performance of the driving ERA5 reanalysis and shows that the WRF downscaling reduces the mean wind speed bias and spread relative to that of ERA5 from −1.50 ± 1.30 to 0.02 ± 0.78 ms−1. The WAsP downscaling has an added positive impact relative to that of the WRF model in simple terrain. In complex terrain, where the assumptions of the linearised </w:t>
      </w:r>
    </w:p>
    <w:p>
      <w:pPr/>
      <w:r>
        <w:rPr>
          <w:b/>
        </w:rPr>
        <w:t>POSSIBLE 2020:</w:t>
      </w:r>
      <w:r>
        <w:t xml:space="preserve"> Evidence for reducing cancer-specific mortality due to screening for breast cancer in Europe: A systematic review — https://doi.org/10.1016/j.ejca.2019.12.010</w:t>
      </w:r>
    </w:p>
    <w:p>
      <w:pPr/>
      <w:r>
        <w:rPr>
          <w:b/>
        </w:rPr>
        <w:t>Shared claim-specific concepts:</w:t>
      </w:r>
      <w:r>
        <w:t xml:space="preserve"> reducing, all, two; EU scope visible. This is a provisional connection, not an outcome finding.</w:t>
      </w:r>
    </w:p>
    <w:p>
      <w:pPr>
        <w:pStyle w:val="SourceNote"/>
      </w:pPr>
      <w:r>
        <w:rPr>
          <w:b/>
        </w:rPr>
        <w:t>Available abstract (not full text):</w:t>
      </w:r>
      <w:r>
        <w:t xml:space="preserve"> BACKGROUND: The aim of this study was to quantify the impact of organised mammography screening on breast cancer mortality across European regions. Therefore, a systematic review was performed including different types of studies from all European regions and stringently used clearly defined quality appraisal to summarise the best evidence. METHODS: Six databases were searched including Embase, Medline and Web of Science from inception to March 2018. To identify all eligible studies which assessed the effect of organised screening on breast cancer mortality, two reviewers independently applied predefined inclusion and exclusion criteria. Original studies in English with a minimum follow-up of five years that were randomised controlled trials (RCTs) or observational studies were included. The Cochrane risk of bias instrument and the Newcastle-Ottawa Scale were used to assess the risk of bias. RESULTS: Of the 5015 references initially retrieved, 60 were included in the final analysis. Those comprised 36 cohort studies, 17 case-control studies and 7 RCTs. None were from Eastern Europe. The quality of the included studies varied: Nineteen of these studies were of very good or good quality. Of those, the reduction in breast cancer mortality in attenders versus non-attenders ranged between 33% and 43% (Northern Europe), 43%-45% (Southern Europe) and 12%-58% (Western Europe). The esti</w:t>
      </w:r>
    </w:p>
    <w:p>
      <w:pPr/>
      <w:r>
        <w:rPr>
          <w:b/>
        </w:rPr>
        <w:t>POSSIBLE 2016:</w:t>
      </w:r>
      <w:r>
        <w:t xml:space="preserve"> Evaluation of European air quality modelled by CAMx including the volatility basis set scheme — https://doi.org/10.5194/acp-16-10313-2016</w:t>
      </w:r>
    </w:p>
    <w:p>
      <w:pPr/>
      <w:r>
        <w:rPr>
          <w:b/>
        </w:rPr>
        <w:t>Shared claim-specific concepts:</w:t>
      </w:r>
      <w:r>
        <w:t xml:space="preserve"> set, nitrogen, emissions, anthropogenic, all, two; EU scope visible. This is a provisional connection, not an outcome finding.</w:t>
      </w:r>
    </w:p>
    <w:p>
      <w:pPr>
        <w:pStyle w:val="SourceNote"/>
      </w:pPr>
      <w:r>
        <w:rPr>
          <w:b/>
        </w:rPr>
        <w:t>Available abstract (not full text):</w:t>
      </w:r>
      <w:r>
        <w:t xml:space="preserve">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pPr/>
      <w:r>
        <w:rPr>
          <w:b/>
        </w:rPr>
        <w:t>POSSIBLE 2016:</w:t>
      </w:r>
      <w:r>
        <w:t xml:space="preserve"> Reassessing changes in diurnal temperature range: Intercomparison and evaluation of existing global data set estimates — https://doi.org/10.1002/2015jd024584</w:t>
      </w:r>
    </w:p>
    <w:p>
      <w:pPr/>
      <w:r>
        <w:rPr>
          <w:b/>
        </w:rPr>
        <w:t>Shared claim-specific concepts:</w:t>
      </w:r>
      <w:r>
        <w:t xml:space="preserve"> set, all, two; EU scope visible. This is a provisional connection, not an outcome finding.</w:t>
      </w:r>
    </w:p>
    <w:p>
      <w:pPr>
        <w:pStyle w:val="SourceNote"/>
      </w:pPr>
      <w:r>
        <w:rPr>
          <w:b/>
        </w:rPr>
        <w:t>Available abstract (not full text):</w:t>
      </w:r>
      <w:r>
        <w:t xml:space="preserve"> Abstract Changes in diurnal temperature range (DTR) over global land areas are compared from a broad range of independent data sets. All data sets agree that global‐mean DTR has decreased significantly since 1950, with most of that decrease occurring over 1960–1980. The since‐1979 trends are not significant, with inter‐data set disagreement even over the sign of global changes. Inter‐data set spread becomes greater regionally and in particular at the grid box level. Despite this, there is general agreement that DTR decreased in North America, Europe, and Australia since 1951, with this decrease being partially reversed over Australia and Europe since the early 1980s. There is substantive disagreement between data sets prior to the middle of the twentieth century, particularly over Europe, which precludes making any meaningful conclusions about DTR changes prior to 1950, either globally or regionally. Several variants that undertake a broad range of approaches to postprocessing steps of gridding and interpolation were analyzed for two of the data sets. These choices have a substantial influence in data sparse regions or periods. The potential of further insights is therefore inextricably linked with the efficacy of data rescue and digitization for maximum and minimum temperature series prior to 1950 everywhere and in data sparse regions throughout the period of record. Over Nort</w:t>
      </w:r>
    </w:p>
    <w:p>
      <w:pPr/>
      <w:r>
        <w:rPr>
          <w:b/>
        </w:rPr>
        <w:t>POSSIBLE 2016:</w:t>
      </w:r>
      <w:r>
        <w:t xml:space="preserve"> Reducing burden of disease from residential indoor air exposures in Europe (HEALTHVENT project) — https://doi.org/10.1186/s12940-016-0101-8</w:t>
      </w:r>
    </w:p>
    <w:p>
      <w:pPr/>
      <w:r>
        <w:rPr>
          <w:b/>
        </w:rPr>
        <w:t>Shared claim-specific concepts:</w:t>
      </w:r>
      <w:r>
        <w:t xml:space="preserve"> present, reducing, emissions, all; EU scope visible. This is a provisional connection, not an outcome finding.</w:t>
      </w:r>
    </w:p>
    <w:p>
      <w:pPr>
        <w:pStyle w:val="SourceNote"/>
      </w:pPr>
      <w:r>
        <w:rPr>
          <w:b/>
        </w:rPr>
        <w:t>Available abstract (not full text):</w:t>
      </w:r>
      <w:r>
        <w:t xml:space="preserve"> BACKGROUND: The annual burden of disease caused indoor air pollution, including polluted outdoor air used to ventilate indoor spaces, is estimated to correspond to a loss of over 2 million healthy life years in the European Union (EU). Based on measurements of the European Environment Agency (EEA), approximately 90 % of EU citizens live in areas where the World Health Organization (WHO) guidelines for air quality of particulate matter sized &lt; 2.5 mm (PM2.5) are not met. Since sources of pollution reside in both indoor and outdoor air, selecting the most appropriate ventilation strategy is not a simple and straightforward task. METHODS: A framework for developing European health-based ventilation guidelines was created in 2010-2013 in the EU-funded HEALTHVENT project. As a part of the project, the potential efficiency of control policies to health effects caused by residential indoor exposures of fine particulate matter (PM2.5), outdoor bioaerosols, volatile organic compounds (VOC), carbon oxide (CO) radon and dampness was estimated. The analysis was based on scenario comparison, using an outdoor-indoor mass-balance model and varying the ventilation rates. Health effects were estimated with burden of diseases (BoD) calculations taking into account asthma, cardiovascular (CV) diseases, acute toxication, respiratory infections, lung cancer and chronic obstructive pulmonary disease</w:t>
      </w:r>
    </w:p>
    <w:p>
      <w:pPr/>
      <w:r>
        <w:rPr>
          <w:b/>
        </w:rPr>
        <w:t>POSSIBLE 2015:</w:t>
      </w:r>
      <w:r>
        <w:t xml:space="preserve"> Histopathological evaluation of thrombus in patients presenting with stent thrombosis. A multicenter European study: a report of the prevention of late stent thrombosis by an interdisciplinary global European effort consortium — https://doi.org/10.1093/eurheartj/ehv419</w:t>
      </w:r>
    </w:p>
    <w:p>
      <w:pPr/>
      <w:r>
        <w:rPr>
          <w:b/>
        </w:rPr>
        <w:t>Shared claim-specific concepts:</w:t>
      </w:r>
      <w:r>
        <w:t xml:space="preserve"> present, evaluate, all; EU scope visible. This is a provisional connection, not an outcome finding.</w:t>
      </w:r>
    </w:p>
    <w:p>
      <w:pPr>
        <w:pStyle w:val="SourceNote"/>
      </w:pPr>
      <w:r>
        <w:rPr>
          <w:b/>
        </w:rPr>
        <w:t>Available abstract (not full text):</w:t>
      </w:r>
      <w:r>
        <w:t xml:space="preserve"> BACKGROUND: Stent thrombosis (ST) is a rare but serious complication following percutaneous coronary intervention. Analysis of thrombus composition from patients undergoing catheter thrombectomy may provide important insights into the pathological processes leading to thrombus formation. We performed a large-scale multicentre study to evaluate thrombus specimens in patients with ST across Europe. METHODS: Patients presenting with ST and undergoing thrombus aspiration were eligible for inclusion. Thrombus collection was performed according to a standardized protocol and specimens were analysed histologically at a core laboratory. Serial tissue cross sections were stained with haematoxylin-eosin (H&amp;E), Carstairs and Luna. Immunohistochemistry was performed to identify leukocyte subsets, prothrombotic neutrophil extracellular traps (NETs), erythrocytes, platelets, and fibrinogen. RESULTS: Overall 253 thrombus specimens were analysed; 79 (31.2%) from patients presenting with early ST, 174 (68.8%) from late ST; 79 (31.2%) were from bare metal stents, 166 (65.6%) from drug-eluting stents, 8 (3.2%) were from stents of unknown type. Thrombus specimens displayed heterogeneous morphology with platelet-rich thrombus and fibrin/fibrinogen fragments most abundant; mean platelet coverage was 57% of thrombus area. Leukocyte infiltrations were hallmarks of both early and late ST (early: 2260 ±</w:t>
      </w:r>
    </w:p>
    <w:p>
      <w:pPr/>
      <w:r>
        <w:rPr>
          <w:b/>
        </w:rPr>
        <w:t>POSSIBLE 2015:</w:t>
      </w:r>
      <w:r>
        <w:t xml:space="preserve"> Evaluation of the UP4FUN Intervention: A Cluster Randomized Trial to Reduce and Break Up Sitting Time in European 10-12-Year-Old Children — https://doi.org/10.1371/journal.pone.0122612</w:t>
      </w:r>
    </w:p>
    <w:p>
      <w:pPr/>
      <w:r>
        <w:rPr>
          <w:b/>
        </w:rPr>
        <w:t>Shared claim-specific concepts:</w:t>
      </w:r>
      <w:r>
        <w:t xml:space="preserve"> present, evaluate, aiming, reducing, all; EU scope visible. This is a provisional connection, not an outcome finding.</w:t>
      </w:r>
    </w:p>
    <w:p>
      <w:pPr>
        <w:pStyle w:val="SourceNote"/>
      </w:pPr>
      <w:r>
        <w:rPr>
          <w:b/>
        </w:rPr>
        <w:t>Available abstract (not full text):</w:t>
      </w:r>
      <w:r>
        <w:t xml:space="preserve"> BACKGROUND: The UP4FUN intervention is a family-involved school-based intervention aiming at reducing and breaking up sitting time at home (with special emphasis on screen time), and breaking up sitting time in school among 10-12 year olds in Europe. The purpose of the present paper was to evaluate its short term effects. METHODOLOGY/PRINCIPAL FINDINGS: A total of 3147 pupils from Belgium, Germany, Greece, Hungary and Norway participated in a school-randomized controlled trial. The intervention included 1-2 school lessons per week for a period of six weeks, along with assignments for the children and their parents. Screen time and breaking up sitting time were registered by self-report and total sedentary time and breaking up sitting time by accelerometry. The effect of the intervention on these behaviors was evaluated by multilevel regression analyses. All analyses were adjusted for baseline values and gender. Significance level was p≤0.01. No significant intervention effects were observed, neither for self-reported TV/DVD or computer/game console time, nor for accelerometer-assessed total sedentary time and number of breaks in sitting time. The intervention group, however, reported more positive attitudes towards (β = 0.25 (95% CI 0.11, 0.38)) and preferences/liking for (β = 0.20 (95% CI 0.08, 0.32)) breaking up sitting time than the control group. CONCLUSIONS/SIGNIFICANCE: N</w:t>
      </w:r>
    </w:p>
    <w:p>
      <w:pPr>
        <w:pStyle w:val="Heading2"/>
      </w:pPr>
      <w:r>
        <w:t>922.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r>
        <w:rPr>
          <w:b/>
        </w:rPr>
        <w:t>POSSIBLE 2025:</w:t>
      </w:r>
      <w:r>
        <w:t xml:space="preserve"> Protectionism's adverse impact on renewable energy deployment: evidence from the European Union's import duties on China-made photovoltaic panels — https://doi.org/10.1016/j.enpol.2025.114789</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pPr/>
      <w:r>
        <w:rPr>
          <w:b/>
        </w:rPr>
        <w:t>POSSIBLE 2025:</w:t>
      </w:r>
      <w:r>
        <w:t xml:space="preserve"> The Long‐term Socioeconomic Impacts of Renewable Energy Deployment: Lessons From Case Studies in European Rural Regions — https://doi.org/10.1111/jors.12775</w:t>
      </w:r>
    </w:p>
    <w:p>
      <w:pPr/>
      <w:r>
        <w:rPr>
          <w:b/>
        </w:rPr>
        <w:t>Shared claim-specific concepts:</w:t>
      </w:r>
      <w:r>
        <w:t xml:space="preserve"> deployment, renewable, energy, both, regions, energies; EU scope visible. This is a provisional connection, not an outcome finding.</w:t>
      </w:r>
    </w:p>
    <w:p>
      <w:pPr>
        <w:pStyle w:val="SourceNote"/>
      </w:pPr>
      <w:r>
        <w:rPr>
          <w:b/>
        </w:rPr>
        <w:t>Available abstract (not full text):</w:t>
      </w:r>
      <w:r>
        <w:t xml:space="preserve"> ABSTRACT The new environmental and geopolitical situation has led to the need for a change in the current energy model. The infrastructures associated with renewable energies may represent an opportunity for economic growth, employment generation, and population recovery in rural territories. This study evaluates the retrospective long‐term impacts that renewable energy installations have had on several rural regions in Europe. To that end, we develop a novel database on the annual installed capacity of renewables for European NUTS2 regions. This includes data on wind and photovoltaic energy, allowing us to capture both the scale and growth of renewable energy infrastructure over time in European regions. The data set spans multiple decades. Finally, we evaluate the socioeconomic effects these installations have on Europe's renewable energy capacity intensive rural regions analysing the different intra‐ and interregional impacts, using the Synthetic Control Method.</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north, africa, electricity;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Renewable energy, energy efficiency, and economic complexity in the middle East and North Africa: A panel data analysis — https://doi.org/10.1016/j.energy.2024.133300</w:t>
      </w:r>
    </w:p>
    <w:p>
      <w:pPr/>
      <w:r>
        <w:rPr>
          <w:b/>
        </w:rPr>
        <w:t>Shared claim-specific concepts:</w:t>
      </w:r>
      <w:r>
        <w:t xml:space="preserve"> renewable, energy, technologies, north, africa; EU scope not established. This is a provisional connection, not an outcome finding.</w:t>
      </w:r>
    </w:p>
    <w:p>
      <w:pPr>
        <w:pStyle w:val="SourceNote"/>
      </w:pPr>
      <w:r>
        <w:rPr>
          <w:b/>
        </w:rPr>
        <w:t>Available abstract (not full text):</w:t>
      </w:r>
      <w:r>
        <w:t xml:space="preserve"> This paper aims to investigate how economic complexity and structural transformation affect energy security. This study differs from previous research by focusing on energy efficiency and renewable energy transition as indicators of energy security. The employed methods include econometric techniques such as Panel-Corrected Standard Errors, Driscoll and Kraay's Spatial Correlation Consistent (SCC) method, and Generalized Least Squares, covering data from the Middle East and North Africa (MENA) countries between 1990 and 2017. The results show that economic complexity has a negative effect on energy efficiency but a positive impact on renewable energy. However, economic growth positively affects energy efficiency but negatively influences renewable energy. These results imply that economic complexity is energy-intensive but green, whereas economic growth is energy-saving but brown. The comparative analysis reveals that the negative effects of economic complexity and growth are larger than their positive effects, highlighting the necessity of restructuring economic activities and sectors. Accordingly, decision-makers should encourage the utilization of more energy-efficient technologies in economic activities and production, while promoting renewable energy consumption to enhance energy security in the MENA region. • Economic complexity is energy-intensive while promoting renewab</w:t>
      </w:r>
    </w:p>
    <w:p>
      <w:pPr/>
      <w:r>
        <w:rPr>
          <w:b/>
        </w:rPr>
        <w:t>POSSIBLE 2024:</w:t>
      </w:r>
      <w:r>
        <w:t xml:space="preserve"> Investment in Renewable Energy: A Case Study of North Africa — https://doi.org/10.65418/ajapas.vi.1027</w:t>
      </w:r>
    </w:p>
    <w:p>
      <w:pPr/>
      <w:r>
        <w:rPr>
          <w:b/>
        </w:rPr>
        <w:t>Shared claim-specific concepts:</w:t>
      </w:r>
      <w:r>
        <w:t xml:space="preserve"> renewable, energy, north, africa, large, high; EU scope not established. This is a provisional connection, not an outcome finding.</w:t>
      </w:r>
    </w:p>
    <w:p>
      <w:pPr>
        <w:pStyle w:val="SourceNote"/>
      </w:pPr>
      <w:r>
        <w:rPr>
          <w:b/>
        </w:rPr>
        <w:t>Available abstract (not full text):</w:t>
      </w:r>
      <w:r>
        <w:t xml:space="preserve"> This research paper aims to shed light on the reality of investment in renewable energies in North African countries, exploring their fields and investment prospects. The study concluded that the region has an ideal potential to create an integrated system that will produce renewable energy, liberate vast quantities of water, air condition living and working spaces, and create jobs without adding to the burden on Mother Earth. Large areas of North Africa with high levels of sunshine and high-quality solar radiation are potential sites to exploit the sun's lending of energy free of charge.</w:t>
      </w:r>
    </w:p>
    <w:p>
      <w:pPr/>
      <w:r>
        <w:rPr>
          <w:b/>
        </w:rPr>
        <w:t>POSSIBLE 2023:</w:t>
      </w:r>
      <w:r>
        <w:t xml:space="preserve"> Renewable energy deployment in Europe: Do politics matter? — https://doi.org/10.1007/s10668-023-03839-0</w:t>
      </w:r>
    </w:p>
    <w:p>
      <w:pPr/>
      <w:r>
        <w:rPr>
          <w:b/>
        </w:rPr>
        <w:t>Shared claim-specific concepts:</w:t>
      </w:r>
      <w:r>
        <w:t xml:space="preserve"> deployment, renewable, energy, analyzes; EU scope visible. This is a provisional connection, not an outcome finding.</w:t>
      </w:r>
    </w:p>
    <w:p>
      <w:pPr>
        <w:pStyle w:val="SourceNote"/>
      </w:pPr>
      <w:r>
        <w:rPr>
          <w:b/>
        </w:rPr>
        <w:t>Available abstract (not full text):</w:t>
      </w:r>
      <w:r>
        <w:t xml:space="preserve"> Abstract This study analyzes non-hydroelectric renewable capacity across 27 European countries from 2000 to 2020, using advanced econometric techniques like the Dumitrescu and Hurlin panel Granger non-causality method, Panel Autoregressive Distributed Lag and Panel Quantile Autoregressive Distributed Lag estimations. This investigation reveals complex relationships extending beyond immediate variables. These relationships, rooted in pairwise causalities and broader interactions, underpin observed phenomena. Causality tests show that achieving non-hydroelectric renewable capacity is a long-term endeavor, emphasizing persistent policy approaches for effective energy transition. Three key variables emerge as potent policy drivers: maintaining an environment conducive to economic freedom, fostering financial development, and driving non-hydroelectric renewable patents’ research and development. These variables play a pivotal role in capacity expansion. Additionally, the findings of this empirical investigation spotlight the role of political orientations. Leftist governments have lagged in prioritizing energy transition, prompting questions about neglecting environmental concerns and necessitating comprehensive policy reform. In essence, this study offers novel insights into non-hydroelectric renewable energy deployment. By unraveling complex relationships, emphasizing persistent p</w:t>
      </w:r>
    </w:p>
    <w:p>
      <w:pPr/>
      <w:r>
        <w:rPr>
          <w:b/>
        </w:rPr>
        <w:t>POSSIBLE 2023:</w:t>
      </w:r>
      <w:r>
        <w:t xml:space="preserve"> Comparison of the European Regulatory Framework for the deployment of Offshore Renewable Energy Project — https://doi.org/10.36688/ewtec-2023-335</w:t>
      </w:r>
    </w:p>
    <w:p>
      <w:pPr/>
      <w:r>
        <w:rPr>
          <w:b/>
        </w:rPr>
        <w:t>Shared claim-specific concepts:</w:t>
      </w:r>
      <w:r>
        <w:t xml:space="preserve"> deployment, renewable, energy, both, regions, generation; EU scope visible. This is a provisional connection, not an outcome finding.</w:t>
      </w:r>
    </w:p>
    <w:p>
      <w:pPr>
        <w:pStyle w:val="SourceNote"/>
      </w:pPr>
      <w:r>
        <w:rPr>
          <w:b/>
        </w:rPr>
        <w:t>Available abstract (not full text):</w:t>
      </w:r>
      <w:r>
        <w:t xml:space="preserve"> The REPower EU Plan has set a minimum of total renewable energy generation capacity of 1,236 GW by 2030. Achieving this target, and emission reductions by 2050, will require the extensive deployment of offshore energy facilities, especially offshore wind (OW) and wave energy converters (WECs). However, an incomplete and sometimes unfavourable regulatory framework still jeopardises the feasibility of both prototypes and large-scale installations. There are, for example, significant differences between the permitting procedures in different Member States and regions. Moreover, following the transposition of the Directive 2014/89/EU “establishing a framework for maritime spatial planning”, important differences pertain to the way environmental and heritage protection is dealt with. An overview of the offshore permitting schemes for offshore wind in ten European counties (Germany, Denmark, Scotland, Sweden, France, Spain, Portugal, Italy, Belgium, and Ireland) is provided, demonstrating a mismatch between the current members’ complex regulations and the future offshore wind targets. Using customised key performance indicators, we describe and assess the extent to which the regulatory frameworks are conducive to installing industrial devices in achieving the country’s 2030 target. Finally, we propose actions to facilitate the installation of OW while ensuring both environmental prot</w:t>
      </w:r>
    </w:p>
    <w:p>
      <w:pPr>
        <w:pStyle w:val="Heading2"/>
      </w:pPr>
      <w:r>
        <w:t>923.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r>
        <w:rPr>
          <w:b/>
        </w:rPr>
        <w:t>POSSIBLE 2021:</w:t>
      </w:r>
      <w:r>
        <w:t xml:space="preserve"> Reshaping Europe in complex Covid-19 times Need for cultural sensitivity in the European reconstruction process — https://doi.org/10.51149/roea.1.2021.1</w:t>
      </w:r>
    </w:p>
    <w:p>
      <w:pPr/>
      <w:r>
        <w:rPr>
          <w:b/>
        </w:rPr>
        <w:t>Shared claim-specific concepts:</w:t>
      </w:r>
      <w:r>
        <w:t xml:space="preserve"> sensitivity, need; EU scope visible. This is a provisional connection, not an outcome finding.</w:t>
      </w:r>
    </w:p>
    <w:p>
      <w:pPr>
        <w:pStyle w:val="SourceNote"/>
      </w:pPr>
      <w:r>
        <w:rPr>
          <w:b/>
        </w:rPr>
        <w:t>Available abstract (not full text):</w:t>
      </w:r>
      <w:r>
        <w:t xml:space="preserve"> The main aim of the article is to argue for a values-driven and cultural sensitivity approach in responding to the current challenges for a true European integration process, made even more necessary with the Covid-19 pandemic. In particular, the paper proposes a number of reflections and policy suggestions on the need of reshaping Europe in the turbulent Covid-19 times. In doing so, a four-section approach is adopted. The first section puts the European future in perspective. It refers to the historical development of the integration process from a mainly economic project to a sui generis international organisation and briefly overviews the current challenges and opportunities faced by the European Union. The second section identifies two major fundamental guiding lines for the EU’s future: the strengthening of a values-oriented European future, and development of a true European citizenship. The third section emphasises European solidarity as one of the crucial aspects of a sustainable and values-driven European future. This is especially evident in the necessarily cross-border approach to the Corona pandemic. The final section argues for cultural sensitivity in the EU reconstruction process in dealing with the Covid-19 crisis.</w:t>
      </w:r>
    </w:p>
    <w:p>
      <w:pPr/>
      <w:r>
        <w:rPr>
          <w:b/>
        </w:rPr>
        <w:t>POSSIBLE 2021:</w:t>
      </w:r>
      <w:r>
        <w:t xml:space="preserve"> Probabilistic Inverse Method for Source Localization Applied to ETEX and the 2017 Case of Ru-106 including Analyses of Sensitivity to Measurement Data — https://doi.org/10.3390/atmos12121567</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In recent years, cases of unexplained, elevated levels of radioactive particles have demonstrated an increasing need for efficient and robust source localization methods. In this study, a Bayesian method for source localization is developed and applied to two cases. First, the method is validated against the European tracer experiment (ETEX) and then applied to the still unaccounted for release of Ru-106 in the fall of 2017. The ETEX dataset, however, differs significantly from the Ru-106 dataset with regard to time resolution and the distance from the release site to the nearest measurements. Therefore, sensitivity analyses are conducted in order to test the method’s sensitivity to these parameters. The analyses show that the resulting source localization depends on both the observed temporal resolution and the existence of sampling stations close to the source. However, the method is robust, in the sense that reducing the amount of information in the dataset merely reduces the accuracy, and hence, none of the results are contradictory. When applied to the Ru-106 case, the results indicate that the Southern Ural region is the most plausible release area, and, as hypothesized by other studies, that the Mayak nuclear facility is the most likely release location.</w:t>
      </w:r>
    </w:p>
    <w:p>
      <w:pPr/>
      <w:r>
        <w:rPr>
          <w:b/>
        </w:rPr>
        <w:t>POSSIBLE 2020:</w:t>
      </w:r>
      <w:r>
        <w:t xml:space="preserve"> Sensitivity Analysis in Probabilistic Structural Design: A Comparison of Selected Techniques — https://doi.org/10.3390/su12114788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Although more and more reliability-oriented sensitivity analysis (ROSA) techniques are now available, review and comparison articles of ROSA are absent. In civil engineering, many of the latest indices have never been used to analyse structural reliability for very small failure probability. This article aims to analyse and compare different sensitivity analysis (SA) techniques and discusses their strengths and weaknesses. For this purpose, eight selected sensitivity indices are first described and then applied in two different test cases. Four ROSA type indices are directly oriented on the failure probability or reliability index beta, and four other indices (of a different type) are oriented on the output of the limit state function. The case study and results correspond to cases under common engineering assumptions, where only two independent input variables with Gaussian distribution of the load action and the resistance are applied in the ultimate limit state. The last section of the article is dedicated to the analysis of the different results. Large differences between first-order sensitivity indices and very strong interaction effects obtained from ROSA are observed for very low values of failure probability. The obtained numerical results show that ROSA methods lack a common platform that clearly interprets the relationship of indices to their information value. This p</w:t>
      </w:r>
    </w:p>
    <w:p>
      <w:pPr/>
      <w:r>
        <w:rPr>
          <w:b/>
        </w:rPr>
        <w:t>POSSIBLE 2019:</w:t>
      </w:r>
      <w:r>
        <w:t xml:space="preserve"> An experimental sensitivity comparison of the schlieren and background-oriented schlieren techniques applied to hypersonic flow — https://doi.org/10.1088/1361-6501/ab1582</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An experimental study was performed to evaluate the spatial resolution, sensitivity and dynamic range of schlieren and background-oriented schlieren (BOS) applied to hypersonic flows with multiple density gradients. For a single Mach number, shock profile extracts for three values of freestream density are compared. Three processing metrics are proposed for BOS to optimise the sharpness of captured shocks and minimise processing blur are presented. The BOS results have a lower spatial resolution and sharpness than the schlieren images, but captured the model flow field features that were resolved by schlieren. A higher dynamic range was afforded for BOS due to the user-determined synthetic knife edge cut-off.</w:t>
      </w:r>
    </w:p>
    <w:p>
      <w:pPr/>
      <w:r>
        <w:rPr>
          <w:b/>
        </w:rPr>
        <w:t>POSSIBLE 2017:</w:t>
      </w:r>
      <w:r>
        <w:t xml:space="preserve"> Sensitivity or Bayesian model updating: a comparison of techniques using the DLR AIRMOD test data — https://doi.org/10.1007/s00419-017-1233-1</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Deterministic model updating is now a mature technology widely applied to large-scale industrial structures. It is concerned with the calibration of the parameters of a single model based on one set of test data. It is, of course, well known that different analysts produce different finite element models, make different physics-based assumptions, and parameterize their models differently. Also, tests carried out on the same structure, by different operatives, at different times, under different ambient conditions produce different results. There is no unique model and no unique data. Therefore, model updating needs to take account of modeling and test-data variability. Much emphasis is now placed on what has become known as stochastic model updating where data are available from multiple nominally identical test structures. In this paper two currently prominent stochastic model updating techniques (sensitivity-based updating and Bayesian model updating) are described and applied to the DLR AIRMOD structure.</w:t>
      </w:r>
    </w:p>
    <w:p>
      <w:pPr>
        <w:pStyle w:val="Heading2"/>
      </w:pPr>
      <w:r>
        <w:t>924.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2023:</w:t>
      </w:r>
      <w:r>
        <w:t xml:space="preserve"> Indigenous Mentorship for the Health Sciences: An Appraisal of a Contemporary Model by Indigenous Stakeholders — https://doi.org/10.1080/10401334.2023.2230577</w:t>
      </w:r>
    </w:p>
    <w:p>
      <w:pPr/>
      <w:r>
        <w:rPr>
          <w:b/>
        </w:rPr>
        <w:t>Shared claim-specific concepts:</w:t>
      </w:r>
      <w:r>
        <w:t xml:space="preserve"> indigenous, primary; EU scope not established. This is a provisional connection, not an outcome finding.</w:t>
      </w:r>
    </w:p>
    <w:p>
      <w:pPr>
        <w:pStyle w:val="SourceNote"/>
      </w:pPr>
      <w:r>
        <w:rPr>
          <w:b/>
        </w:rPr>
        <w:t>Available abstract (not full text):</w:t>
      </w:r>
      <w:r>
        <w:t xml:space="preserve"> Construct: In 2021, Murry et al. put forward a model of Indigenous mentorship within the health sciences based on the behaviors of Indigenous mentors toward their Indigenous mentees. This study explored mentees’ endorsements and/or criticisms of the IM model and how IM constructs and behaviors described in the model benefited them. Background: Models of Indigenous mentorship have been developed previously yet have not yet been empirically examined, restricting our ability to measure or make claims as to their consequences, correlates, and antecedents. Approach: Interviews with six Indigenous mentees asked about their: 1) resonance with the model, 2) stories related to mentors’ behaviors, 3) perceived benefits of their mentors’ behaviors on their journey, and 4) components they felt were missing from the model. Data were analyzed using qualitative content analysis. Findings: Overall, the model resonated with participants. Mentees told stories about mentors engaging in the IM constructs practicing relationalism most frequently, followed by fostering Indigenous identity development, utilizing a mentee-centered focus, and imbuing criticality, advocacy, and abiding by Indigenous ethics. Benefits included improved career and work attitudes, motivation, and overall well-being, engaging in helping behaviors, and enhanced criticality. Recommendations to expand the model included incorpo</w:t>
      </w:r>
    </w:p>
    <w:p>
      <w:pPr/>
      <w:r>
        <w:rPr>
          <w:b/>
        </w:rPr>
        <w:t>POSSIBLE 2023:</w:t>
      </w:r>
      <w:r>
        <w:t xml:space="preserve"> A systematic review of modeling approaches for flexible energy resources — https://doi.org/10.1016/j.rser.2023.113541</w:t>
      </w:r>
    </w:p>
    <w:p>
      <w:pPr/>
      <w:r>
        <w:rPr>
          <w:b/>
        </w:rPr>
        <w:t>Shared claim-specific concepts:</w:t>
      </w:r>
      <w:r>
        <w:t xml:space="preserve"> shows, resources, energy, systems; EU scope not established. This is a provisional connection, not an outcome finding.</w:t>
      </w:r>
    </w:p>
    <w:p>
      <w:pPr>
        <w:pStyle w:val="SourceNote"/>
      </w:pPr>
      <w:r>
        <w:rPr>
          <w:b/>
        </w:rPr>
        <w:t>Available abstract (not full text):</w:t>
      </w:r>
      <w:r>
        <w:t xml:space="preserve"> Due to increasing amounts of energy being supplied by intermittent renewable energy sources, future energy systems need to be able to react flexibly to sudden changes. To address this challenge, a large body of research is devoted to improving the utilization of energy flexibility of various types of energy resources on the supply and demand side. This is commonly done by applying mathematical models. The objective of this paper is to review such models and identify common modeling approaches used to quantify and optimize the use of flexible energy resources. The literature review is conducted systematically, encompassing 215 publications that feature 694 models of different energy resources. The main distinction of this work, in comparison to other reviews on the topic of energy flexibility lies in its focus on the mathematical formulation of models of energy resources and the quantification of the models’ level of detail. The aim is to identify common modeling approaches and the corresponding research problems they address. The review shows that the majority of research efforts are directed towards the management and optimization of distributed energy resources. The most commonly employed modeling approach involves abstract black-box models with limited levels of detail. Linear programming and meta-heuristics are frequently used to optimize energy flexibility. A critical refl</w:t>
      </w:r>
    </w:p>
    <w:p>
      <w:pPr/>
      <w:r>
        <w:rPr>
          <w:b/>
        </w:rPr>
        <w:t>POSSIBLE 2022:</w:t>
      </w:r>
      <w:r>
        <w:t xml:space="preserve"> Remote sensing, snow modelling, survey data and Indigenous Knowledge show how snow and sea-ice conditions affect Peary caribou (Rangifer tarandus pearyi) distribution and inter-island and island–mainland movements — https://doi.org/10.33265/polar.v41.7964</w:t>
      </w:r>
    </w:p>
    <w:p>
      <w:pPr/>
      <w:r>
        <w:rPr>
          <w:b/>
        </w:rPr>
        <w:t>Shared claim-specific concepts:</w:t>
      </w:r>
      <w:r>
        <w:t xml:space="preserve"> shows, indigenous, show; EU scope not established. This is a provisional connection, not an outcome finding.</w:t>
      </w:r>
    </w:p>
    <w:p>
      <w:pPr>
        <w:pStyle w:val="SourceNote"/>
      </w:pPr>
      <w:r>
        <w:rPr>
          <w:b/>
        </w:rPr>
        <w:t>Available abstract (not full text):</w:t>
      </w:r>
      <w:r>
        <w:t xml:space="preserve"> Accelerated warming of the Arctic has reduced sea ice and has increased the occurrence of winter extreme events like rain-on-snow and storms that impact snow-cover densification, affecting Peary caribou (Rangifer tarandus pearyi) seasonal movements and grazing conditions. We used caribou movements between Banks, Melville and Victoria islands and mainland Canada, documented from Indigenous Knowledge, to assess whether spatiotemporal trends in sea-ice anomalies (1983–2019) can be used as an indicator of caribou movement. We used the SNOWPACK model to evaluate how foraging conditions (as indexed by simulated snow properties) contribute to the prediction of caribou presence. Our results suggest that changes in sea-ice anomalies over time have impacted caribou crossings between islands: caribou no longer use areas with less sea ice whilst they continue to use areas with more sea ice. Our model evaluation shows that, when the simulated snow conditions are paired with other environmental variables, the ability of models to predict Peary caribou occurrence on land was enhanced across Banks and Melville islands. Overall, the land models suggest that caribou are more likely to occupy areas with lower density of snow accumulation and a majority of forb tundra with dwarf shrubs for Banks Island and cryptogam tundra, rush and grass for the Melville Island Complex. Our results suggest that f</w:t>
      </w:r>
    </w:p>
    <w:p>
      <w:pPr/>
      <w:r>
        <w:rPr>
          <w:b/>
        </w:rPr>
        <w:t>POSSIBLE 2021:</w:t>
      </w:r>
      <w:r>
        <w:t xml:space="preserve"> A robust model for aggregated bidding of energy storages and wind resources in the joint energy and reserve markets — https://doi.org/10.1016/j.energy.2021.121735</w:t>
      </w:r>
    </w:p>
    <w:p>
      <w:pPr/>
      <w:r>
        <w:rPr>
          <w:b/>
        </w:rPr>
        <w:t>Shared claim-specific concepts:</w:t>
      </w:r>
      <w:r>
        <w:t xml:space="preserve"> resources, energy, service, show, robust, resource; EU scope not established. This is a provisional connection, not an outcome finding.</w:t>
      </w:r>
    </w:p>
    <w:p>
      <w:pPr>
        <w:pStyle w:val="SourceNote"/>
      </w:pPr>
      <w:r>
        <w:rPr>
          <w:b/>
        </w:rPr>
        <w:t>Available abstract (not full text):</w:t>
      </w:r>
      <w:r>
        <w:t xml:space="preserve"> The high reliability and flexibility of Battery Energy Storage (BES) resources in comparison with other renewable technologies promote the development of this technology in smart grids. The fast response of BES to load variations could help the power system operators to maintain the balance of generation and consumption in real-time, and improve the flexibility of the smart grid, effectively. In this work, a new model is presented that determines the aggregated scheduling of BES and Wind Power Resource (WPR) in the joint energy and reserve markets. To evaluate the performance of BES in different markets, the proposed model is divided into day-ahead and real-time planning horizons. According to market prices, ramp rates, marginal costs, and technical constraints of units, the optimal participation levels in different markets are determined. The deployed power in real-time and wind power are considered as the uncertain parameters and the Robust Optimization (RO) framework is proposed to manage the related financial risk based on the worst-case realizations of uncertain parameters. The robust strategy is formulated based on the Mixed Integer Linear Programming (MILP) technique, which can be solved via the branch-and-bound method. Finally, the performance and effectiveness of the model are analyzed via different case studies. Simulation results show that the day-ahead and real-time</w:t>
      </w:r>
    </w:p>
    <w:p>
      <w:pPr/>
      <w:r>
        <w:rPr>
          <w:b/>
        </w:rPr>
        <w:t>POSSIBLE 2021:</w:t>
      </w:r>
      <w:r>
        <w:t xml:space="preserve"> Modelling and Characterisation of Flexibility From Distributed Energy Resources — https://doi.org/10.1109/tpwrs.2021.3096971</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Harnessing flexibility from distributed energy resources (DER) to participate in various markets while accounting for relevant technical and commercial constraints is essential for the development of low-carbon grids. However, there is no clear definition or even description of the salient features of aggregated DER flexibility, including its steady-state and dynamic features and how these are impacted by network constraints and market requirements. This paper proposes a comprehensive DER flexibility modelling and characterisation framework that is based on the concept ofnodal operating envelope(NOE). In particular, capacity, ramp, duration and cost are identified as key flexibility metrics and associated with different but consistent NOEs describingcapability,feasibility,ramp,duration,economic,technicalandcommercial flexibilityfeatures. These NOEs, which conceptually arise from a Venn diagram, can be built via optimal power flow (OPF) analysis, visualised in the active-reactive power space, and used by different stakeholders. Results from a canonical test system and a real distribution system illustrate the value and applicability of the proposed framework to model and characterise provision of flexibility and market services from DER for different use cases.</w:t>
      </w:r>
    </w:p>
    <w:p>
      <w:pPr/>
      <w:r>
        <w:rPr>
          <w:b/>
        </w:rPr>
        <w:t>POSSIBLE 2021:</w:t>
      </w:r>
      <w:r>
        <w:t xml:space="preserve"> Optimal Operation of Energy Hubs With Large-Scale Distributed Energy Resources for Distribution Network Congestion Management — https://doi.org/10.1109/tste.2021.3064375</w:t>
      </w:r>
    </w:p>
    <w:p>
      <w:pPr/>
      <w:r>
        <w:rPr>
          <w:b/>
        </w:rPr>
        <w:t>Shared claim-specific concepts:</w:t>
      </w:r>
      <w:r>
        <w:t xml:space="preserve"> resources, energy, systems, show, provide; EU scope not established. This is a provisional connection, not an outcome finding.</w:t>
      </w:r>
    </w:p>
    <w:p>
      <w:pPr>
        <w:pStyle w:val="SourceNote"/>
      </w:pPr>
      <w:r>
        <w:rPr>
          <w:b/>
        </w:rPr>
        <w:t>Available abstract (not full text):</w:t>
      </w:r>
      <w:r>
        <w:t xml:space="preserve"> Congestion problems might occur in distribution networks as the penetration of distributed energy resources (DERs) progresses. This study focuses on the complementarity of multiple energy resources in energy hubs (EHs) to solve possible distribution network congestions. First, we consider an EH in which combined cooling, heating and power (CCHP) units and heat pumps are integrated with renewable energy resources. The EH models the intrinsic coupling relationship among various energy carriers, forming a flexible operation where electricity, natural gas, cooling and heat can complement each other. Next, an optimal operation strategy of multiple energy hubs enables gas-to-electricity to provide local energy supply for EH during electricity peak periods, and consume renewable energy generation by the complementarity of electricity, heat and cooling. In addition, the uncertainty of renewable energy resources is taken into account via scenario-based stochastic programming. Numerical results show that the proposed operation strategy explores EHs' operation flexibility to mitigate distribution network congestion when we consider high renewable energy penetration in power systems.</w:t>
      </w:r>
    </w:p>
    <w:p>
      <w:pPr/>
      <w:r>
        <w:rPr>
          <w:b/>
        </w:rPr>
        <w:t>POSSIBLE 2021:</w:t>
      </w:r>
      <w:r>
        <w:t xml:space="preserve"> Exploring the driving forces of distributed energy resources in China: Using a semiparametric regression model — https://doi.org/10.1016/j.energy.2021.121452</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Evaluation of renewable energy resources using integrated Shannon Entropy—EDAS model — https://doi.org/10.1016/j.susoc.2020.12.002</w:t>
      </w:r>
    </w:p>
    <w:p>
      <w:pPr/>
      <w:r>
        <w:rPr>
          <w:b/>
        </w:rPr>
        <w:t>Shared claim-specific concepts:</w:t>
      </w:r>
      <w:r>
        <w:t xml:space="preserve"> biomass, resources, energy, systems, show, resource; EU scope not established. This is a provisional connection, not an outcome finding.</w:t>
      </w:r>
    </w:p>
    <w:p>
      <w:pPr>
        <w:pStyle w:val="SourceNote"/>
      </w:pPr>
      <w:r>
        <w:rPr>
          <w:b/>
        </w:rPr>
        <w:t>Available abstract (not full text):</w:t>
      </w:r>
      <w:r>
        <w:t xml:space="preserve"> To increase efficiency of energy sector, the implementation of renewable energy systems and finding most appropriate renewable energy resource is of high significance for governments. One of the fundamental decision-making problems in energy sector is to design decision making tools to find optimal energy resources. Usually, experts in the energy decision-making sector have a platform containing multiple criteria indicators that are expressed as conflicting objectives. In this paper, we proposed a Multiple Criteria Decision-Making (MCDM) model to handle conflicting objectives while evaluating five renewable resources: solar PV, Solar thermal, wind power, geothermal, and biomass with respect to economic, technical, social, and environmental aspects. Shannon Entropy method is used to determine the importance of criteria. Evaluation based on distance from average solution (EDAS) is used to prioritize the renewable energy technologies. To demonstrate the feasibility of the proposed decision-making model, a real-life case study for Saudi Arabia is investigated. Under defined socio-economic and environment criteria, results indicate that wind energy can be opted the as most suitable source fitted to the objectives and policies of the decision makers. In order to verify the results and to show the impact of parameter changes on final solutions, different sensitivity analysis tests are</w:t>
      </w:r>
    </w:p>
    <w:p>
      <w:pPr/>
      <w:r>
        <w:rPr>
          <w:b/>
        </w:rPr>
        <w:t>POSSIBLE 2020:</w:t>
      </w:r>
      <w:r>
        <w:t xml:space="preserve"> Coalition Formation of Microgrids with Distributed Energy Resources and Energy Storage in Energy Market — https://doi.org/10.35833/mpce.2019.000116</w:t>
      </w:r>
    </w:p>
    <w:p>
      <w:pPr/>
      <w:r>
        <w:rPr>
          <w:b/>
        </w:rPr>
        <w:t>Shared claim-specific concepts:</w:t>
      </w:r>
      <w:r>
        <w:t xml:space="preserve"> resources, energy, systems, show; EU scope not established. This is a provisional connection, not an outcome finding.</w:t>
      </w:r>
    </w:p>
    <w:p>
      <w:pPr>
        <w:pStyle w:val="SourceNote"/>
      </w:pPr>
      <w:r>
        <w:rPr>
          <w:b/>
        </w:rPr>
        <w:t>Available abstract (not full text):</w:t>
      </w:r>
      <w:r>
        <w:t xml:space="preserve"> Power grids include entities such as home-microgrids (H-MGs), consumers, and retailers, each of which has a unique and sometimes contradictory objective compared with others while exchanging electricity and heat with other H-MGs. Therefore, there is the need for a smart structure to handle the new situation. This paper proposes a bilevel hierarchical structure for designing and planning distributed energy resources (DERs) and energy storage in H-MGs by considering the demand response (DR). In general, the upper-level structure is based on H-MG generation competition to maximize their individual and/or group income in the process of forming a coalition with other H-MGs. The upper-level problem is decomposed into a set of low-level market clearing problems. Both electricity and heat markets are simultaneously modeled in this paper. DERs, including wind turbines (WTs), combined heat and power (CHP) systems, electric boilers (EBs), electric heat pumps (EHPs), and electric energy storage systems, participate in the electricity markets. In addition, CHP systems, gas boilers (GBs), EBs, EHPs, solar thermal panels, and thermal energy storage systems participate in the heat market. Results show that the formation of a coalition among H-MGs present in one grid will not only have a significant effect on programming and regulating the value of the power generated by the generation resource</w:t>
      </w:r>
    </w:p>
    <w:p>
      <w:pPr/>
      <w:r>
        <w:rPr>
          <w:b/>
        </w:rPr>
        <w:t>POSSIBLE 2020:</w:t>
      </w:r>
      <w:r>
        <w:t xml:space="preserve"> Resilience Assessment of Distribution Systems Integrated With Distributed Energy Resources — https://doi.org/10.1109/tste.2020.2994174</w:t>
      </w:r>
    </w:p>
    <w:p>
      <w:pPr/>
      <w:r>
        <w:rPr>
          <w:b/>
        </w:rPr>
        <w:t>Shared claim-specific concepts:</w:t>
      </w:r>
      <w:r>
        <w:t xml:space="preserve"> resources, energy, systems, show; EU scope not established. This is a provisional connection, not an outcome finding.</w:t>
      </w:r>
    </w:p>
    <w:p>
      <w:pPr>
        <w:pStyle w:val="SourceNote"/>
      </w:pPr>
      <w:r>
        <w:rPr>
          <w:b/>
        </w:rPr>
        <w:t>Available abstract (not full text):</w:t>
      </w:r>
      <w:r>
        <w:t xml:space="preserve"> The resilience of electric systems is receiving growing attention due to their increased vulnerability to infrastructure damages and widespread outages from frequent extreme climactic conditions attributed to global warming effects. Resilience evaluation methods should recognize the uncertainties and correlations in the performance variations of different types of energy resources, load characteristics, extreme events and their impacts on the grid elements. However, there is a lack of established methods and resilience metrics that are widely accepted. In this context, this paper presents the development of probabilistic extreme event model, impact assessment model, and optimal restoration model for active distribution systems, and integrates the models using a non-sequential Monte Carlo Simulation framework. The inter-dependencies of time-varying demand, renewable energy output, and energy storage characteristics are incorporated in the framework. A set of metrics is proposed to quantify the resilience of the system against extreme events and their outage impacts at the load points. The metrics and their probability distribution thus obtained can be utilized in probabilistic value-based investment planning to select appropriate measures to enhance the system resilience. Selected case studies are conducted on the IEEE 69-bus test system to show the efficacy of the proposed fram</w:t>
      </w:r>
    </w:p>
    <w:p>
      <w:pPr/>
      <w:r>
        <w:rPr>
          <w:b/>
        </w:rPr>
        <w:t>POSSIBLE 2019:</w:t>
      </w:r>
      <w:r>
        <w:t xml:space="preserve"> Including indigenous knowledge in species distribution modeling for increased ecological insights — https://doi.org/10.1111/cobi.13373</w:t>
      </w:r>
    </w:p>
    <w:p>
      <w:pPr/>
      <w:r>
        <w:rPr>
          <w:b/>
        </w:rPr>
        <w:t>Shared claim-specific concepts:</w:t>
      </w:r>
      <w:r>
        <w:t xml:space="preserve"> indigenous, systems; EU scope not established. This is a provisional connection, not an outcome finding.</w:t>
      </w:r>
    </w:p>
    <w:p>
      <w:pPr>
        <w:pStyle w:val="SourceNote"/>
      </w:pPr>
      <w:r>
        <w:rPr>
          <w:b/>
        </w:rPr>
        <w:t>Available abstract (not full text):</w:t>
      </w:r>
      <w:r>
        <w:t xml:space="preserve"> Indigenous knowledge systems hold detailed information on current and past environments that can inform ecological understanding as well as contemporary environmental management. Despite its applicability, there are limited examples of indigenous knowledge being incorporated in species distribution models, which are widely used in the ecological sciences. In a collaborative manner, we designed a structured elicitation process and statistical framework to combine indigenous knowledge with survey data to model the distribution of a threatened and culturally significant species (greater bilby or mankarr [Macrotis lagotis]). We used Martu (Aboriginal people of the Australian western deserts) occurrence knowledge and presence data from track-based surveys to create predictive species distribution models with the Maxent program. Predictions of species distribution based on Martu knowledge were broader than those created with survey data. Together the Martu and survey models showed potential local declines, which were supported by Martu observation. Both data types were influenced by sampling bias that appeared to affect model predictions and performance. Martu provided additional information on habitat associations and locations of decline and descriptions of the ecosystem dynamics and disturbance regimes that influence occupancy. We concluded that intercultural approaches that draw </w:t>
      </w:r>
    </w:p>
    <w:p>
      <w:pPr/>
      <w:r>
        <w:rPr>
          <w:b/>
        </w:rPr>
        <w:t>POSSIBLE 2019:</w:t>
      </w:r>
      <w:r>
        <w:t xml:space="preserve"> Probabilistic optimization in operation of energy hub with participation of renewable energy resources and demand response — https://doi.org/10.1016/j.energy.2019.02.021</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Unavailable</w:t>
      </w:r>
    </w:p>
    <w:p>
      <w:pPr>
        <w:pStyle w:val="Heading2"/>
      </w:pPr>
      <w:r>
        <w:t>925.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r>
        <w:rPr>
          <w:b/>
        </w:rPr>
        <w:t>POSSIBLE 2023:</w:t>
      </w:r>
      <w:r>
        <w:t xml:space="preserve"> European Federation of Neurological Societies: parent to the European Academy of Neurology — https://doi.org/10.1111/ene.15680</w:t>
      </w:r>
    </w:p>
    <w:p>
      <w:pPr/>
      <w:r>
        <w:rPr>
          <w:b/>
        </w:rPr>
        <w:t>Shared claim-specific concepts:</w:t>
      </w:r>
      <w:r>
        <w:t xml:space="preserve"> creation, scientific, important, political, level; EU scope visible. This is a provisional connection, not an outcome finding.</w:t>
      </w:r>
    </w:p>
    <w:p>
      <w:pPr>
        <w:pStyle w:val="SourceNote"/>
      </w:pPr>
      <w:r>
        <w:rPr>
          <w:b/>
        </w:rPr>
        <w:t>Available abstract (not full text):</w:t>
      </w:r>
      <w:r>
        <w:t xml:space="preserve"> BACKGROUND AND PURPOSE: The European Academy of Neurology (EAN) is a vigorous organization of great importance for all neurologists and for our patients. But how did neurology get organized at the European level? That is the topic of this article. METHODS: Most important sources are memories and documents of the author, who was a moving force in developing the European Federation of Neurological Societies (EFNS), one of the two parents of the EAN. RESULTS: All European national neurological societies and the World Federation of Neurology were involved in a difficult political interaction resulting in the EFNS. Organizational and administrative development was the initial task. Scientific panels led by a scientific committee, teaching courses for young neurologists, teaching courses in middle and eastern Europe and successful congresses were developed. The purchase of headquarters as well as the creation of a fully owned scientific journal (European Journal of Neurology) were important and financially beneficial. The EFNS also promoted the formation of the European Brain Council and of the patient organization European Federation of Neurological Associations. All these elements have continued after fusion with the European Neurological Society to form the EAN. CONCLUSION: The very successful development of the EFNS has largely been carried on into the EAN.</w:t>
      </w:r>
    </w:p>
    <w:p>
      <w:pPr/>
      <w:r>
        <w:rPr>
          <w:b/>
        </w:rPr>
        <w:t>POSSIBLE 2022:</w:t>
      </w:r>
      <w:r>
        <w:t xml:space="preserve"> Short Food Supply Chains in Europe: Scientific Research Directions — https://doi.org/10.3390/su14063602</w:t>
      </w:r>
    </w:p>
    <w:p>
      <w:pPr/>
      <w:r>
        <w:rPr>
          <w:b/>
        </w:rPr>
        <w:t>Shared claim-specific concepts:</w:t>
      </w:r>
      <w:r>
        <w:t xml:space="preserve"> scientific, important, contribution; EU scope visible. This is a provisional connection, not an outcome finding.</w:t>
      </w:r>
    </w:p>
    <w:p>
      <w:pPr>
        <w:pStyle w:val="SourceNote"/>
      </w:pPr>
      <w:r>
        <w:rPr>
          <w:b/>
        </w:rPr>
        <w:t>Available abstract (not full text):</w:t>
      </w:r>
      <w:r>
        <w:t xml:space="preserve"> In the food sector, new configurations of supply chains, as opposed to global conventional ones, are drawing the attention of researchers and institutions all over the world. These are presented as a panacea for the recovery of rural economies and, in general, of food system sustainability. In this context the short food supply chains (SFSCs) become relevant, as happens in Europe, where strategies and regulations designed on their implementation were adopted. Recognising that scientific research always plays an important role in guiding institutions’ choices in many fields, it seems important to focus on how SFSCs are considered in the European academic panorama. Therefore, this contribution presents a study performed on a sample of 108 papers published in journals during the last decade. The findings concerning the investigated issues and the approaches to analysing SFSC development and effects are reported from both the producer and consumer perspective. The review strongly emphasizes the factors affecting participation in SFSCs. Moreover, it highlights that the positive perception of SFSC sustainability is not based on scientific evidence. The analysis outlines current research directions and identifies challenges that are still open in order to offer researchers food for thought with a view to developing further future insights.</w:t>
      </w:r>
    </w:p>
    <w:p>
      <w:pPr/>
      <w:r>
        <w:rPr>
          <w:b/>
        </w:rPr>
        <w:t>POSSIBLE 2021:</w:t>
      </w:r>
      <w:r>
        <w:t xml:space="preserve"> Scientific Opinion of the Scientific Panel on Plant Protection Products and their Residues (PPR Panel) on testing and interpretation of comparative in vitro metabolism studies — https://doi.org/10.2903/j.efsa.2021.6970</w:t>
      </w:r>
    </w:p>
    <w:p>
      <w:pPr/>
      <w:r>
        <w:rPr>
          <w:b/>
        </w:rPr>
        <w:t>Shared claim-specific concepts:</w:t>
      </w:r>
      <w:r>
        <w:t xml:space="preserve"> scientific, panel, important, strategy, level; EU scope not established. This is a provisional connection, not an outcome finding.</w:t>
      </w:r>
    </w:p>
    <w:p>
      <w:pPr>
        <w:pStyle w:val="SourceNote"/>
      </w:pPr>
      <w:r>
        <w:rPr>
          <w:b/>
        </w:rPr>
        <w:t>Available abstract (not full text):</w:t>
      </w:r>
      <w:r>
        <w:t xml:space="preserve"> Abstract EFSA asked the Panel on Plant Protection Products and their residues to deliver a Scientific Opinion on testing and interpretation of comparative in vitro metabolism studies for both new active substances and existing ones. The main aim of comparative in vitro metabolism studies of pesticide active substances is to evaluate whether all significant metabolites formed in the human in vitro test system, as a surrogate of the in vivo situation, are also present at comparable level in animal species tested in toxicological studies and, therefore, if their potential toxicity has been appropriately covered by animal studies. The studies may also help to decide which animal model, with regard to a particular compound, is the most relevant for humans. In the experimental strategy, primary hepatocytes in suspension or culture are recommended since hepatocytes are considered the most representative in vitro system for prediction of in vivo metabolites. The experimental design of 3 × 3 × 3 (concentrations, time points, technical replicates, on pooled hepatocytes) will maximise the chance to identify unique (UHM) and disproportionate (DHM) human metabolites. When DHM and UHM are being assessed, test item‐related radioactivity recovery and metabolite profile are the most important parameters. Subsequently, structural characterisation of the assigned metabolites is performed with app</w:t>
      </w:r>
    </w:p>
    <w:p>
      <w:pPr/>
      <w:r>
        <w:rPr>
          <w:b/>
        </w:rPr>
        <w:t>POSSIBLE 2021:</w:t>
      </w:r>
      <w:r>
        <w:t xml:space="preserve"> Collaboration towards value creation for end-of-life solar photovoltaic panel in Ghana — https://doi.org/10.1016/j.jclepro.2021.129969</w:t>
      </w:r>
    </w:p>
    <w:p>
      <w:pPr/>
      <w:r>
        <w:rPr>
          <w:b/>
        </w:rPr>
        <w:t>Shared claim-specific concepts:</w:t>
      </w:r>
      <w:r>
        <w:t xml:space="preserve"> creation, panel, need; EU scope not established. This is a provisional connection, not an outcome finding.</w:t>
      </w:r>
    </w:p>
    <w:p>
      <w:pPr>
        <w:pStyle w:val="SourceNote"/>
      </w:pPr>
      <w:r>
        <w:rPr>
          <w:b/>
        </w:rPr>
        <w:t>Available abstract (not full text):</w:t>
      </w:r>
      <w:r>
        <w:t xml:space="preserve"> This paper identifies value creation strategies and the role of stakeholders in advancing sustainable practices for end-of-life (henceforth EOL) solar photovoltaic panels (solar PV) in Ghana. This is preceded by an overview of the global outlook of sustainable practices for EOL solar PV as well as how these can be promoted in a developing country like Ghana. The framework discusses and promotes efficient collaboration towards value creation by stakeholders in advancing sustainable practices for end-of-life solar PV in Ghana. The methodology centers on an integrative review aimed at identifying the different aspects leading to a value creation framework for EOL solar PV. The paper discusses a hybrid public-private partnership (HPPP), which includes the types of synergy between different actors as well as their clear roles. The core options available to government, businesses and end-users in the value creation includes the provision of a technical solution, improved logistics and innovative business opportunities. The aforementioned options will achieve reduction, reuse, repair and/or recycling, targeted at promoting a unique collaboration between all relevant stakeholders. Furthermore, such options present an opportunity to promote awareness utilizing education in sustainability, thus promoting the need for extending the useful lifecycle of the products.</w:t>
      </w:r>
    </w:p>
    <w:p>
      <w:pPr/>
      <w:r>
        <w:rPr>
          <w:b/>
        </w:rPr>
        <w:t>POSSIBLE 2021:</w:t>
      </w:r>
      <w:r>
        <w:t xml:space="preserve"> Role of Knowledge Creation and Absorptive Capacity: A Panel Data Study of Innovation — https://doi.org/10.33215/sjom.v4i2.579</w:t>
      </w:r>
    </w:p>
    <w:p>
      <w:pPr/>
      <w:r>
        <w:rPr>
          <w:b/>
        </w:rPr>
        <w:t>Shared claim-specific concepts:</w:t>
      </w:r>
      <w:r>
        <w:t xml:space="preserve"> creation, panel, innovation; EU scope not established. This is a provisional connection, not an outcome finding.</w:t>
      </w:r>
    </w:p>
    <w:p>
      <w:pPr>
        <w:pStyle w:val="SourceNote"/>
      </w:pPr>
      <w:r>
        <w:rPr>
          <w:b/>
        </w:rPr>
        <w:t>Available abstract (not full text):</w:t>
      </w:r>
      <w:r>
        <w:t xml:space="preserve"> Purpose- Knowledge creation refers to the ability of firms to create new knowledge that starts from individuals to integrating the firms and then the overall economy. This study suggests that knowledge acquisition in a country has a significant relationship with innovative performance. Design/Methodology- Data from 48 highly HDI countries is taken from World Bank and World Economic Forum. Based on 480 country-year observations in a panel mediator model, it is revealed that the national efforts of boosting knowledge acquisition influence the firms’ innovative performance. Findings- Further, it is found that absorptive capacity in the employability of knowledgeable workers works as a mediator between knowledge acquisition and innovation. Whereby higher knowledge acquisition leads to higher absorptive capacity and higher innovation. Practical Implications- This study builds a quantitative model for the macroeconomic context of knowledge-based view.</w:t>
      </w:r>
    </w:p>
    <w:p>
      <w:pPr/>
      <w:r>
        <w:rPr>
          <w:b/>
        </w:rPr>
        <w:t>POSSIBLE 2020:</w:t>
      </w:r>
      <w:r>
        <w:t xml:space="preserve"> IMPORTANT CONTRIBUTION TO THE CREATION OF THEATRE ENCYCLOPEDIA OF TATARSTAN — https://doi.org/10.26907/2311-2042-2020-14-1-161-170</w:t>
      </w:r>
    </w:p>
    <w:p>
      <w:pPr/>
      <w:r>
        <w:rPr>
          <w:b/>
        </w:rPr>
        <w:t>Shared claim-specific concepts:</w:t>
      </w:r>
      <w:r>
        <w:t xml:space="preserve"> creation, important, contribution; EU scope not established. This is a provisional connection, not an outcome finding.</w:t>
      </w:r>
    </w:p>
    <w:p>
      <w:pPr>
        <w:pStyle w:val="SourceNote"/>
      </w:pPr>
      <w:r>
        <w:rPr>
          <w:b/>
        </w:rPr>
        <w:t>Available abstract (not full text):</w:t>
      </w:r>
      <w:r>
        <w:t xml:space="preserve"> The review notes the combination of different approaches in the analysis of the Tatar theater scenography (cultural-historical, art history), the use of a wide range of sources, and the painstaking work on the systematization of factual material.In the monograph, the analysis of scenography is presented as a history of the search and struggle for the renewal of the theater at the turn of the era, unique in its complexity, characterized by radical contradictions and the struggle of ideas.The review highlights the significance of the research findings on the national identity of the Tatar theater scenography.</w:t>
      </w:r>
    </w:p>
    <w:p>
      <w:pPr/>
      <w:r>
        <w:rPr>
          <w:b/>
        </w:rPr>
        <w:t>POSSIBLE 2020:</w:t>
      </w:r>
      <w:r>
        <w:t xml:space="preserve"> Hunters as citizen scientists: Contributions to biodiversity monitoring in Europe — https://doi.org/10.1016/j.gecco.2020.e01077</w:t>
      </w:r>
    </w:p>
    <w:p>
      <w:pPr/>
      <w:r>
        <w:rPr>
          <w:b/>
        </w:rPr>
        <w:t>Shared claim-specific concepts:</w:t>
      </w:r>
      <w:r>
        <w:t xml:space="preserve"> scientific, community, comprehensive; EU scope visible. This is a provisional connection, not an outcome finding.</w:t>
      </w:r>
    </w:p>
    <w:p>
      <w:pPr>
        <w:pStyle w:val="SourceNote"/>
      </w:pPr>
      <w:r>
        <w:rPr>
          <w:b/>
        </w:rPr>
        <w:t>Available abstract (not full text):</w:t>
      </w:r>
      <w:r>
        <w:t xml:space="preserve"> Monitoring biodiversity characteristics at large scales and with adequate resolution requires considerable effort and resources. Overall, there is clearly a huge scope for European hunters, a special and often overlooked group of citizen scientist, to contribute even more to biodiversity monitoring, especially because of their presence across the entire European landscape. Using the Essential Biodiversity Variables (EBVs) framework we reviewed the published and grey literature and contacted experts to provide a comprehensive overview of hunters’ contributions to biodiversity monitoring. We examined the methods used to collect data in hunter-based monitoring, the geographic and taxonomic extent of such contributions and the scientific output stemming from hunter-based monitoring data. Our study suggests that hunter-based monitoring is widely distributed across Europe and across taxa as 32 out of the 36 European countries included in our analysis involve hunters in the monitoring of at least one species group with ungulates and small game species groups which have the widest hunter-based monitoring coverage. We found that it is possible to infer characteristics on Genetic composition, Species population, Species traits and Community composition with data that are being routinely collected by hunters in at least some countries. The main types of data provided are hunting bags data</w:t>
      </w:r>
    </w:p>
    <w:p>
      <w:pPr/>
      <w:r>
        <w:rPr>
          <w:b/>
        </w:rPr>
        <w:t>POSSIBLE 2020:</w:t>
      </w:r>
      <w:r>
        <w:t xml:space="preserve"> Characterization of Globally Important Agricultural Heritage Systems (GIAHS) in Europe — https://doi.org/10.3390/su12041611</w:t>
      </w:r>
    </w:p>
    <w:p>
      <w:pPr/>
      <w:r>
        <w:rPr>
          <w:b/>
        </w:rPr>
        <w:t>Shared claim-specific concepts:</w:t>
      </w:r>
      <w:r>
        <w:t xml:space="preserve"> panel, important, contribution, facilitate; EU scope visible. This is a provisional connection, not an outcome finding.</w:t>
      </w:r>
    </w:p>
    <w:p>
      <w:pPr>
        <w:pStyle w:val="SourceNote"/>
      </w:pPr>
      <w:r>
        <w:rPr>
          <w:b/>
        </w:rPr>
        <w:t>Available abstract (not full text):</w:t>
      </w:r>
      <w:r>
        <w:t xml:space="preserve"> The recognition and safeguarding of agricultural heritage in Europe are new concepts that are gaining attention due to the contribution they make to sustainability. Of the 57 Globally Important Agricultural Heritage Systems (GIAHS) that exist in the world today, only six have been designated in Europe. Through a qualitative analysis of the proposal documents submitted by these six European GIAHS to the Food and Agriculture Organization of the United Nations (FAO) during the designation process, this study provides a comparative characterization of these sites supported by expert assessment. During the first phase, 24 specific sub-criteria were observed based on the five main criteria that a site has to meet in order to demonstrate its global relevance as an agricultural heritage of humanity. The relevance of the resulting sub-criteria was then assessed by a Delphi panel of experts and the validated ones were applied in an assessment of the six European sites. The European GIAHS sites are characterized by the high value of their cultural landscapes’ evolution, modeled by traditional and adaptive agriculture knowledge and practices that are promoted and maintained thanks to organized and committed social organizations. The results of structuring of sub-criteria can facilitate the application of other possible European GIAHS sites.</w:t>
      </w:r>
    </w:p>
    <w:p>
      <w:pPr/>
      <w:r>
        <w:rPr>
          <w:b/>
        </w:rPr>
        <w:t>POSSIBLE 2020:</w:t>
      </w:r>
      <w:r>
        <w:t xml:space="preserve"> Agricultural Entrepreneurship in the European Union: Contributions for a Sustainable Development — https://doi.org/10.3390/app10062080</w:t>
      </w:r>
    </w:p>
    <w:p>
      <w:pPr/>
      <w:r>
        <w:rPr>
          <w:b/>
        </w:rPr>
        <w:t>Shared claim-specific concepts:</w:t>
      </w:r>
      <w:r>
        <w:t xml:space="preserve"> creation, scientific, viewed, contribution; EU scope visible. This is a provisional connection, not an outcome finding.</w:t>
      </w:r>
    </w:p>
    <w:p>
      <w:pPr>
        <w:pStyle w:val="SourceNote"/>
      </w:pPr>
      <w:r>
        <w:rPr>
          <w:b/>
        </w:rPr>
        <w:t>Available abstract (not full text):</w:t>
      </w:r>
      <w:r>
        <w:t xml:space="preserve"> Entrepreneurship is sometimes seen as a glimmer of hope which may bring about some contribution towards improving economic dynamics and performance, specifically in the creation of employment by young people, in general, with further educational training, greater flexibility and who are better prepared for working with new technologies. However, entrepreneurship in the agricultural sector is, in certain circumstances, viewed as being something incompatible or, at least, difficult to implement. More scientific studies in these fields could provide interesting contributions on the road to highlighting new ideas inside the farming sector. In this framework, the objective of this study is to explore the entrepreneurship dimensions within the European Union agriculture towards a more sustainable sector. In fact, without an economic dimension in farm management, its sustainability in the medium and long run may be compromised, increasing the abandonment of farming, namely in more disadvantaged regions. For this, the literature which is available on the platform Web of Science relating to the following three topics was initially analysed: entrepreneurship, agriculture, and the European Union. This literature was clustered through the VOSviewer software, an interesting tool for performing bibliometric analysis. Secondly, statistical information related to European Union agricultural en</w:t>
      </w:r>
    </w:p>
    <w:p>
      <w:pPr/>
      <w:r>
        <w:rPr>
          <w:b/>
        </w:rPr>
        <w:t>POSSIBLE 2019:</w:t>
      </w:r>
      <w:r>
        <w:t xml:space="preserve"> European Research Council: excellence and leadership over time from a gender perspective — https://doi.org/10.1093/reseval/rvz023</w:t>
      </w:r>
    </w:p>
    <w:p>
      <w:pPr/>
      <w:r>
        <w:rPr>
          <w:b/>
        </w:rPr>
        <w:t>Shared claim-specific concepts:</w:t>
      </w:r>
      <w:r>
        <w:t xml:space="preserve"> creation, scientific, panel, important, major; EU scope visible. This is a provisional connection, not an outcome finding.</w:t>
      </w:r>
    </w:p>
    <w:p>
      <w:pPr>
        <w:pStyle w:val="SourceNote"/>
      </w:pPr>
      <w:r>
        <w:rPr>
          <w:b/>
        </w:rPr>
        <w:t>Available abstract (not full text):</w:t>
      </w:r>
      <w:r>
        <w:t xml:space="preserve"> Abstract European Research Council Grants (ERC) have become the most important vehicle for funding scientific research in the EU. Since their creation in 2007, they have provided funding for around 7,000 of the nearly 70,000 proposals for research projects submitted. With a success rate of about 11%, these Grants are highly competitive. Despite major advancement of women’s participation in research activity, women overall remain the minority in Science, Technology, Engineering and Mathematics (STEM disciplines). Against that backdrop, this article analyses men’s and women’s presence in ERC Grants. The gender balance in the ERC Grant, have been examined in three dimensions: Excellence Awarded; Scientific Leadership Position; and Time Series Evolution. The results show that female presence is lower than men as submitted (26% vs 74%), granted (22% vs 78%), expert panel members (28% vs 72%), and as a panel chair (26% vs 74%). State-space prediction of the future pattern of these grants shows that time has no clearly beneficial effect on women’s participation as applicants, granted, expert panel members or panel chairs, particularly in the area of Physics and Engineering.</w:t>
      </w:r>
    </w:p>
    <w:p>
      <w:pPr>
        <w:pStyle w:val="Heading2"/>
      </w:pPr>
      <w:r>
        <w:t>926.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2022:</w:t>
      </w:r>
      <w:r>
        <w:t xml:space="preserve"> Primary Energy Factors for Electricity Production in Europe — https://doi.org/10.3390/en16010093</w:t>
      </w:r>
    </w:p>
    <w:p>
      <w:pPr/>
      <w:r>
        <w:rPr>
          <w:b/>
        </w:rPr>
        <w:t>Shared claim-specific concepts:</w:t>
      </w:r>
      <w:r>
        <w:t xml:space="preserve"> finally, energy, efficiency, also; EU scope visible. This is a provisional connection, not an outcome finding.</w:t>
      </w:r>
    </w:p>
    <w:p>
      <w:pPr>
        <w:pStyle w:val="SourceNote"/>
      </w:pPr>
      <w:r>
        <w:rPr>
          <w:b/>
        </w:rPr>
        <w:t>Available abstract (not full text):</w:t>
      </w:r>
      <w:r>
        <w:t xml:space="preserve"> The European Union (EU) has committed to supporting the United Nations’ efforts in line with the Paris Agreement for addressing climate change and has set ambitious targets to reduce primary energy consumption and emissions. Similar commitments have also been set by EU-27 member states. For this purpose, it is necessary to use a primary energy factor (PEF) for converting electricity use to primary energy units and for assessing energy conservation measures. Lower PEFs reflect efficiency improvements in power generation, an increased share of renewable energy sources in the fuel mix for electricity generation, and lower transmission and distribution losses. Over the past decades, there have been intensive efforts and notable progress in the EU-27 for increasing the use of renewables in the energy mix for electricity generation. However, the EU default PEF value for electricity was not regularly updated and remained at 2.5 for several years till it was finally recalculated at 2.1 in the 2018 recast of the Energy Efficiency Directive. This paper reviews different calculation options for estimating the PEF for electricity from official annual statistics, presents the historical evolution of the calculated conversion factors, and provides simple linear correlations for projecting the PEF values that can be used to facilitate more-realistic forward-looking calculations and assess nat</w:t>
      </w:r>
    </w:p>
    <w:p>
      <w:pPr/>
      <w:r>
        <w:rPr>
          <w:b/>
        </w:rPr>
        <w:t>POSSIBLE 2022:</w:t>
      </w:r>
      <w:r>
        <w:t xml:space="preserve"> Changing European Energy Policy : The Challenge of the Energy Price Storm — https://doi.org/10.18096/tmp.2022.02.04</w:t>
      </w:r>
    </w:p>
    <w:p>
      <w:pPr/>
      <w:r>
        <w:rPr>
          <w:b/>
        </w:rPr>
        <w:t>Shared claim-specific concepts:</w:t>
      </w:r>
      <w:r>
        <w:t xml:space="preserve"> finally, energy, also, target; EU scope visible. This is a provisional connection, not an outcome finding.</w:t>
      </w:r>
    </w:p>
    <w:p>
      <w:pPr>
        <w:pStyle w:val="SourceNote"/>
      </w:pPr>
      <w:r>
        <w:rPr>
          <w:b/>
        </w:rPr>
        <w:t>Available abstract (not full text):</w:t>
      </w:r>
      <w:r>
        <w:t xml:space="preserve"> This paper examines the roots of the European energy crisis within the period of 2021–2022, the reasons for the European gas shortage, the effect of the Russian invasion of Ukraine, and the potential EU responses. The current crisis is a result of several factors, starting from the Covid-19 pandemic in 2020 and amplified severely by the current conflict between Russia and Ukraine. In addition, five reasons were identified as worsening the EU energy situation. These include market-based gas prices, external dependency, global imbalances, the EU's climate policies, and low European energy stocks. The Russian invasion of Ukraine put pressure on the oil and gas supplies to the EU. This situation led the EU to introduce sanctions and measures that target increasing the share of renewable energy while reducing the dependence on Russian gas. Finally, we shed light on the energy transition as an opportunity to deal with climate change and limited energy resources while also showing the challenges that would hinder a just transition.</w:t>
      </w:r>
    </w:p>
    <w:p>
      <w:pPr/>
      <w:r>
        <w:rPr>
          <w:b/>
        </w:rPr>
        <w:t>POSSIBLE 2022:</w:t>
      </w:r>
      <w:r>
        <w:t xml:space="preserve"> The politics of vaccine hesitancy in Europe — https://doi.org/10.1093/eurpub/ckac041</w:t>
      </w:r>
    </w:p>
    <w:p>
      <w:pPr/>
      <w:r>
        <w:rPr>
          <w:b/>
        </w:rPr>
        <w:t>Shared claim-specific concepts:</w:t>
      </w:r>
      <w:r>
        <w:t xml:space="preserve"> finally, also, but; EU scope visible. This is a provisional connection, not an outcome finding.</w:t>
      </w:r>
    </w:p>
    <w:p>
      <w:pPr>
        <w:pStyle w:val="SourceNote"/>
      </w:pPr>
      <w:r>
        <w:rPr>
          <w:b/>
        </w:rPr>
        <w:t>Available abstract (not full text):</w:t>
      </w:r>
      <w:r>
        <w:t xml:space="preserve"> BACKGROUND: Vaccine hesitancy threatens public health. Some evidence suggests that vaccine hesitancy in Europe may be linked with the success of populist parties, but more systematic analysis is needed. METHODS: We examine the prevalence of individual-level vaccine hesitancy across the European Union (EU) and its association with political orientations. We also analyze whether success of populist parties is linked with vaccine hesitancy and uptake. We draw on individual-level Eurobarometer data from 2019, with a total of 27 524 respondents across the EU. We also rely on national and regional-level populist party vote shares. Finally, for a time-series analysis, we rely on aggregated populist party support as measured in the European Social Survey waves 1-9 (2002-18), and national immunization coverage rates from the WHO from 2002 to 2018. RESULTS: While vaccine hesitancy is confined to a minority of the population, this group is large enough to risk herd immunity. Political orientations on a left-right dimension are not strongly linked to vaccine hesitancy. Instead, vaccine hesitancy is associated with anti-elite world views and culturally closed rather than cosmopolitan positions. CONCLUSIONS: Vaccine hesitancy is not only present in all EU member states but also maps on broader dimensions of cultural conflict. Hesitancy is rooted in a broader worldview, rather than mispercept</w:t>
      </w:r>
    </w:p>
    <w:p>
      <w:pPr/>
      <w:r>
        <w:rPr>
          <w:b/>
        </w:rPr>
        <w:t>POSSIBLE 2021:</w:t>
      </w:r>
      <w:r>
        <w:t xml:space="preserve"> Energy efficiencies of European countries — https://doi.org/10.1080/00036846.2021.1994520</w:t>
      </w:r>
    </w:p>
    <w:p>
      <w:pPr/>
      <w:r>
        <w:rPr>
          <w:b/>
        </w:rPr>
        <w:t>Shared claim-specific concepts:</w:t>
      </w:r>
      <w:r>
        <w:t xml:space="preserve"> finally, energy, efficiency; EU scope visible. This is a provisional connection, not an outcome finding.</w:t>
      </w:r>
    </w:p>
    <w:p>
      <w:pPr>
        <w:pStyle w:val="SourceNote"/>
      </w:pPr>
      <w:r>
        <w:rPr>
          <w:b/>
        </w:rPr>
        <w:t>Available abstract (not full text):</w:t>
      </w:r>
      <w:r>
        <w:t xml:space="preserve"> Improving energy efficiency is essential for sustainable development; therefore, an accurate assessment of energy efficiency is needed to inform policymakers on how to set energy efficiency goals. Using a stochastic frontier model, we estimate energy efficiencies of 44 countries in Europe from 1990 to 2015. Comparing average energy efficiencies across countries among three time periods, 1990 to 1998, 1999 to 2007, and 2008 to 2015, we find the following trends: (1) countries with highest energy efficiency cluster geographically suggesting spillover effects; (2) from the first period to the second period, 67.44% of European countries’ average energy efficiency increased, while only 59.09% of European countries’ average energy efficiencies increased between the first and the third period; (3) gains in energy efficiency may be levelling off or decreasing over time; and (4) when countries face economic downturn, they experience a decrease in energy efficiency signalling possible future decreases in energy efficiency in light of the recent recessions caused by the Covid-19 pandemic. Finally, we compute potential energy savings from a counterfactual experiment in which countries realize full efficiency. The results show substantial energy savings can be obtained by Russia in particular, and less savings can be obtained by countries with smaller populations.</w:t>
      </w:r>
    </w:p>
    <w:p>
      <w:pPr/>
      <w:r>
        <w:rPr>
          <w:b/>
        </w:rPr>
        <w:t>POSSIBLE 2020:</w:t>
      </w:r>
      <w:r>
        <w:t xml:space="preserve"> Effects of Renewable Energy on European Union’s Energy Import — https://openalex.org/W3127099198</w:t>
      </w:r>
    </w:p>
    <w:p>
      <w:pPr/>
      <w:r>
        <w:rPr>
          <w:b/>
        </w:rPr>
        <w:t>Shared claim-specific concepts:</w:t>
      </w:r>
      <w:r>
        <w:t xml:space="preserve"> finally, increase, energy, also, continue; EU scope visible. This is a provisional connection, not an outcome finding.</w:t>
      </w:r>
    </w:p>
    <w:p>
      <w:pPr>
        <w:pStyle w:val="SourceNote"/>
      </w:pPr>
      <w:r>
        <w:rPr>
          <w:b/>
        </w:rPr>
        <w:t>Available abstract (not full text):</w:t>
      </w:r>
      <w:r>
        <w:t xml:space="preserve"> Energy is used in all fields of the modern world and its usage has vital importance in all of our lives. Even a short interruption in energy supply will cause serious consequences in the supply chain since almost all sectors are energy-dependent. Therefore, all countries have started to take measures to ensure energy security and uninterrupted energy supply. The European Union countries have also taken various measures for this purpose and they continue to do so. One of these measures is that the European Union is trying to reduce energy dependency by reducing energy imports. This is possible by the EU investing in renewable energy and increasing the share of renewable energy in total energy produced. Therefore, In order to decrease the energy imports, the EU countries have started to increase their renewable energy production. The main goal of this study is to see if there is a relationship between renewable energy production of the European Union and the energy import of the European Union and if so, to find the degree of this relationship. In the first part, I gave information about what renewable energy is and the detailed definitions of main renewable energy resources. In the second part, I tried to show the current situation in the European Union regarding renewable energy. I gave information about the main renewable energy sources and energy shares of the European Union </w:t>
      </w:r>
    </w:p>
    <w:p>
      <w:pPr/>
      <w:r>
        <w:rPr>
          <w:b/>
        </w:rPr>
        <w:t>POSSIBLE 2020:</w:t>
      </w:r>
      <w:r>
        <w:t xml:space="preserve"> A reflection on economic uncertainty and fertility in Europe: The Narrative Framework — https://doi.org/10.1186/s41118-020-00094-3</w:t>
      </w:r>
    </w:p>
    <w:p>
      <w:pPr/>
      <w:r>
        <w:rPr>
          <w:b/>
        </w:rPr>
        <w:t>Shared claim-specific concepts:</w:t>
      </w:r>
      <w:r>
        <w:t xml:space="preserve"> finally, also, quantitative; EU scope visible. This is a provisional connection, not an outcome finding.</w:t>
      </w:r>
    </w:p>
    <w:p>
      <w:pPr>
        <w:pStyle w:val="SourceNote"/>
      </w:pPr>
      <w:r>
        <w:rPr>
          <w:b/>
        </w:rPr>
        <w:t>Available abstract (not full text):</w:t>
      </w:r>
      <w:r>
        <w:t xml:space="preserve"> Abstract The generalized and relatively homogeneous fertility decline across European countries in the aftermath of the Great Recession poses serious challenges to our knowledge of contemporary low fertility patterns. In this paper, we argue that fertility decisions are not a mere “statistical shadow of the past”, and advance the Narrative Framework, a new approach to the relationship between economic uncertainty and fertility. This framework proffers that individuals act according to or despite uncertainty based on their “narrative of the future” – imagined futures embedded in social elements and their interactions. We also posit that personal narratives of the future are shaped by the “shared narratives” produced by socialization agents, including parents and peers, as well as by the narratives produced by the media and other powerful opinion formers. Finally, within this framework, we propose several empirical strategies, from both a qualitative and a quantitative perspective, including an experimental approach, for assessing the role of narratives of the future in fertility decisions.</w:t>
      </w:r>
    </w:p>
    <w:p>
      <w:pPr/>
      <w:r>
        <w:rPr>
          <w:b/>
        </w:rPr>
        <w:t>POSSIBLE 2020:</w:t>
      </w:r>
      <w:r>
        <w:t xml:space="preserve"> European burden of disease network: strengthening the collaboration — https://doi.org/10.1093/eurpub/ckz225</w:t>
      </w:r>
    </w:p>
    <w:p>
      <w:pPr/>
      <w:r>
        <w:rPr>
          <w:b/>
        </w:rPr>
        <w:t>Shared claim-specific concepts:</w:t>
      </w:r>
      <w:r>
        <w:t xml:space="preserve"> finally, also, continue, monitor, published; EU scope visible. This is a provisional connection, not an outcome finding.</w:t>
      </w:r>
    </w:p>
    <w:p>
      <w:pPr>
        <w:pStyle w:val="SourceNote"/>
      </w:pPr>
      <w:r>
        <w:rPr>
          <w:b/>
        </w:rPr>
        <w:t>Available abstract (not full text):</w:t>
      </w:r>
      <w:r>
        <w:t xml:space="preserve"> What are the most relevant diseases and risk factors in a country? How is the impact of different diseases evolving over time, and how does the health status compare between and within countries? With an increasing need for prioritizing available resources, a timely, sound and comprehensive answer to these essential questions is more than ever needed to inform public health decision making. Driven by the impact of the Global Burden of Disease (BoD) study,1 several researchers and health institutes across Europe have adopted the BoD approach to address these questions.2,3 Fundamental to this approach is the use of the Disability-Adjusted Life Year as a comprehensive and comparable summary measure of population health.4 Despite the increasing prominence of the BoD approach, several challenges remain. The BoD methodology is complex and highly data intensive, which has led to major disparities across researchers and nations in their capacity to perform BoD studies, to interpret the soundness of available BoD estimates, or to advocate for the use of BoD methods. Often, these disparities follow geographical boundaries––for instance, over half of all published BoD studies in Europe were set in the Netherlands, Spain and UK, while only 15% were set in eastern European countries.2 BoD as a generally standardized approach nonetheless requires different methodological choices, and lack of</w:t>
      </w:r>
    </w:p>
    <w:p>
      <w:pPr/>
      <w:r>
        <w:rPr>
          <w:b/>
        </w:rPr>
        <w:t>POSSIBLE 2019:</w:t>
      </w:r>
      <w:r>
        <w:t xml:space="preserve"> Social Innovation in Community Energy in Europe: A Review of the Evidence — https://doi.org/10.3389/fenrg.2019.00031</w:t>
      </w:r>
    </w:p>
    <w:p>
      <w:pPr/>
      <w:r>
        <w:rPr>
          <w:b/>
        </w:rPr>
        <w:t>Shared claim-specific concepts:</w:t>
      </w:r>
      <w:r>
        <w:t xml:space="preserve"> energy, also, continue, any;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Energy Policy and European Union Politics — https://doi.org/10.1093/acrefore/9780190228637.013.1079</w:t>
      </w:r>
    </w:p>
    <w:p>
      <w:pPr/>
      <w:r>
        <w:rPr>
          <w:b/>
        </w:rPr>
        <w:t>Shared claim-specific concepts:</w:t>
      </w:r>
      <w:r>
        <w:t xml:space="preserve"> finally, increase, energy, also, but, commission; EU scope visible. This is a provisional connection, not an outcome finding.</w:t>
      </w:r>
    </w:p>
    <w:p>
      <w:pPr>
        <w:pStyle w:val="SourceNote"/>
      </w:pPr>
      <w:r>
        <w:rPr>
          <w:b/>
        </w:rPr>
        <w:t>Available abstract (not full text):</w:t>
      </w:r>
      <w:r>
        <w:t xml:space="preserve"> Abstract Energy policy has been considered as a “special case of Europeanization,” due to its tardy and patchy development as a domain of EU activity as well as its important but highly contested external dimension. Divergent energy pathways across Member States and the sensitivity of this policy domain have militated against a unified European Energy Policy. And yet, since the mid-2000s cooperation in this policy area has picked up speed, leading to the adoption of the Energy Union, presented by the European Commission as the most ambitious energy initiative since the European Coal and Steel Community. This dynamism has attracted growing scholarly attention, seeking to determine whether, why and how European Energy Policy has consolidated against all odds during a particularly critical moment for European integration. The underlying question that emerges in this context is whether the Energy Union represents a step forward towards a more homogenous and joined-up energy policy or, rather a strategy to manage heterogeneity through greater flexibility and differentiated integration. Given the multilevel and multisectoral characteristics of energy policy, answering these questions requires a three-fold analysis of (1) the degree of centralization of European Energy Policy (vertical integration), (2) the coherence between energy sub-sectors (cross-sectoral integration), and (3) the</w:t>
      </w:r>
    </w:p>
    <w:p>
      <w:pPr/>
      <w:r>
        <w:rPr>
          <w:b/>
        </w:rPr>
        <w:t>POSSIBLE 2018:</w:t>
      </w:r>
      <w:r>
        <w:t xml:space="preserve"> IMPACT OF RENEWABLE ENERGY CONSUMPTION ON ECONOMIC GROWTH: EVIDENCE FROM EUROPEAN UNION COUNTRIES — https://doi.org/10.3846/tede.2018.1426</w:t>
      </w:r>
    </w:p>
    <w:p>
      <w:pPr/>
      <w:r>
        <w:rPr>
          <w:b/>
        </w:rPr>
        <w:t>Shared claim-specific concepts:</w:t>
      </w:r>
      <w:r>
        <w:t xml:space="preserve"> finally, energy, but; EU scope visible. This is a provisional connection, not an outcome finding.</w:t>
      </w:r>
    </w:p>
    <w:p>
      <w:pPr>
        <w:pStyle w:val="SourceNote"/>
      </w:pPr>
      <w:r>
        <w:rPr>
          <w:b/>
        </w:rPr>
        <w:t>Available abstract (not full text):</w:t>
      </w:r>
      <w:r>
        <w:t xml:space="preserve"> This study examines the causal relationship between economic growth and renewable energy consumption using data for 28 countries of European Union, taken from Eurostat database for years from 1995 to 2015. In addition, motivated by EU Directive 2009/28/EC, the tendency of the share of renewable energy consumption into the final energy consumption is analysed. Various panel data techniques implemented in EViews are used. The empirical results suggest a positive impact of renewable energy consumption on economic growth, and emphasize bidirectional or unidirectional Granger causalities between the two macroeconomic indicators, for each country in the panel. These results justify the political decisions of EU concerning the necessity of increasing the renewable energy consumption, and prove that this type of energy consumption has a strong positive impact on economic growth. Thus, the inclusion of such policies in future EU and national strategies is further motivated. Finally, by means of linear regression, an increasing trend was found for the ratio between renewable energy consumption and final energy consumption for all but one of the EU countries.</w:t>
      </w:r>
    </w:p>
    <w:p>
      <w:pPr/>
      <w:r>
        <w:rPr>
          <w:b/>
        </w:rPr>
        <w:t>POSSIBLE 2018:</w:t>
      </w:r>
      <w:r>
        <w:t xml:space="preserve"> Drought tolerance during reproductive development is important for increasing wheat yield potential under climate change in Europe — https://doi.org/10.1093/jxb/ery226</w:t>
      </w:r>
    </w:p>
    <w:p>
      <w:pPr/>
      <w:r>
        <w:rPr>
          <w:b/>
        </w:rPr>
        <w:t>Shared claim-specific concepts:</w:t>
      </w:r>
      <w:r>
        <w:t xml:space="preserve"> but, quantitative, objectives; EU scope visible. This is a provisional connection, not an outcome finding.</w:t>
      </w:r>
    </w:p>
    <w:p>
      <w:pPr>
        <w:pStyle w:val="SourceNote"/>
      </w:pPr>
      <w:r>
        <w:rPr>
          <w:b/>
        </w:rPr>
        <w:t>Available abstract (not full text):</w:t>
      </w:r>
      <w:r>
        <w:t xml:space="preserve"> Drought stress during reproductive development could drastically reduce wheat grain number and yield, but quantitative evaluation of such an effect is unknown under climate change. The objectives of this study were to evaluate potential yield benefits of drought tolerance during reproductive development for wheat ideotypes under climate change in Europe, and to identify potential cultivar parameters for improvement. We used the Sirius wheat model to optimize drought-tolerant (DT) and drought-sensitive (DS) wheat ideotypes under a future 2050 climate scenario at 13 contrasting sites, representing major wheat growing regions in Europe. Averaged over the sites, DT ideotypes achieved 13.4% greater yield compared with DS, with higher yield stability. However, the performances of the ideotypes were site dependent. Mean yield of DT was 28-37% greater compared with DS in southern Europe. In contrast, no yield difference (≤1%) between ideotypes was found in north-western Europe. An intermediate yield benefit of 10-23% was found due to drought tolerance in central and eastern Europe. We conclude that tolerance to drought stress during reproductive development is important for high yield potentials and greater yield stability of wheat under climate change in Europe.</w:t>
      </w:r>
    </w:p>
    <w:p>
      <w:pPr>
        <w:pStyle w:val="Heading2"/>
      </w:pPr>
      <w:r>
        <w:t>927.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2023:</w:t>
      </w:r>
      <w:r>
        <w:t xml:space="preserve"> The role of the spatial relationships between visitor attractions in shaping visiting patterns — https://doi.org/10.1080/13683500.2023.2173055</w:t>
      </w:r>
    </w:p>
    <w:p>
      <w:pPr/>
      <w:r>
        <w:rPr>
          <w:b/>
        </w:rPr>
        <w:t>Shared claim-specific concepts:</w:t>
      </w:r>
      <w:r>
        <w:t xml:space="preserve"> attraction, visitors; EU scope not established. This is a provisional connection, not an outcome finding.</w:t>
      </w:r>
    </w:p>
    <w:p>
      <w:pPr>
        <w:pStyle w:val="SourceNote"/>
      </w:pPr>
      <w:r>
        <w:rPr>
          <w:b/>
        </w:rPr>
        <w:t>Available abstract (not full text):</w:t>
      </w:r>
      <w:r>
        <w:t xml:space="preserve"> Visitor attractions are a primary tourism product. Yet, little is known about the interrelationships between attractions’ spatial characteristics, their thematic similarities, and product complementarities, and inter-attractions’ compatibility. Furthermore, at the intra-attraction level, the relationships between thematic diversity, complementarities and attraction's appeal remain overlooked. This paper suggests a conceptual framework and empirical approach to explore these relationships econometrically while controlling for tourism cluster density. Based on the conceptual model, several hypotheses were drawn and tested via empirical models by using the primary data from 300 visiting tracks of a random sample of visitors to attractions, surveyed in-situ during a single trip. These observations created the secondary data for 161 combinations (bundles) of attractions. Employing a negative-binomial regression to explain compatibility, we found that intra-level thematic diversity decreases compatibility between attractions and that visitors preferred to visit fewer attractions with more thematic diversity, than visiting more attractions that are less diversified. The paper concludes with policy implications and provides insights into bundling in the context of tourism diversification.</w:t>
      </w:r>
    </w:p>
    <w:p>
      <w:pPr/>
      <w:r>
        <w:rPr>
          <w:b/>
        </w:rPr>
        <w:t>POSSIBLE 2023:</w:t>
      </w:r>
      <w:r>
        <w:t xml:space="preserve"> Dimensions of Visitor Satisfaction at Attractions: A Study of Kakum National Park, Ghana — https://doi.org/10.2478/ejthr-2023-0014</w:t>
      </w:r>
    </w:p>
    <w:p>
      <w:pPr/>
      <w:r>
        <w:rPr>
          <w:b/>
        </w:rPr>
        <w:t>Shared claim-specific concepts:</w:t>
      </w:r>
      <w:r>
        <w:t xml:space="preserve"> used, strategies, visitors; EU scope not established. This is a provisional connection, not an outcome finding.</w:t>
      </w:r>
    </w:p>
    <w:p>
      <w:pPr>
        <w:pStyle w:val="SourceNote"/>
      </w:pPr>
      <w:r>
        <w:rPr>
          <w:b/>
        </w:rPr>
        <w:t>Available abstract (not full text):</w:t>
      </w:r>
      <w:r>
        <w:t xml:space="preserve"> Abstract Attractions are crucial in contributing to the overall satisfaction of visitors in tourism, and ensuring the satisfaction of visitors is key to the sustenance of attractions at destinations. Therefore, this study sought to ascertain the extent to which visitors are satisfied with the service dimensions at Kakum National Park (KNP), and to ascertain whether service dimensions vary with visitors’ socio-demographic characteristics. The study adopted a cross-sectional field survey and sampled 367 respondents for data collection using a questionnaire. Data were analysed via the mean scores and standard deviation. Independent t-tests and ANOVA were used to explore the difference between dimensions of satisfaction and socio-demographic characteristics of visitors. The study found that some satisfaction dimensions at the KNP in the Central region of Ghana vary with certain socio-demographic characteristics of visitors, namely age, continent of origin and level of education, at p-value ≤ 0.05. Visitors were found to be satisfied with all measured dimensions except the price. The study therefore recommends that the management of the attractions adopt conscious service strategies to enrich the experience of visitors in order to ensure better value for their money. This study’s findings expand knowledge about visitor satisfaction and how satisfaction dimensions vary with socio-dem</w:t>
      </w:r>
    </w:p>
    <w:p>
      <w:pPr/>
      <w:r>
        <w:rPr>
          <w:b/>
        </w:rPr>
        <w:t>POSSIBLE 2023:</w:t>
      </w:r>
      <w:r>
        <w:t xml:space="preserve"> Application of Machine Learning Techniques to Predict Visitors to the Tourist Attractions of the Moche Route in Peru — https://doi.org/10.3390/su15118967</w:t>
      </w:r>
    </w:p>
    <w:p>
      <w:pPr/>
      <w:r>
        <w:rPr>
          <w:b/>
        </w:rPr>
        <w:t>Shared claim-specific concepts:</w:t>
      </w:r>
      <w:r>
        <w:t xml:space="preserve"> used, four, develop, visitors; EU scope not established. This is a provisional connection, not an outcome finding.</w:t>
      </w:r>
    </w:p>
    <w:p>
      <w:pPr>
        <w:pStyle w:val="SourceNote"/>
      </w:pPr>
      <w:r>
        <w:rPr>
          <w:b/>
        </w:rPr>
        <w:t>Available abstract (not full text):</w:t>
      </w:r>
      <w:r>
        <w:t xml:space="preserve"> Due to the COVID-19 pandemic, the tourism sector has been one of the most affected sectors and requires management entities to develop urgent measures to reactivate and achieve digital transformation using emerging disruptive technologies. The objective of this research is to apply machine learning techniques to predict visitors to tourist attractions on the Moche Route in northern Peru, for which a methodology based on four main stages was applied: (1) data collection, (2) model analysis, (3) model development, and (4) model evaluation. Public data from official sources and internet data (TripAdvisor and Google Trends) during the period from January 2011 to May 2022 are used. Four algorithms are evaluated: linear regression, KNN regression, decision tree, and random forest. In conclusion, for both the prediction of national and foreign tourists, the best algorithm is linear regression, and the results allow for taking the necessary actions to achieve the digital transformation to promote the Moche Route and, thus, reactivate tourism and the economy in the north of Peru.</w:t>
      </w:r>
    </w:p>
    <w:p>
      <w:pPr/>
      <w:r>
        <w:rPr>
          <w:b/>
        </w:rPr>
        <w:t>POSSIBLE 2022:</w:t>
      </w:r>
      <w:r>
        <w:t xml:space="preserve"> Sports Marketing as a Tool for Creating an Image of Leading European Football Clubs — https://doi.org/10.15611/2022.29.9.03</w:t>
      </w:r>
    </w:p>
    <w:p>
      <w:pPr/>
      <w:r>
        <w:rPr>
          <w:b/>
        </w:rPr>
        <w:t>Shared claim-specific concepts:</w:t>
      </w:r>
      <w:r>
        <w:t xml:space="preserve"> used, create, four, different; EU scope visible. This is a provisional connection, not an outcome finding.</w:t>
      </w:r>
    </w:p>
    <w:p>
      <w:pPr>
        <w:pStyle w:val="SourceNote"/>
      </w:pPr>
      <w:r>
        <w:rPr>
          <w:b/>
        </w:rPr>
        <w:t>Available abstract (not full text):</w:t>
      </w:r>
      <w:r>
        <w:t xml:space="preserve"> The purpose of the article was to describe the sports marketing tools used by leading European football clubs. As the topic was complex, the paper also included a description of the most popular marketing tools in sport. The essence of the article was to present how the image was created by four selected football clubs. The analysis of the above-mentioned activities allowed the author to confirm that the sports marketing tools they use are an effective way to achieve the intended image goals. The main thesis put forward in the paper is that sports marketing is an effective tool for creating a brand image for European sports clubs. Thanks to the availability of contents in literature, internet materials and reports, the said thesis has been proven. When used correctly, sports marketing can create a positive image of a football club in many ways, mainly thanks to modern technology and the development of social media. However, a significant function is still performed by traditional forms of advertising which cannot be replaced by modern marketing. Each football club builds a promotional strategy in a different way, and therefore the topic is complex.</w:t>
      </w:r>
    </w:p>
    <w:p>
      <w:pPr/>
      <w:r>
        <w:rPr>
          <w:b/>
        </w:rPr>
        <w:t>POSSIBLE 2021:</w:t>
      </w:r>
      <w:r>
        <w:t xml:space="preserve"> Creating the European Literary Text Collection (ELTeC): Challenges and Perspectives — https://doi.org/10.3828/mlo.v0i0.364</w:t>
      </w:r>
    </w:p>
    <w:p>
      <w:pPr/>
      <w:r>
        <w:rPr>
          <w:b/>
        </w:rPr>
        <w:t>Shared claim-specific concepts:</w:t>
      </w:r>
      <w:r>
        <w:t xml:space="preserve"> used, four, different, aim; EU scope visible. This is a provisional connection, not an outcome finding.</w:t>
      </w:r>
    </w:p>
    <w:p>
      <w:pPr>
        <w:pStyle w:val="SourceNote"/>
      </w:pPr>
      <w:r>
        <w:rPr>
          <w:b/>
        </w:rPr>
        <w:t>Available abstract (not full text):</w:t>
      </w:r>
      <w:r>
        <w:t xml:space="preserve"> The aim of this contribution is to reflect on the process of building the multilingual European Literary Text Collection (ELTeC) that is being created in the framework of the networking project Distant Reading for European Literary History funded by COST (European Cooperation in Science and Technology). To provide some background, we briefly introduce the basic idea of ELTeC with a focus on the overall goals and intended usage scenarios. We then describe the collection composition principles that we have derived from the usage scenarios. In our discussion of the corpus-building process, we focus on collections of novels from four different literary traditions as components of ELTeC: French, Portuguese, Romanian, and Slovenian, selected from the more than twenty collections that are currently in preparation. For each collection, we describe some of the challenges we have encountered and the solutions developed while building ELTeC. In each case, the literary tradition, the history of the language, the current state of digitization of cultural heritage, the resources available locally, and the scholars’ training level with regard to digitization and corpus building have been vastly different. How can we, in this context, hope to build comparable collections of novels that can usefully be integrated into a multilingual resource such as ELTeC and used in Distant Reading research? B</w:t>
      </w:r>
    </w:p>
    <w:p>
      <w:pPr/>
      <w:r>
        <w:rPr>
          <w:b/>
        </w:rPr>
        <w:t>POSSIBLE 2021:</w:t>
      </w:r>
      <w:r>
        <w:t xml:space="preserve"> Towards a visitor taxonomy at (film-induced) heritage attractions — https://doi.org/10.1080/1743873x.2021.2002340</w:t>
      </w:r>
    </w:p>
    <w:p>
      <w:pPr/>
      <w:r>
        <w:rPr>
          <w:b/>
        </w:rPr>
        <w:t>Shared claim-specific concepts:</w:t>
      </w:r>
      <w:r>
        <w:t xml:space="preserve"> four, products, visitors; EU scope not established. This is a provisional connection, not an outcome finding.</w:t>
      </w:r>
    </w:p>
    <w:p>
      <w:pPr>
        <w:pStyle w:val="SourceNote"/>
      </w:pPr>
      <w:r>
        <w:rPr>
          <w:b/>
        </w:rPr>
        <w:t>Available abstract (not full text):</w:t>
      </w:r>
      <w:r>
        <w:t xml:space="preserve"> Film-induced tourism at heritage attractions (HAs) is a growing industry of international relevance. It can influence visitors’ expectations of the site and further their preferences for interpretation to include a degree of reference to the film(s). Drawing upon in-depth interviews with visitors at a UK HA further popularised through book and film, this paper explores visitors’ preferences for heritage interpretation. The paper identifies four visitor taxonomies – vigorous followers, curious investigators, versatile explorers and purposeful avoiders. It ultimately highlights the value of data-driven visitor taxonomies, providing an in-depth insight into heritage tourism in general and film-induced tourism at this heritage site in particular. Thus, this paper contributes to a greater understanding of the popular media products’ influence on visitor preferences for on-site heritage interpretation.</w:t>
      </w:r>
    </w:p>
    <w:p>
      <w:pPr/>
      <w:r>
        <w:rPr>
          <w:b/>
        </w:rPr>
        <w:t>POSSIBLE 2020:</w:t>
      </w:r>
      <w:r>
        <w:t xml:space="preserve"> Escape rooms as tourist attractions: Enhancing visitors' experience through new technologies — https://doi.org/10.5281/zenodo.3836649</w:t>
      </w:r>
    </w:p>
    <w:p>
      <w:pPr/>
      <w:r>
        <w:rPr>
          <w:b/>
        </w:rPr>
        <w:t>Shared claim-specific concepts:</w:t>
      </w:r>
      <w:r>
        <w:t xml:space="preserve"> create, strategies, visitors; EU scope visible. This is a provisional connection, not an outcome finding.</w:t>
      </w:r>
    </w:p>
    <w:p>
      <w:pPr>
        <w:pStyle w:val="SourceNote"/>
      </w:pPr>
      <w:r>
        <w:rPr>
          <w:b/>
        </w:rPr>
        <w:t>Available abstract (not full text):</w:t>
      </w:r>
      <w:r>
        <w:t xml:space="preserve"> Purpose: This paper aims to assess the impact of new technologies on escape room visitors’ experience based on the analysis of online reviews. Over the last five years, real-life escape rooms have become popular tourist attractions in many European cities. Growing competition stimulates the escape room providers to search for new experience design strategies. One of the new strategies assumes the active use of new technologies, including special effects and virtual reality technologies opting. Methods: The present study is based on the evidence from Claustrophobia, one of the leading European technologically advanced escape room providers. The empirical part of the study includes a semi-structured interview with the company’s co-founder and an analysis of 746 visitors’ reviews posted on TripAdvisor. Results: The results show that technologically sophisticated escape rooms create a more authentic tourist experience with a deeper immersion in the escape room theme. At the same time, technical failures and bugs can reduce visitors’ satisfaction. Implications: These results suggest that high-tech escape rooms could become more attractive tourist attractions only if their owners can invest substantial funds in maintaining the technical level and staff training. High-tech escape room providers need to maintain high expenditures for technical support and staff training in order to bui</w:t>
      </w:r>
    </w:p>
    <w:p>
      <w:pPr/>
      <w:r>
        <w:rPr>
          <w:b/>
        </w:rPr>
        <w:t>POSSIBLE 2019:</w:t>
      </w:r>
      <w:r>
        <w:t xml:space="preserve"> Plantation forests in Europe: challenges and opportunities — https://doi.org/10.36333/fs09</w:t>
      </w:r>
    </w:p>
    <w:p>
      <w:pPr/>
      <w:r>
        <w:rPr>
          <w:b/>
        </w:rPr>
        <w:t>Shared claim-specific concepts:</w:t>
      </w:r>
      <w:r>
        <w:t xml:space="preserve"> create, four, different, develop, innovative, strategies;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2019:</w:t>
      </w:r>
      <w:r>
        <w:t xml:space="preserve"> Sign consumption and sign promotion in visitor attractions — https://doi.org/10.1108/ijchm-07-2018-0543</w:t>
      </w:r>
    </w:p>
    <w:p>
      <w:pPr/>
      <w:r>
        <w:rPr>
          <w:b/>
        </w:rPr>
        <w:t>Shared claim-specific concepts:</w:t>
      </w:r>
      <w:r>
        <w:t xml:space="preserve"> used, attraction, visitors; EU scope not established. This is a provisional connection, not an outcome finding.</w:t>
      </w:r>
    </w:p>
    <w:p>
      <w:pPr>
        <w:pStyle w:val="SourceNote"/>
      </w:pPr>
      <w:r>
        <w:rPr>
          <w:b/>
        </w:rPr>
        <w:t>Available abstract (not full text):</w:t>
      </w:r>
      <w:r>
        <w:t xml:space="preserve"> Purpose Drawing upon Baudrillard’s concept of sign-value, this study aims to investigate consumer behavior and sign perception in visitor attractions. Design/methodology/approach By adopting netnography, 133 customer-to-customer reviews sourced from TripAdvisor were analyzed regarding visitors’ online post-visit impressions. Findings The findings reveal that netnography contributes to a deeper understanding of sign consumption and sign promotion and examines how visitors attribute symbolic meanings to their experience in Titanic Belfast. Practical implications The findings show that the co-creation and reevaluation of the visitor experience through consumers’ online reviews should be taken into account by both managers and marketers. Furthermore, advertising should avoid creating excessive expectations to visitors to decrease the possibility of negative disconfirmation, which can be easily and instantly spread online. Another implication concerns the winning awards of visitor attractions, hotels and restaurants of a destination which may be used as a basis of co-branding marketing campaigns to enhance destination brand image. Social implications This study continues the debate on the commodification of the visitor experience and the commercialization of visitor attractions. Originality/value This paper provides better understanding of sign-value, sign consumption and sign promo</w:t>
      </w:r>
    </w:p>
    <w:p>
      <w:pPr>
        <w:pStyle w:val="Heading2"/>
      </w:pPr>
      <w:r>
        <w:t>928.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Towards a common defence? : the European Union between ambition and constraints — https://openalex.org/W7132684404</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Russian invasion of Ukraine in 2022 has marked a new phase of instability, bringing high- intensity ground warfare back to the European continent and underscoring the European Union’s (EU) urgent need to strengthen its security and defence posture. This turning point has reignited the debate – both among national governments and within European institutions – on the prospect of establishing a common defence, and even, in the longer term, a common European army. Yet significant questions remain regarding what the creation of a European army would entail and the concrete steps to achieve it.This dissertation investigates the process of European integration in the field of defence, with particular attention to the legal and institutional instruments that have shaped the evolution of the Common Security and Defence Policy (CSDP), as well as the debate surrounding the potential development of a unified army for the 27 Member States. The analysis focuses on the mechanisms of cooperation already in place at the European level and the challenges the Union faces in reconciling political ambition, legal constraints, and national resistance.This thesis seeks to assess whether, over time, the EU has developed adequate instruments to ensure strategic autonomy and operational capability in the field of defence and how these might lay the groundwork for the eventual creation of a common E</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Towards climate neutrality in the European Union — https://doi.org/10.12681/ri.40696</w:t>
      </w:r>
    </w:p>
    <w:p>
      <w:pPr/>
      <w:r>
        <w:rPr>
          <w:b/>
        </w:rPr>
        <w:t>Shared claim-specific concepts:</w:t>
      </w:r>
      <w:r>
        <w:t xml:space="preserve"> union, ambition, achieve, carbon, transport; EU scope visible. This is a provisional connection, not an outcome finding.</w:t>
      </w:r>
    </w:p>
    <w:p>
      <w:pPr>
        <w:pStyle w:val="SourceNote"/>
      </w:pPr>
      <w:r>
        <w:rPr>
          <w:b/>
        </w:rPr>
        <w:t>Available abstract (not full text):</w:t>
      </w:r>
      <w:r>
        <w:t xml:space="preserve"> The European Union (EU) has significantly reduced its net greenhouse gas (GHG) emissions since 2005. However, the pace of reductions must accelerate substantially—more than doubling the average annual rate observed between 2005 and 2022—if the EU is to achieve its 2030 target of at least a 55% net reduction in GHG emissions compared to 1990 levels, and climate neutrality by 2050. Additional efforts are needed across all sectors, i.e. energy, transport, industry, buildings and others. In addition, attention is needed regarding the land use, land-use change, and forestry (LULUCF) sector, where the carbon sink has sharply declined since 2015. Achieving the 2030 target depends on the effective implementation of the Fit for 55 package, especially at the national level. This paper1 provides a brief overview of the EU’s climate ambition and presents key findings and recommendations of the European Scientific Advisory Board on Climate Change (hereinafter referred to as the Advisory Board) on the consistency of EU and national measures with the overarching climate neutrality objectives.</w:t>
      </w:r>
    </w:p>
    <w:p>
      <w:pPr/>
      <w:r>
        <w:rPr>
          <w:b/>
        </w:rPr>
        <w:t>POSSIBLE 2024:</w:t>
      </w:r>
      <w:r>
        <w:t xml:space="preserve"> Climate Obstruction in the European Union — https://doi.org/10.1093/oso/9780197762042.003.0013</w:t>
      </w:r>
    </w:p>
    <w:p>
      <w:pPr/>
      <w:r>
        <w:rPr>
          <w:b/>
        </w:rPr>
        <w:t>Shared claim-specific concepts:</w:t>
      </w:r>
      <w:r>
        <w:t xml:space="preserve"> abstract, union, ambition, role, capture;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Wanted Refugees: The Forming of an Instrument Constituency for Refugee Resettlement in the European Union — https://doi.org/10.1093/rsq/hdae006</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Agency for Asylum has emerged as an important actor in the Common European Asylum System in the past few years. In this article, we explore how the agency engages in capacity-building by looking at the development of bureaucratic instruments. We deploy the theoretical framework of instrument constituencies to investigate the agency’s development of instruments around resettlement. In relation to the literature on European migration management, deploying the theoretical framework of instrument constituencies is a novel approach. Given the European Union’s limited mandate to directly influence Member States resettlement programmes, we argue that the development of bureaucratic instruments is one of the few avenues through which the European Union can facilitate resettlement. This study reveals how the proliferation in the use of these instruments by Member State authorities is driven by a political ambition to create a more orderly form of migration and is contrasted with the seemingly uncontrollable nature of asylum. Beyond being a direct solution to a practical problem, the policy instruments studied here reveal how new bureaucratic practices around resettlement are gradually being established. We show how resettlement is continuously evolving in the intersection between Member States and the European Union in the governing of migration.</w:t>
      </w:r>
    </w:p>
    <w:p>
      <w:pPr/>
      <w:r>
        <w:rPr>
          <w:b/>
        </w:rPr>
        <w:t>POSSIBLE 2024:</w:t>
      </w:r>
      <w:r>
        <w:t xml:space="preserve"> Children’s Rights and the European Union – Framework — https://doi.org/10.71009/2024.ar.crirhrs_3</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According to the Principle of conferral, the European Union has no competences over family law, including the regulation of children’s rights. Therefore, legally binding documents (Treaty on European Union, Treaty on the Functioning of the European Union, and the Charter of Fundamental Rights of the European Union) refer to (some) children’s rights and the principles of treatment of children at a generic level. This fact does not present a major obstacle because all the European Union Member States are parties to the Convention on the Rights of the Child and many other treaties that regulate children’s rights in greater detail. Non-binding documents appear in a frenzy and show an ambition to resolve many children’s problems typically observed in developed countries of the world, including those of the European Union. As their provisions often overlap and aim to achieve many objectives, the question arises as to the purposefulness of many soft law documents, such as strategies, guidelines, resolutions, communications, recommendations, and agendas. They reflect the significant and specific problems encountered by children in the European Union and indicate the need for children’s rights to be exercised. Moreover, they are a signal to adults, not only parents, to do more for the protection of children and their rights. However, it is unclear to what extent soft law can provide an </w:t>
      </w:r>
    </w:p>
    <w:p>
      <w:pPr/>
      <w:r>
        <w:rPr>
          <w:b/>
        </w:rPr>
        <w:t>POSSIBLE 2022:</w:t>
      </w:r>
      <w:r>
        <w:t xml:space="preserve"> The European Union as a Community of Super Wicked Problems and Its Ambition–Authority Deficit — https://doi.org/10.1093/oso/9780192897541.003.0002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has an ambition–authority deficit. Its ambition is to deal with problems that are too difficult for member states in a way that requires them to grant considerable authority to foreigners. Its limited legitimacy restricts how it does this and wider acceptance of its solutions. This deficit’s unmanageability threatens the Union with collapse. The Union has therefore developed four strategies—legislative compacts, administrative coordination, resourced co-option, and discounting—to temper this mission’s demands. However, only one, legislative compacts, both plausibly manages this deficit and allows the Union to realize its mission. The challenge is therefore to generalize this strategy but address its central limitations, most centrally its legal formalism and collective action problems, in a way that does not harm its operational effectiveness. This will involve granting member states some autonomy, but paradoxically it protects the Union from its current slow-motion collapse rather than threatening that collapse.</w:t>
      </w:r>
    </w:p>
    <w:p>
      <w:pPr/>
      <w:r>
        <w:rPr>
          <w:b/>
        </w:rPr>
        <w:t>POSSIBLE 2022:</w:t>
      </w:r>
      <w:r>
        <w:t xml:space="preserve"> Soil priorities in the European Union — https://doi.org/10.1016/j.geodrs.2022.e00510</w:t>
      </w:r>
    </w:p>
    <w:p>
      <w:pPr/>
      <w:r>
        <w:rPr>
          <w:b/>
        </w:rPr>
        <w:t>Shared claim-specific concepts:</w:t>
      </w:r>
      <w:r>
        <w:t xml:space="preserve"> union, achieve, carbon; EU scope visible. This is a provisional connection, not an outcome finding.</w:t>
      </w:r>
    </w:p>
    <w:p>
      <w:pPr>
        <w:pStyle w:val="SourceNote"/>
      </w:pPr>
      <w:r>
        <w:rPr>
          <w:b/>
        </w:rPr>
        <w:t>Available abstract (not full text):</w:t>
      </w:r>
      <w:r>
        <w:t xml:space="preserve"> Soils provide crucial ecosystem services such as the provision of food, carbon sequestration and water purification. Soil is the largest terrestrial pool of carbon, hosts more than 25% of all biodiversity and provides 95–99% of food to 8 billion people. The European Union (EU) puts the concept of healthy soils at the core of the European Green Deal to achieve climate neutrality, zero pollution, sustainable food provision and a resilient environment. Given the European Union's objective to become the first climate neutral continent by 2050, the European Commission adopted a series of communications for a greener Europe. In 2020, an ambitious package of measures were presented within the Biodiversity 2030, Farm to Fork and Chemicals Strategies, as well as the Circular Economy Action Plan and the European Climate Law, which included actions to protect soils (Montanarella and Panagos, 2021). In 2021, these were followed by the Fit for 55 package, the Zero Pollution Action Plan and the EU Soil Strategy for 2030. All these policies include provisions relevant to soils to achieve the ambitious objectives of the EU Green Deal.</w:t>
      </w:r>
    </w:p>
    <w:p>
      <w:pPr/>
      <w:r>
        <w:rPr>
          <w:b/>
        </w:rPr>
        <w:t>POSSIBLE 2021:</w:t>
      </w:r>
      <w:r>
        <w:t xml:space="preserve"> The European Union as a Global Power? — https://doi.org/10.1093/oso/9780192895820.003.0015</w:t>
      </w:r>
    </w:p>
    <w:p>
      <w:pPr/>
      <w:r>
        <w:rPr>
          <w:b/>
        </w:rPr>
        <w:t>Shared claim-specific concepts:</w:t>
      </w:r>
      <w:r>
        <w:t xml:space="preserve"> abstract, union, role; EU scope visible. This is a provisional connection, not an outcome finding.</w:t>
      </w:r>
    </w:p>
    <w:p>
      <w:pPr>
        <w:pStyle w:val="SourceNote"/>
      </w:pPr>
      <w:r>
        <w:rPr>
          <w:b/>
        </w:rPr>
        <w:t>Available abstract (not full text):</w:t>
      </w:r>
      <w:r>
        <w:t xml:space="preserve"> Abstract European integration started after the Second World War as an effort to bring peace in the Old Continent and to promote the unity of its peoples in a categorical rejection of nationalism. Hence, the very reason of making a united Europe was internal in its roots. Without denying the extraordinary achievements of the European project, today we can no longer give traditional answers to the fundamental question: ‘Why make Europe?’ If yesterday the underlying reason was clear to everyone—peace, in fact—today it is no longer the case. One of the ‘positive’ aspects of Brexit—and there are very few!—is having awakened Europe from a dangerous, deterministic, and almost dogmatic inertia of giving ‘Just because’ as the answer. So why should we continue to build a united Europe? Why do we need the European Union in the twenty-first century? In a nutshell the answer is that from the hegemon it was until the twentieth century, Europe must become a beacon for the world as a value-based global power. This is the essence of the new role that Europe is called to play in the world. In order to do this, we can no longer just look at internal causes for making Europe, but must also take into account the external context. In other words, we should adopt a mentality whereby European values coincide with European strategic interests. This shift is the key to making Europe live up to its glob</w:t>
      </w:r>
    </w:p>
    <w:p>
      <w:pPr>
        <w:pStyle w:val="Heading2"/>
      </w:pPr>
      <w:r>
        <w:t>929.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main, used, present, since;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Building ‘implicit partnerships’? Financial long-term care entitlements in Europe — https://doi.org/10.1007/s11077-020-09403-1</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Abstract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2020:</w:t>
      </w:r>
      <w:r>
        <w:t xml:space="preserve"> Agroforestry Benefits and Challenges for Adoption in Europe and Beyond — https://doi.org/10.3390/su12177001</w:t>
      </w:r>
    </w:p>
    <w:p>
      <w:pPr/>
      <w:r>
        <w:rPr>
          <w:b/>
        </w:rPr>
        <w:t>Shared claim-specific concepts:</w:t>
      </w:r>
      <w:r>
        <w:t xml:space="preserve"> finally, they, financial; EU scope visible. This is a provisional connection, not an outcome finding.</w:t>
      </w:r>
    </w:p>
    <w:p>
      <w:pPr>
        <w:pStyle w:val="SourceNote"/>
      </w:pPr>
      <w:r>
        <w:rPr>
          <w:b/>
        </w:rPr>
        <w:t>Available abstract (not full text):</w:t>
      </w:r>
      <w:r>
        <w:t xml:space="preserve"> Soil degradation is a global concern, decreasing the soil’s ability to perform a multitude of functions. In Europe, one of the leading causes of soil degradation is unsustainable agricultural practices. Hence, there is a need to explore alternative production systems for enhanced agronomic productivity and environmental performance, such as agroforestry systems (AFS). Given this, the objective of the study is to enumerate the major benefits and challenges in the adoption of AFS. AFS can improve agronomic productivity, carbon sequestration, nutrient cycling, soil biodiversity, water retention, and pollination. Furthermore, they can reduce soil erosion and incidence of fire and provide recreational and cultural benefits. There are several challenges to the adoption and uptake of AFS in Europe, including high costs for implementation, lack of financial incentives, limited AFS product marketing, lack of education, awareness, and field demonstrations. Policies for financial incentives such as subsidies and payments for ecosystem services provided by AFS must be introduced or amended. Awareness of AFS products must be increased for consumers through appropriate marketing strategies, and landowners need more opportunities for education on how to successfully manage diverse, economically viable AFS. Finally, field-based evidence is required for informed decision-making by farmers, advi</w:t>
      </w:r>
    </w:p>
    <w:p>
      <w:pPr/>
      <w:r>
        <w:rPr>
          <w:b/>
        </w:rPr>
        <w:t>POSSIBLE 2019:</w:t>
      </w:r>
      <w:r>
        <w:t xml:space="preserve"> Social enterprises and their ecosystems in Europe — https://doi.org/10.2767/330252</w:t>
      </w:r>
    </w:p>
    <w:p>
      <w:pPr/>
      <w:r>
        <w:rPr>
          <w:b/>
        </w:rPr>
        <w:t>Shared claim-specific concepts:</w:t>
      </w:r>
      <w:r>
        <w:t xml:space="preserve"> they, present, since;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2019:</w:t>
      </w:r>
      <w:r>
        <w:t xml:space="preserve"> Industry Concentration in Europe and North America — https://doi.org/10.1787/2ff98246-en</w:t>
      </w:r>
    </w:p>
    <w:p>
      <w:pPr/>
      <w:r>
        <w:rPr>
          <w:b/>
        </w:rPr>
        <w:t>Shared claim-specific concepts:</w:t>
      </w:r>
      <w:r>
        <w:t xml:space="preserve"> observed, trends, two; EU scope visible. This is a provisional connection, not an outcome finding.</w:t>
      </w:r>
    </w:p>
    <w:p>
      <w:pPr>
        <w:pStyle w:val="SourceNote"/>
      </w:pPr>
      <w:r>
        <w:rPr>
          <w:b/>
        </w:rPr>
        <w:t>Available abstract (not full text):</w:t>
      </w:r>
      <w:r>
        <w:t xml:space="preserve"> This report presents new evidence on industry concentration trends in Europe and in North America. It uses two novel data sources: representative firm-level concentration measures from the OECD MultiProd project, and business-group-level concentration measures using matched Orbis-Worldscope-Zephyr data. Based on the MultiProd data, it finds that between 2001 and 2012 the average industry across 10 European economies saw a 2-3-percentage-point increase in the share of the 10% largest companies in industry sales. Using the Orbis-Worldscope-Zephyr data, it documents a clear increase in industry concentration in Europe as well as in North America between 2000 and 2014 of the order of 4-8 percentage points for the average industry. Over the period, about 3 out of 4 (2-digit) industries in each region saw their concentration increase. The increase is observed for both manufacturing and non-financial services and is not driven by digital-intensive sectors.</w:t>
      </w:r>
    </w:p>
    <w:p>
      <w:pPr/>
      <w:r>
        <w:rPr>
          <w:b/>
        </w:rPr>
        <w:t>POSSIBLE 2019:</w:t>
      </w:r>
      <w:r>
        <w:t xml:space="preserve"> Trichinella and trichinellosis in Europe — https://doi.org/10.2298/vetgl190411017p</w:t>
      </w:r>
    </w:p>
    <w:p>
      <w:pPr/>
      <w:r>
        <w:rPr>
          <w:b/>
        </w:rPr>
        <w:t>Shared claim-specific concepts:</w:t>
      </w:r>
      <w:r>
        <w:t xml:space="preserve"> they, main, used, findings, among, two; EU scope visible. This is a provisional connection, not an outcome finding.</w:t>
      </w:r>
    </w:p>
    <w:p>
      <w:pPr>
        <w:pStyle w:val="SourceNote"/>
      </w:pPr>
      <w:r>
        <w:rPr>
          <w:b/>
        </w:rPr>
        <w:t>Available abstract (not full text):</w:t>
      </w:r>
      <w:r>
        <w:t xml:space="preserve"> Background: Trichinellosis, the proper term for the human zoonotic disease is caused by nematodes of the genus Trichinella. These zoonotic parasites show a cosmopolitan distribution in all the continents but Antarctica. They circulate in nature by synanthropic-domestic and sylvatic cycles that are correlated with each other. Today, nine species and three genotypes are recognized in this genus, all of which infect mammals, including humans, while one species also infects birds, and two other species also infect reptiles. Scope and Approach: To review the recent literature on these pathogens, which are unusual among the other nematodes in that the worm undergoes a complete developmental cycle, from larva to adult to larva, in the body of a single host, which has a profound influence on the epidemiology of trichinellosis as a zoonosis. When the cycle is complete, the muscles of the infected animal contain a reservoir of larvae capable of long-term survival. Humans and other hosts become infected by ingesting muscle tissues containing viable larvae. Key Findings and Conclusions: The main source of human infection is raw or under-cooked meat products from pig, wild boar, bear, walrus, and horses, but meat products from other animals have been implicated. Both pre-slaughter prevention and post-slaughter control can be used to prevent Trichinella infections in animals. The first invol</w:t>
      </w:r>
    </w:p>
    <w:p>
      <w:pPr/>
      <w:r>
        <w:rPr>
          <w:b/>
        </w:rPr>
        <w:t>POSSIBLE 2016:</w:t>
      </w:r>
      <w:r>
        <w:t xml:space="preserve"> European Red List of Grasshoppers, Crickets and Bush-crickets — https://doi.org/10.2779/356312</w:t>
      </w:r>
    </w:p>
    <w:p>
      <w:pPr/>
      <w:r>
        <w:rPr>
          <w:b/>
        </w:rPr>
        <w:t>Shared claim-specific concepts:</w:t>
      </w:r>
      <w:r>
        <w:t xml:space="preserve"> finally, they, according, main, used, trends; EU scope visible. This is a provisional connection, not an outcome finding.</w:t>
      </w:r>
    </w:p>
    <w:p>
      <w:pPr>
        <w:pStyle w:val="SourceNote"/>
      </w:pPr>
      <w:r>
        <w:rPr>
          <w:b/>
        </w:rPr>
        <w:t>Available abstract (not full text):</w:t>
      </w:r>
      <w:r>
        <w:t xml:space="preserve"> The European Red List is a review of the conservation status of European species according to IUCN regional Red Listing guidelines. It identifies those species that are threatened with extinction at the regional level, so that appropriate conservation action can be taken to improve their status. This Red List publication summarises results for all hitherto described native European Orthoptera species (grasshoppers, crickets and bush-crickets). All Orthoptera species (grasshoppers, crickets and bushcrickets) native to or naturalised in Europe before AD 1500 (a total of 1,082 species), have been assessed in this Red List. The geographical scope is continent-wide, extending from Iceland in the west to the Urals in the east, and from Franz Josef Land in the north to the Canary Islands in the south. The Caucasus region is not included. Red List assessments were made at two regional levels: for geographical Europe, and for the 28 Member States of the European Union in 2016. The status of all species was assessed using the IUCN Red List Categories and Criteria (IUCN 2012a), which is the world’s most widely accepted system for measuring extinction risk. All assessments followed the Guidelines for Application of IUCN Red List Criteria at Regional and National Levels (IUCN 2012b). The assessments were compiled based on the data and knowledge from a network of leading European experts on </w:t>
      </w:r>
    </w:p>
    <w:p>
      <w:pPr/>
      <w:r>
        <w:rPr>
          <w:b/>
        </w:rPr>
        <w:t>POSSIBLE 2015:</w:t>
      </w:r>
      <w:r>
        <w:t xml:space="preserve"> Carbapenemase-producing Enterobacteriaceae in Europe: assessment by national experts from 38 countries, May 2015 — https://doi.org/10.2807/1560-7917.es.2015.20.45.30062</w:t>
      </w:r>
    </w:p>
    <w:p>
      <w:pPr/>
      <w:r>
        <w:rPr>
          <w:b/>
        </w:rPr>
        <w:t>Shared claim-specific concepts:</w:t>
      </w:r>
      <w:r>
        <w:t xml:space="preserve"> they, build, two; EU scope visible. This is a provisional connection, not an outcome finding.</w:t>
      </w:r>
    </w:p>
    <w:p>
      <w:pPr>
        <w:pStyle w:val="SourceNote"/>
      </w:pPr>
      <w:r>
        <w:rPr>
          <w:b/>
        </w:rPr>
        <w:t>Available abstract (not full text):</w:t>
      </w:r>
      <w:r>
        <w:t xml:space="preserve"> In 2012, the European Centre for Disease Prevention and Control (ECDC) launched the 'European survey of carbapenemase-producing Enterobacteriaceae (EuSCAPE)' project to gain insights into the occurrence and epidemiology of carbapenemase-producing Enterobacteriaceae (CPE), to increase the awareness of the spread of CPE, and to build and enhance the laboratory capacity for diagnosis and surveillance of CPE in Europe. Data collected through a post-EuSCAPE feedback questionnaire in May 2015 documented improvement compared with 2013 in capacity and ability to detect CPE and identify the different carbapenemases genes in the 38 participating countries, thus contributing to their awareness of and knowledge about the spread of CPE. Over the last two years, the epidemiological situation of CPE worsened, in particular with the rapid spread of carbapenem-hydrolysing oxacillinase-48 (OXA-48)- and New Delhi metallo-beta-lactamase (NDM)-producing Enterobacteriaceae. In 2015, 13/38 countries reported inter-regional spread of or an endemic situation for CPE, compared with 6/38 in 2013. Only three countries replied that they had not identified one single case of CPE. The ongoing spread of CPE represents an increasing threat to patient safety in European hospitals, and a majority of countries reacted by establishing national CPE surveillances systems and issuing guidance on control measures for </w:t>
      </w:r>
    </w:p>
    <w:p>
      <w:pPr>
        <w:pStyle w:val="Heading2"/>
      </w:pPr>
      <w:r>
        <w:t>930.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2023:</w:t>
      </w:r>
      <w:r>
        <w:t xml:space="preserve"> Rebuilding the fortress? Europe in a changing world economy — https://doi.org/10.1080/09692290.2023.2211281</w:t>
      </w:r>
    </w:p>
    <w:p>
      <w:pPr/>
      <w:r>
        <w:rPr>
          <w:b/>
        </w:rPr>
        <w:t>Shared claim-specific concepts:</w:t>
      </w:r>
      <w:r>
        <w:t xml:space="preserve"> world, economy, international, trade; EU scope visible. This is a provisional connection, not an outcome finding.</w:t>
      </w:r>
    </w:p>
    <w:p>
      <w:pPr>
        <w:pStyle w:val="SourceNote"/>
      </w:pPr>
      <w:r>
        <w:rPr>
          <w:b/>
        </w:rPr>
        <w:t>Available abstract (not full text):</w:t>
      </w:r>
      <w:r>
        <w:t xml:space="preserve"> Two rival visions of Europe's place in the world economy competed for primacy throughout the post-war era.The idea of an 'Atlantic Europe' promoted close economic ties to the United States and integration into the liberal international order.An alternative 'Fortress Europe' vision aimed to carve out a sphere of relative European autonomy backed by trade barriers and industrial protectionism.While many argued that the 'Fortress Europe' vision was defeated during the globalization of the 1990s and 2000s, concepts such as economic sovereignty, industrial strategy and 'strategic autonomy' have returned to EU circles.Is a rebuilding of 'Fortress Europe' taking place in this context?This paper argues that the old tension between 'Atlantic' and 'Fortress' Europe is re-emerging but in a new form and under a new set of international conditions.A 'selective fortification' of European industrial strategy and trade policy is taking shape, as EU policymakers develop targeted instruments and institutional capacities that aim to insulate European firms from new patterns of international competition.The selective refortification of European capitalism has implications for debates within international political economy (IPE) on the future of liberal international order, new patterns of competitive regionalization, and the restructuring of the relation between the state and global capitalism.</w:t>
      </w:r>
    </w:p>
    <w:p>
      <w:pPr/>
      <w:r>
        <w:rPr>
          <w:b/>
        </w:rPr>
        <w:t>POSSIBLE 2023:</w:t>
      </w:r>
      <w:r>
        <w:t xml:space="preserve"> The Contested World Economy — https://doi.org/10.1017/9781009337489</w:t>
      </w:r>
    </w:p>
    <w:p>
      <w:pPr/>
      <w:r>
        <w:rPr>
          <w:b/>
        </w:rPr>
        <w:t>Shared claim-specific concepts:</w:t>
      </w:r>
      <w:r>
        <w:t xml:space="preserve"> world, economy, international; EU scope visible. This is a provisional connection, not an outcome finding.</w:t>
      </w:r>
    </w:p>
    <w:p>
      <w:pPr>
        <w:pStyle w:val="SourceNote"/>
      </w:pPr>
      <w:r>
        <w:rPr>
          <w:b/>
        </w:rPr>
        <w:t>Available abstract (not full text):</w:t>
      </w:r>
      <w:r>
        <w:t xml:space="preserve"> The rapid growth of the field of international political economy since the 1970s has revived an older tradition of thought from the pre-1945 era. The Contested World Economy provides the first book-length analysis of these deep intellectual roots of the field, revealing how earlier debates about the world economy were more global and wide-ranging than usually recognized. Helleiner shows how pre-1945 pioneers of international political economy included thinkers from all parts of the world rather than just those from Europe and the United States featured in most textbooks. Their discussions also went beyond the much-studied debate between economic liberals, neomercantilists, and Marxists, and addressed wider topics, including many with contemporary relevance, such as environmental degradation, gender inequality, racial discrimination, religious worldviews, civilizational values, national self-sufficiency, and varieties of economic regionalism. This fascinating history of ideas sheds new light on current debates and the need for a global understanding of their antecedents.</w:t>
      </w:r>
    </w:p>
    <w:p>
      <w:pPr/>
      <w:r>
        <w:rPr>
          <w:b/>
        </w:rPr>
        <w:t>POSSIBLE 2021:</w:t>
      </w:r>
      <w:r>
        <w:t xml:space="preserve"> Sustainable entrepreneurship education for circular economy: emerging perspectives in Europe — https://doi.org/10.1108/ijebr-03-2021-0210</w:t>
      </w:r>
    </w:p>
    <w:p>
      <w:pPr/>
      <w:r>
        <w:rPr>
          <w:b/>
        </w:rPr>
        <w:t>Shared claim-specific concepts:</w:t>
      </w:r>
      <w:r>
        <w:t xml:space="preserve"> four, world, economy, aims, analyse, main; EU scope visible. This is a provisional connection, not an outcome finding.</w:t>
      </w:r>
    </w:p>
    <w:p>
      <w:pPr>
        <w:pStyle w:val="SourceNote"/>
      </w:pPr>
      <w:r>
        <w:rPr>
          <w:b/>
        </w:rPr>
        <w:t>Available abstract (not full text):</w:t>
      </w:r>
      <w:r>
        <w:t xml:space="preserve"> Purpose The paper aims to contribute to the Circular Economy debate from the Entrepreneurship Education perspective. Despite scholars' growing interest in both these research streams, scarce consideration is given to the comprehension of their mutual implications and meaning. Design/methodology/approach The paper is based on a cross-case analysis. It compares 16 higher education programmes launched by Universities in Europe aimed to create competences and skills for Circular Economy in students with different profiles. The analysis provides a critical view of the emerging trends for the entrepreneurship education skills and competencies needed for the emerging circular entrepreneurship paradigm. Findings The paper discusses the main trends of Entrepreneurship Education focused on Circular Economy debate at the European level: rationale and learning objectives (why); contents (what), target students and stakeholders (who) and the learning processes (how). Four thematic areas are identified as common patterns: circular economy business model, green supply chain management, technology entrepreneurship and innovation and public policies and institutional frameworks. Research limitations/implications The paper sheds new light on a still under-researched area, suggesting several implications and avenues for future research in Circular Economy and Entrepreneurship Education. Limitatio</w:t>
      </w:r>
    </w:p>
    <w:p>
      <w:pPr/>
      <w:r>
        <w:rPr>
          <w:b/>
        </w:rPr>
        <w:t>POSSIBLE 2021:</w:t>
      </w:r>
      <w:r>
        <w:t xml:space="preserve"> Bioeconomic development in Europe and in the world — https://doi.org/10.1051/e3sconf/202124410061</w:t>
      </w:r>
    </w:p>
    <w:p>
      <w:pPr/>
      <w:r>
        <w:rPr>
          <w:b/>
        </w:rPr>
        <w:t>Shared claim-specific concepts:</w:t>
      </w:r>
      <w:r>
        <w:t xml:space="preserve"> world, international, challenges, present; EU scope visible. This is a provisional connection, not an outcome finding.</w:t>
      </w:r>
    </w:p>
    <w:p>
      <w:pPr>
        <w:pStyle w:val="SourceNote"/>
      </w:pPr>
      <w:r>
        <w:rPr>
          <w:b/>
        </w:rPr>
        <w:t>Available abstract (not full text):</w:t>
      </w:r>
      <w:r>
        <w:t xml:space="preserve"> Bioeconomy is one of the leading science directions at the present time; countries and international organizations around the world pay close attention to it. They are actively working on policies and strategies for the transition to a bioeconomy. Bioeconomy is based on advances in microbiology that can be used in various processes associated with the use of biological resources; it is changing consumer preferences by bringing a new understanding of resource constraints. Despite the fact that a great contribution has already been made to the science of bioeconomy, much in it still refers to promising scientific developments in such areas as biology, biomedicine, engineering, artificial intelligence, technology, chemistry, etc. This paper provides an overview of the current strategies of different countries in the development and implementation of bioeconomy. Purpose of the work: systematization of target indicators and identification of the most significant among them for different economies. The results of the study point to the need for an in-depth analysis of the challenges and opportunities the world faces on the road to bioeconomy. In addition, it is shown the need to develop common global criteria for assessing the bioeconomic development.</w:t>
      </w:r>
    </w:p>
    <w:p>
      <w:pPr/>
      <w:r>
        <w:rPr>
          <w:b/>
        </w:rPr>
        <w:t>POSSIBLE 2020:</w:t>
      </w:r>
      <w:r>
        <w:t xml:space="preserve"> The European Union in the World Economy: Competitiveness Issues — https://doi.org/10.20542/978-5-9535-0587-1</w:t>
      </w:r>
    </w:p>
    <w:p>
      <w:pPr/>
      <w:r>
        <w:rPr>
          <w:b/>
        </w:rPr>
        <w:t>Shared claim-specific concepts:</w:t>
      </w:r>
      <w:r>
        <w:t xml:space="preserve"> world, economy, international, challenges, issues; EU scope visible. This is a provisional connection, not an outcome finding.</w:t>
      </w:r>
    </w:p>
    <w:p>
      <w:pPr>
        <w:pStyle w:val="SourceNote"/>
      </w:pPr>
      <w:r>
        <w:rPr>
          <w:b/>
        </w:rPr>
        <w:t>Available abstract (not full text):</w:t>
      </w:r>
      <w:r>
        <w:t xml:space="preserve"> This study is prepared by the Center for European Studies of Primakov National Research Institute of World Economy and International Relations. It observes the problems of competitiveness and the challenges faced by European countries and the European Union as a whole in contemporary global economy. The first part of the book presents the general position of the EU in the world economy, examines industrial competitiveness and describes the role of State in its ensuring. The second part is dedicated to national competitiveness of European countries in the European Single Market. The publication is intended for Agencies developing Russia's economic policy, as well as for researchers, higher education professors, postgraduates, students, and anyone interested in the current trends in the world economy and international relations.</w:t>
      </w:r>
    </w:p>
    <w:p>
      <w:pPr/>
      <w:r>
        <w:rPr>
          <w:b/>
        </w:rPr>
        <w:t>POSSIBLE 2019:</w:t>
      </w:r>
      <w:r>
        <w:t xml:space="preserve"> The Soviet Union and the World Economy in the 1980S: A Review of the Alternatives — https://doi.org/10.4324/9780429311130-3</w:t>
      </w:r>
    </w:p>
    <w:p>
      <w:pPr/>
      <w:r>
        <w:rPr>
          <w:b/>
        </w:rPr>
        <w:t>Shared claim-specific concepts:</w:t>
      </w:r>
      <w:r>
        <w:t xml:space="preserve"> four, world, economy, presented, aims, trade; EU scope visible. This is a provisional connection, not an outcome finding.</w:t>
      </w:r>
    </w:p>
    <w:p>
      <w:pPr>
        <w:pStyle w:val="SourceNote"/>
      </w:pPr>
      <w:r>
        <w:rPr>
          <w:b/>
        </w:rPr>
        <w:t>Available abstract (not full text):</w:t>
      </w:r>
      <w:r>
        <w:t xml:space="preserve"> This chapter aims to sketch the likely development of Soviet economic relations with the World Economy over the decade 1976–1985, the period of the Tenth and Eleventh Five-Year plans. Trade between the Soviet Union and Eastern Europe has been disaggregated into four commodity groups: machinery, raw materials, food, other consumer goods. In the past, Soviet exports of fuel and materials to the Council of Mutual Economic Assistance (CMEA) were a function of net material product in Eastern Europe and also determined a smaller flow of material imports from the CMEA. During the construction of the Soviet Econometric Model a new methodology was developed for evaluating the quantitative impact of imported machinery on Soviet industrial production; to a certain extent, this technique provides a measure of the gains from technology transfer. The projections presented were computed using a 1977 version of SOVMOD III, the third generation SRI-WEFA Soviet Econometric Model.</w:t>
      </w:r>
    </w:p>
    <w:p>
      <w:pPr/>
      <w:r>
        <w:rPr>
          <w:b/>
        </w:rPr>
        <w:t>POSSIBLE 2019:</w:t>
      </w:r>
      <w:r>
        <w:t xml:space="preserve"> Risks to human health from ammunition-derived lead in Europe — https://doi.org/10.1007/s13280-019-01194-x</w:t>
      </w:r>
    </w:p>
    <w:p>
      <w:pPr/>
      <w:r>
        <w:rPr>
          <w:b/>
        </w:rPr>
        <w:t>Shared claim-specific concepts:</w:t>
      </w:r>
      <w:r>
        <w:t xml:space="preserve"> world, main, now; EU scope visible. This is a provisional connection, not an outcome finding.</w:t>
      </w:r>
    </w:p>
    <w:p>
      <w:pPr>
        <w:pStyle w:val="SourceNote"/>
      </w:pPr>
      <w:r>
        <w:rPr>
          <w:b/>
        </w:rPr>
        <w:t>Available abstract (not full text):</w:t>
      </w:r>
      <w:r>
        <w:t xml:space="preserve"> It has been known for centuries that lead is toxic to humans. Chronic exposure to lead, even at low levels, is associated with an elevated risk of cardiovascular and chronic kidney disease in adults and of impaired neurodevelopment and subsequent cognitive and behavioural development in the foetus and young children. Health agencies throughout the world have moved from assuming that there are tolerable levels of exposure to lead to a recognition that valid 'no-effect' thresholds cannot currently be defined. Formerly, the most important exposure pathways were occupational exposure, water from lead plumbing, paints, petrol additives and foods. Regulation of products and improved health and safety procedures at work have left dietary lead as the main remaining pathway of exposure in European countries. Ammunition-derived lead is now a significant cause of dietary lead exposure in groups of people who eat wild game meat frequently. These are mostly hunters, shoot employees and their families, but also some people who choose to eat game for ethical, health or other reasons, and their children. Extrapolation from surveys conducted in the UK and a review of studies of game consumption in other countries suggest that approximately 5 million people in the EU may be high-level consumers of lead-shot game meat and that tens of thousands of children in the EU may be consuming game contamin</w:t>
      </w:r>
    </w:p>
    <w:p>
      <w:pPr/>
      <w:r>
        <w:rPr>
          <w:b/>
        </w:rPr>
        <w:t>POSSIBLE 2018:</w:t>
      </w:r>
      <w:r>
        <w:t xml:space="preserve"> Operationalising the decentring agenda: Analysing European foreign policy in a non-European and post-western world — https://doi.org/10.1177/0010836718766394</w:t>
      </w:r>
    </w:p>
    <w:p>
      <w:pPr/>
      <w:r>
        <w:rPr>
          <w:b/>
        </w:rPr>
        <w:t>Shared claim-specific concepts:</w:t>
      </w:r>
      <w:r>
        <w:t xml:space="preserve"> world, international, aims; EU scope visible. This is a provisional connection, not an outcome finding.</w:t>
      </w:r>
    </w:p>
    <w:p>
      <w:pPr>
        <w:pStyle w:val="SourceNote"/>
      </w:pPr>
      <w:r>
        <w:rPr>
          <w:b/>
        </w:rPr>
        <w:t>Available abstract (not full text):</w:t>
      </w:r>
      <w:r>
        <w:t xml:space="preserve"> Eurocentrism in the analysis of European foreign policy often renders scholars blind to other world views and realities, although engaging with these may be critical for understanding the relevance and impact of this policy in other parts of the world. Notwithstanding calls for decentring the study of International Relations and European foreign policy in particular, scholars of European foreign policy generally lack the tools and conceptual lenses to overcome Eurocentrism in their analyses. This article proposes an analytical framework to systematically open up for difference, and to see and understand dynamics and realities that go beyond dominant Eurocentric accounts, while trying to avoid the pitfalls of simplification and knowledge fragmentation. The framework consists of six partially overlapping decentring categories – spatial, temporal, normative, polity, linguistic, and disciplinary decentring – and is developed through two dimensions of the Decentring Agenda proposed by Fisher Onar and Nicolaïdis: ‘provincialising’ (questioning Eurocentric perspectives) and ‘engagement’ (learning from other perspectives). In this way, this article aims to support scholars of European foreign policy in overcoming Eurocentrism and in operationalising the Decentring Agenda.</w:t>
      </w:r>
    </w:p>
    <w:p>
      <w:pPr/>
      <w:r>
        <w:rPr>
          <w:b/>
        </w:rPr>
        <w:t>POSSIBLE 2018:</w:t>
      </w:r>
      <w:r>
        <w:t xml:space="preserve"> International Migration and World Happiness — https://openalex.org/W3033251545</w:t>
      </w:r>
    </w:p>
    <w:p>
      <w:pPr/>
      <w:r>
        <w:rPr>
          <w:b/>
        </w:rPr>
        <w:t>Shared claim-specific concepts:</w:t>
      </w:r>
      <w:r>
        <w:t xml:space="preserve"> world, international, university; EU scope not established. This is a provisional connection, not an outcome finding.</w:t>
      </w:r>
    </w:p>
    <w:p>
      <w:pPr>
        <w:pStyle w:val="SourceNote"/>
      </w:pPr>
      <w:r>
        <w:rPr>
          <w:b/>
        </w:rPr>
        <w:t>Available abstract (not full text):</w:t>
      </w:r>
      <w:r>
        <w:t xml:space="preserve"> The World Happiness Report is published by the Wellbeing Research Centre at the University of Oxford, in partnership with Gallup, the UN Sustainable Development Solutions Network and an independent editorial board.</w:t>
      </w:r>
    </w:p>
    <w:p>
      <w:pPr/>
      <w:r>
        <w:rPr>
          <w:b/>
        </w:rPr>
        <w:t>POSSIBLE 2017:</w:t>
      </w:r>
      <w:r>
        <w:t xml:space="preserve"> The Global MRIO Lab – charting the world economy — https://doi.org/10.1080/09535314.2017.1301887</w:t>
      </w:r>
    </w:p>
    <w:p>
      <w:pPr/>
      <w:r>
        <w:rPr>
          <w:b/>
        </w:rPr>
        <w:t>Shared claim-specific concepts:</w:t>
      </w:r>
      <w:r>
        <w:t xml:space="preserve"> world, economy, main, trade; EU scope not established. This is a provisional connection, not an outcome finding.</w:t>
      </w:r>
    </w:p>
    <w:p>
      <w:pPr>
        <w:pStyle w:val="SourceNote"/>
      </w:pPr>
      <w:r>
        <w:rPr>
          <w:b/>
        </w:rPr>
        <w:t>Available abstract (not full text):</w:t>
      </w:r>
      <w:r>
        <w:t xml:space="preserve"> We describe the creation of the Global Multi-Region Input–Output (MRIO) Lab, which is a cloud-computing platform offering a collaborative research environment through which participants can use each other’s resources to assemble their own individual MRIO versions. The Global MRIO Lab’s main purpose is to harness and focus previously disparate resources aimed at compiling large-scale MRIO databases that provide comprehensive representations of interregional trade, economic structure, industrial interdependence, as well as environmental and social impact. Based on the operational Australian Industrial Ecology Lab, a particularly important feature of this cloud environment is a highly detailed regional and sectoral taxonomy called the ‘root classification’. The purpose of this root is to serve as a feedstock from which researchers can choose any combination of regions and economic sectors to form a model of the economy that is suitable to address their particular research questions. Thus, the Global MRIO Lab concept enables enhanced flexibility in MRIO database construction whilst at the same time saving resources and avoiding duplication, by sharing time- and labour-intensive tasks amongst multiple research teams. We explain the concept, architecture, development and preliminary results of the Global MRIO Lab, and discuss its ability to continuously deliver some of the most promi</w:t>
      </w:r>
    </w:p>
    <w:p>
      <w:pPr/>
      <w:r>
        <w:rPr>
          <w:b/>
        </w:rPr>
        <w:t>POSSIBLE 2017:</w:t>
      </w:r>
      <w:r>
        <w:t xml:space="preserve"> The World Karst Aquifer Mapping project: concept, mapping procedure and map of Europe — https://doi.org/10.1007/s10040-016-1519-3</w:t>
      </w:r>
    </w:p>
    <w:p>
      <w:pPr/>
      <w:r>
        <w:rPr>
          <w:b/>
        </w:rPr>
        <w:t>Shared claim-specific concepts:</w:t>
      </w:r>
      <w:r>
        <w:t xml:space="preserve"> world, international, project; EU scope visible. This is a provisional connection, not an outcome finding.</w:t>
      </w:r>
    </w:p>
    <w:p>
      <w:pPr>
        <w:pStyle w:val="SourceNote"/>
      </w:pPr>
      <w:r>
        <w:rPr>
          <w:b/>
        </w:rPr>
        <w:t>Available abstract (not full text):</w:t>
      </w:r>
      <w:r>
        <w:t xml:space="preserve"> Karst aquifers contribute substantially to freshwater supplies in many regions of the world, but are vulnerable to contamination and difficult to manage because of their unique hydrogeological characteristics. Many karst systems are hydraulically connected over wide areas and require transboundary exploration, protection and management. In order to obtain a better global overview of karst aquifers, to create a basis for sustainable international water-resources management, and to increase the awareness in the public and among decision makers, the World Karst Aquifer Mapping (WOKAM) project was established. The goal is to create a world map and database of karst aquifers, as a further development of earlier maps. This paper presents the basic concepts and the detailed mapping procedure, using France as an example to illustrate the step-by-step workflow, which includes generalization, differentiation of continuous and discontinuous carbonate and evaporite rock areas, and the identification of non-exposed karst aquifers. The map also shows selected caves and karst springs, which are collected in an associated global database. The draft karst aquifer map of Europe shows that 21.6% of the European land surface is characterized by the presence of (continuous or discontinuous) carbonate rocks; about 13.8% of the land surface is carbonate rock outcrop.</w:t>
      </w:r>
    </w:p>
    <w:p>
      <w:pPr>
        <w:pStyle w:val="Heading2"/>
      </w:pPr>
      <w:r>
        <w:t>931.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different, findings, union;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Exploring farmers’ perceptions of social sustainability — https://doi.org/10.1007/s10668-023-04140-w</w:t>
      </w:r>
    </w:p>
    <w:p>
      <w:pPr/>
      <w:r>
        <w:rPr>
          <w:b/>
        </w:rPr>
        <w:t>Shared claim-specific concepts:</w:t>
      </w:r>
      <w:r>
        <w:t xml:space="preserve"> perceptions, findings, reveal, managers; EU scope not established. This is a provisional connection, not an outcome finding.</w:t>
      </w:r>
    </w:p>
    <w:p>
      <w:pPr>
        <w:pStyle w:val="SourceNote"/>
      </w:pPr>
      <w:r>
        <w:rPr>
          <w:b/>
        </w:rPr>
        <w:t>Available abstract (not full text):</w:t>
      </w:r>
      <w:r>
        <w:t xml:space="preserve"> Abstract In the farming sector, there is growing awareness of the importance of the social dimension of sustainability and its complex links to environmental and economic sustainability. However, social sustainability is generally the least understood dimension of sustainability. Despite efforts to empirically capture social sustainability, it remains unclear how it is relevant to individual farms and how it depends on their contexts. To generate a comprehensive and contextual understanding of social sustainability, we adopted a mixed-methods approach. We first conducted qualitative interviews with farm managers, which then informed the development of a survey focused on farmers’ perceptions and experiences of social sustainability at their farms. In total, 354 Swiss farm managers completed our online survey. First, we identified social aspects relevant to farmers and compared them across the three main production types in Switzerland (dairy, crop, and other livestock production). Second, we assessed farmers’ perceptions and experiences of social sustainability and the relationship of these perceptions and experiences with farmer identity (i.e., productivist, conservative, passionate caretaker, and forward-looking). The findings reveal differences in the meaning and importance of social sustainability across production types. Farmer identity appears to influence the experience </w:t>
      </w:r>
    </w:p>
    <w:p>
      <w:pPr/>
      <w:r>
        <w:rPr>
          <w:b/>
        </w:rPr>
        <w:t>POSSIBLE 2023:</w:t>
      </w:r>
      <w:r>
        <w:t xml:space="preserve"> Differences in perceptions of fuel duties and emissions trading in road transport — https://doi.org/10.1016/j.tranpol.2023.11.006</w:t>
      </w:r>
    </w:p>
    <w:p>
      <w:pPr/>
      <w:r>
        <w:rPr>
          <w:b/>
        </w:rPr>
        <w:t>Shared claim-specific concepts:</w:t>
      </w:r>
      <w:r>
        <w:t xml:space="preserve"> article, explores, perceptions, not, they; EU scope visible. This is a provisional connection, not an outcome finding.</w:t>
      </w:r>
    </w:p>
    <w:p>
      <w:pPr>
        <w:pStyle w:val="SourceNote"/>
      </w:pPr>
      <w:r>
        <w:rPr>
          <w:b/>
        </w:rPr>
        <w:t>Available abstract (not full text):</w:t>
      </w:r>
      <w:r>
        <w:t xml:space="preserve"> The transport sector is responsible for more than a quarter of global emissions, and road transport alone contributes with over 70% of that share. A separate Emissions Trading System (ETS) in the EU will be implemented in 2027, covering road transport, buildings and additional sectors (mainly small industry). The likely outcomes of such policy are higher fuel prices, leading to less fuel consumption and reduced road transport emissions. Given that the inclusion of road transport in the EU ETS was originally proposed by the UK in the 2000s, and that the UK is exploring possible improvements to its own UK ETS, it is not impossible that the idea of emissions trading in road transport could be revisited in the UK. This article explores differences in perceptions of fuel price increases as a result of an increase in fuel duties or as a result of the introduction of a parallel ETS for road transport. This research employs a Serious Game to elicit perceptions. The game was designed to create situations where drivers would need to make decisions in response to an increase in the pump price of fuel. Ultimately, the idea was to get the study participants to reflect on their travel decisions both in the game and in real life. Possible responses included changing their cars, modifying their travel behaviour or moving house. The data was analyzed using an interpretive approach, which contri</w:t>
      </w:r>
    </w:p>
    <w:p>
      <w:pPr/>
      <w:r>
        <w:rPr>
          <w:b/>
        </w:rPr>
        <w:t>POSSIBLE 2022:</w:t>
      </w:r>
      <w:r>
        <w:t xml:space="preserve"> European Green Deal necropolitics: Exploring ‘green’ energy transition, degrowth &amp; infrastructural colonization — https://doi.org/10.1016/j.polgeo.2022.102640</w:t>
      </w:r>
    </w:p>
    <w:p>
      <w:pPr/>
      <w:r>
        <w:rPr>
          <w:b/>
        </w:rPr>
        <w:t>Shared claim-specific concepts:</w:t>
      </w:r>
      <w:r>
        <w:t xml:space="preserve"> article, different, reveal; EU scope visible. This is a provisional connection, not an outcome finding.</w:t>
      </w:r>
    </w:p>
    <w:p>
      <w:pPr>
        <w:pStyle w:val="SourceNote"/>
      </w:pPr>
      <w:r>
        <w:rPr>
          <w:b/>
        </w:rPr>
        <w:t>Available abstract (not full text):</w:t>
      </w:r>
      <w:r>
        <w:t xml:space="preserve"> This article critically examines the GND (Green New Deal) platform by exploring the reality of energy development under the European Green Deal (EGD). Taking a special interest in degrowth positions on energy development, the article argues that the European Green Deal is an exercise in necropolitics; intensifying market relationships, extraction, and infrastructural colonization. The article proceeds by reviewing and discussing recent environmental justice and degrowth positions on energy infrastructural development. The methodology outlines desk-based research on resource extraction as well as on the European energy markets. This accompanies multi-sited ethnographic fieldwork, charting environmental conflicts along a 400kv high-tension power line. This line goes across France, Catalonia and Southern Spain, stretching into Morocco and occupied Western Sahara. Unconventional research techniques, such as hitchhiking, enabled mobility and expanding the informal interview pool. Outlining the objectives of the EGD, the next section examines three aspects of its necropolitics. First, necropolitical economy reveals the reality of energy market liberalization under the EGD. Second, necropolitical extraction examines the expansion of mining and mineral processing, which are necessary for the EGD and ‘mainstream’ GNDs. Third, necropolitical operation reveal the reality of ‘a rapid rollo</w:t>
      </w:r>
    </w:p>
    <w:p>
      <w:pPr/>
      <w:r>
        <w:rPr>
          <w:b/>
        </w:rPr>
        <w:t>POSSIBLE 2021:</w:t>
      </w:r>
      <w:r>
        <w:t xml:space="preserve"> Governing displaced migration in Europe: housing and the role of the “local” — https://doi.org/10.1186/s40878-020-00209-x</w:t>
      </w:r>
    </w:p>
    <w:p>
      <w:pPr/>
      <w:r>
        <w:rPr>
          <w:b/>
        </w:rPr>
        <w:t>Shared claim-specific concepts:</w:t>
      </w:r>
      <w:r>
        <w:t xml:space="preserve"> article, different, about, they; EU scope visible. This is a provisional connection, not an outcome finding.</w:t>
      </w:r>
    </w:p>
    <w:p>
      <w:pPr>
        <w:pStyle w:val="SourceNote"/>
      </w:pPr>
      <w:r>
        <w:rPr>
          <w:b/>
        </w:rPr>
        <w:t>Available abstract (not full text):</w:t>
      </w:r>
      <w:r>
        <w:t xml:space="preserve"> This article will explore the extent to which a focus on the 'local' can tell us something meaningful about recent developments in the governance of displaced migrants and refugees. Taking a multi-sited approach spanning cases in the south and north of Europe, we consider how the challenge of housing and accommodation in particular, a core sector of migrant reception and integration, can shed light on the ways local and city level approaches may negotiate, and sometimes diverge from, national level policy and rhetoric. While it can be said that despite variation, local authorities are by definition ultimately 'always subordinate' (Emilsson, Comparative Migration Studies, 3: 1-17, 2015: 4), they can also show evidence of 'decoupling' across geographies of policy delivery (Pope and Meyer, European Journal of Cultural and Political Sociology, 3: 280-305, 2016: 290). This article traces how possible local variations in different European cases are patterned by ground-level politics, local strategic networks, and pre-existing economic resources in a manner that is empirically detailed through the study of housing.</w:t>
      </w:r>
    </w:p>
    <w:p>
      <w:pPr/>
      <w:r>
        <w:rPr>
          <w:b/>
        </w:rPr>
        <w:t>POSSIBLE 2021:</w:t>
      </w:r>
      <w:r>
        <w:t xml:space="preserve"> What is Europe? The Meaning of Europe in Different Social Contexts in Switzerland* — https://doi.org/10.1111/spsr.12460</w:t>
      </w:r>
    </w:p>
    <w:p>
      <w:pPr/>
      <w:r>
        <w:rPr>
          <w:b/>
        </w:rPr>
        <w:t>Shared claim-specific concepts:</w:t>
      </w:r>
      <w:r>
        <w:t xml:space="preserve"> article, explores, different, respondents, they; EU scope visible. This is a provisional connection, not an outcome finding.</w:t>
      </w:r>
    </w:p>
    <w:p>
      <w:pPr>
        <w:pStyle w:val="SourceNote"/>
      </w:pPr>
      <w:r>
        <w:rPr>
          <w:b/>
        </w:rPr>
        <w:t>Available abstract (not full text):</w:t>
      </w:r>
      <w:r>
        <w:t xml:space="preserve"> Abstract Previous literature on European identification has often taken for granted what respondents understand by this term. The present article addresses this issue, and on the basis of a recent study in Switzerland seeks to identify the meanings that individuals associate with the concept of Europe. Furthermore, it examines how these meanings relate to their identification with Europe. It also explores the potential covariates of these various conceptions of Europe – particularly transnational experiences and networks. Our analyses identify six dimensions of the meaning of Europe, each of which is differently related to identification with Europe. Although EU citizens and non‐EU citizens in different types of (bi‐national) relationships assigned similar meanings to Europe overall, they differed with respect to the importance they accorded each of these meanings. Individuals who tend to benefit from the EU, i.e. EU citizens and persons with a higher level of education, attribute more positive meanings to Europe.</w:t>
      </w:r>
    </w:p>
    <w:p>
      <w:pPr/>
      <w:r>
        <w:rPr>
          <w:b/>
        </w:rPr>
        <w:t>POSSIBLE 2021:</w:t>
      </w:r>
      <w:r>
        <w:t xml:space="preserve"> The Dissemination of European Popular Print: Exploring Comparative Approaches — https://doi.org/10.1163/15700690-12341482</w:t>
      </w:r>
    </w:p>
    <w:p>
      <w:pPr/>
      <w:r>
        <w:rPr>
          <w:b/>
        </w:rPr>
        <w:t>Shared claim-specific concepts:</w:t>
      </w:r>
      <w:r>
        <w:t xml:space="preserve"> article, trade, not, about; EU scope visible. This is a provisional connection, not an outcome finding.</w:t>
      </w:r>
    </w:p>
    <w:p>
      <w:pPr>
        <w:pStyle w:val="SourceNote"/>
      </w:pPr>
      <w:r>
        <w:rPr>
          <w:b/>
        </w:rPr>
        <w:t>Available abstract (not full text):</w:t>
      </w:r>
      <w:r>
        <w:t xml:space="preserve"> Abstract This article discusses the prospects of a comparative approach within the field of the dissemination of European popular print. Currently, it is still hard to find studies that address distribution of popular print with a Europe-wide scope. After an introduction about the main concepts, models and approaches, the article discusses some topic related issues, questions, approaches and sources. Social and professional categorisations are explored, as well as the differences between urban and rural distribution, the impact of regional and international networks, the effects of trade regulations and the collaborative features of distribution practices. What became clear is that a wide-ranging study that includes all European countries is urgently needed but not within reach soon, due to a lack of fundamental research and assessible sources. We should therefore first start to collect data systematically and conduct a series of comparative case studies in which we explore important questions and approaches.</w:t>
      </w:r>
    </w:p>
    <w:p>
      <w:pPr/>
      <w:r>
        <w:rPr>
          <w:b/>
        </w:rPr>
        <w:t>POSSIBLE 2021:</w:t>
      </w:r>
      <w:r>
        <w:t xml:space="preserve"> Sustainable consumption behavior of Europeans: The influence of environmental knowledge and risk perception on environmental concern and behavioral intention — https://doi.org/10.1016/j.ecolecon.2021.107155</w:t>
      </w:r>
    </w:p>
    <w:p>
      <w:pPr/>
      <w:r>
        <w:rPr>
          <w:b/>
        </w:rPr>
        <w:t>Shared claim-specific concepts:</w:t>
      </w:r>
      <w:r>
        <w:t xml:space="preserve"> explores, trade, findings, respondents, union; EU scope visible. This is a provisional connection, not an outcome finding.</w:t>
      </w:r>
    </w:p>
    <w:p>
      <w:pPr>
        <w:pStyle w:val="SourceNote"/>
      </w:pPr>
      <w:r>
        <w:rPr>
          <w:b/>
        </w:rPr>
        <w:t>Available abstract (not full text):</w:t>
      </w:r>
      <w:r>
        <w:t xml:space="preserve"> This study explores how environmental knowledge and risk perception influence individuals' sustainable consumption behavior through the mediation of environmental concern and behavioral intention. The study combines constructs from earlier studies to form a novel theoretical model, which is tested and validated with an open data set from the Environment III 2010 module, which was collected by the International Social Survey Programme (ISSP). Our sample consists of respondents from nine countries (N = 11,675) in the European Union (EU) and the European Free Trade Association (EFTA). The model indicates that environmental risk perception and environmental knowledge impact environmental concern significantly. Furthermore, environmental concern strongly influences behavioral intention, and these constructs, in turn, act as mediators of sustainable consumption behavior. The findings indicate that in Europe, sustainable consumption behavior can be associated with environmental concern, which is influenced by increased levels of environmental knowledge and environmental risk perception. The results provide a basis for future analyses once the Environment IV module is released. This will be of particular importance for tracking possible changes in the sustainable consumption behavior of Europeans when transitioning to a green and circular economy that is driven by the European Green De</w:t>
      </w:r>
    </w:p>
    <w:p>
      <w:pPr>
        <w:pStyle w:val="Heading2"/>
      </w:pPr>
      <w:r>
        <w:t>932.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r>
        <w:rPr>
          <w:b/>
        </w:rPr>
        <w:t>POSSIBLE 2024:</w:t>
      </w:r>
      <w:r>
        <w:t xml:space="preserve"> EUROPEAN OPTION PRICING BY MONTE CARLO USING THE HESTON MODEL — https://doi.org/10.13140/rg.2.2.25518.57922</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Compare the Black-Scholes Model, Monte Carlo Model, One Step Binomial Tree Model through the European options of Apple. — https://doi.org/10.61173/f7heqb60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r>
        <w:rPr>
          <w:b/>
        </w:rPr>
        <w:t>POSSIBLE 2024:</w:t>
      </w:r>
      <w:r>
        <w:t xml:space="preserve"> Compare the Black-Scholes Model, Monte Carlo Model, One Step Binomial Tree Model through the European options of Apple — https://doi.org/10.61173/2xbr7x94</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r>
        <w:rPr>
          <w:b/>
        </w:rPr>
        <w:t>POSSIBLE 2024:</w:t>
      </w:r>
      <w:r>
        <w:t xml:space="preserve"> Velocity-Based Monte Carlo Fluids — https://doi.org/10.1145/3641519.3657405</w:t>
      </w:r>
    </w:p>
    <w:p>
      <w:pPr/>
      <w:r>
        <w:rPr>
          <w:b/>
        </w:rPr>
        <w:t>Shared claim-specific concepts:</w:t>
      </w:r>
      <w:r>
        <w:t xml:space="preserve"> monte, carlo, used; EU scope not established. This is a provisional connection, not an outcome finding.</w:t>
      </w:r>
    </w:p>
    <w:p>
      <w:pPr>
        <w:pStyle w:val="SourceNote"/>
      </w:pPr>
      <w:r>
        <w:rPr>
          <w:b/>
        </w:rPr>
        <w:t>Available abstract (not full text):</w:t>
      </w:r>
      <w:r>
        <w:t xml:space="preserve"> We present a velocity-based Monte Carlo fluid solver that overcomes the limitations of its existing vorticity-based counterpart. Because the velocity-based formulation is more commonly used in graphics, our Monte Carlo solver can be readily extended with various techniques from the fluid simulation literature. We derive our method by solving the Navier-Stokes equations via operator splitting and designing a pointwise Monte Carlo estimator for each substep. We reformulate the projection and diffusion steps as integration problems based on the recently introduced walk-on-boundary technique [Sugimoto et al. 2023]. We transform the volume integral arising from the source term of the pressure Poisson equation into a form more amenable to practical numerical evaluation. Our resulting velocity-based formulation allows for the proper simulation of scenes that the prior vorticity-based Monte Carlo method [Rioux-Lavoie et al. 2022] either simulates incorrectly or cannot support. We demonstrate that our method can easily incorporate advancements drawn from conventional non-Monte Carlo methods by showing how one can straightforwardly add buoyancy effects, divergence control capabilities, and numerical dissipation reduction methods, such as advection-reflection and PIC/FLIP methods.</w:t>
      </w:r>
    </w:p>
    <w:p>
      <w:pPr/>
      <w:r>
        <w:rPr>
          <w:b/>
        </w:rPr>
        <w:t>POSSIBLE 2023:</w:t>
      </w:r>
      <w:r>
        <w:t xml:space="preserve"> A Model-Based Parameter Space in Monte Carlo Simulations for European Short-Term Adequacy Assessments — https://doi.org/10.1109/ei259745.2023.10513254</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The Short-Term Adequacy (STA) assessment is crucial for raising risk awareness among stakeholders and aiding European system operations in quickly identifying potential risks. To calculate cross-border exchange capacities in European STA assessments, the flow-based (FB) approach is used to define the parameter space in Monte Carlo simulations. However, Transmission System Operators (TSOs) currently rely on data-driven methods to define the FB domain. These methods necessitate extensive historical data on import-export capacities, which may not always align with Monte Carlo samples. Issues related to Energy Not Served (ENS) can arise even when Monte Carlo samples are aligned with the FB domain. To address these challenges, this paper introduces an analytical model based on parametric programming. This model maps the decision variables to zonal total loads, ensuring a more accurate parameter space in Monte Carlo simulations, and is free from ENS issues. Additionally, the model proactively adjusts the ENS index to reflect the parameter space under specific ENS conditions, thereby enhancing the generation of accurate Monte Carlo scenarios for subsequent STA assessments.</w:t>
      </w:r>
    </w:p>
    <w:p>
      <w:pPr/>
      <w:r>
        <w:rPr>
          <w:b/>
        </w:rPr>
        <w:t>POSSIBLE 2023:</w:t>
      </w:r>
      <w:r>
        <w:t xml:space="preserve"> A Multi-Level Monte Carlo Lagrange-Galerkin Method for Solving a XVA Hybrid Model in European Options — https://doi.org/10.2139/ssrn.4353116</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pStyle w:val="Heading2"/>
      </w:pPr>
      <w:r>
        <w:t>933.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r>
        <w:rPr>
          <w:b/>
        </w:rPr>
        <w:t>POSSIBLE 2022:</w:t>
      </w:r>
      <w:r>
        <w:t xml:space="preserve"> War in Ukraine: Putin and the multi-order world — https://doi.org/10.1080/13523260.2022.2091591</w:t>
      </w:r>
    </w:p>
    <w:p>
      <w:pPr/>
      <w:r>
        <w:rPr>
          <w:b/>
        </w:rPr>
        <w:t>Shared claim-specific concepts:</w:t>
      </w:r>
      <w:r>
        <w:t xml:space="preserve"> rather, putin, russian; EU scope not established. This is a provisional connection, not an outcome finding.</w:t>
      </w:r>
    </w:p>
    <w:p>
      <w:pPr>
        <w:pStyle w:val="SourceNote"/>
      </w:pPr>
      <w:r>
        <w:rPr>
          <w:b/>
        </w:rPr>
        <w:t>Available abstract (not full text):</w:t>
      </w:r>
      <w:r>
        <w:t xml:space="preserve"> The global rules-based order has been in transformation for more than a decade, whilst the liberal international order has been in crisis and new international orders are emerging. Within this context, the Russian invasion of Ukraine marks what the Germans have called a Zeitenwende because the multi-order world is now a reality. The article outlines the main characteristics and implications of a multi-order world and outlines four categories of orders that will populate the multi-order world. The article details Putin’s vision for a Eurasian order and how his plans are received within the Eurasian order. The article offers a perspective on how the global dynamics of the new multi-order world might play out, showing that it is likely to be conflictual rather than a cooperative, and that members of the Eurasian order show little enthusiasm for Putin’s vision, resulting in an order held together by force rather than consent.</w:t>
      </w:r>
    </w:p>
    <w:p>
      <w:pPr/>
      <w:r>
        <w:rPr>
          <w:b/>
        </w:rPr>
        <w:t>POSSIBLE 2022:</w:t>
      </w:r>
      <w:r>
        <w:t xml:space="preserve"> THE APPROACH OF FINLAND TO RUSSIAN OCCUPATION OF UKRAINE: SECURITISATION OF THE PUTIN REGIME / Rusya’nın Ukrayna’yı İşgaline Finlandiya’nın Yaklaşımı: Putin Rejiminin Güvenlikleştirilmesi — https://doi.org/10.29216/ueip.1144817</w:t>
      </w:r>
    </w:p>
    <w:p>
      <w:pPr/>
      <w:r>
        <w:rPr>
          <w:b/>
        </w:rPr>
        <w:t>Shared claim-specific concepts:</w:t>
      </w:r>
      <w:r>
        <w:t xml:space="preserve"> putin, regime, russian; EU scope visible. This is a provisional connection, not an outcome finding.</w:t>
      </w:r>
    </w:p>
    <w:p>
      <w:pPr>
        <w:pStyle w:val="SourceNote"/>
      </w:pPr>
      <w:r>
        <w:rPr>
          <w:b/>
        </w:rPr>
        <w:t>Available abstract (not full text):</w:t>
      </w:r>
      <w:r>
        <w:t xml:space="preserve"> The purpose of this article is to explain the approach of Finland to Russian occupation of Ukraine. Finnish foreign policy implemented between February 24 when Ukraine-Russia War began, and June 30, is analysed by using securitisation theory developed by the Copenhagen School. This study argues that Finland securitised the Putin regime. As a consequence of securitisation analysis, the article reached four results. First, Finnish Prime Minister Sanna Marin and President Sauli Niinistö see Russia under the Putin government as a military threat. Second, Prime Minister Sanna Marin and President Sauli Niinistö want to make Finland a member of NATO to strengthen defence capabilities of the country against Russia. Third, Finland securitised the Putin regime. Fourth, as a member of the European Union, Finland has applied collective EU sanctions on Russia, President Vladimir Putin and his close partners. By applying for NATO membership, Finland abandoned the policy of military neutrality that it has been implementing since the 20th century.</w:t>
      </w:r>
    </w:p>
    <w:p>
      <w:pPr/>
      <w:r>
        <w:rPr>
          <w:b/>
        </w:rPr>
        <w:t>POSSIBLE 2022:</w:t>
      </w:r>
      <w:r>
        <w:t xml:space="preserve"> After Putin – what? — https://doi.org/10.1080/00963402.2022.2132731</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By calling for Putin’s removal from power, Western officials and scholars magnify Russian historic fears of a state collapse. Worse, they magnify them by fueling the Kremlin propaganda machine and reinforcing Russians’ reluctance to turn against their regime. Still, Putin will inevitably have to go someday. When that day arrives, however, it is all but clear what the future for Russia will be. Will Russia after Putin necessarily collapse? Or will Putin’s successor turn to the West with a plea for peace and engage the country in reforms and modernization? History can still go either way. But by creating a huge police force to repel popular discontent, accumulating vast financial reserves to escape sanctions, and modifying the Russian constitution so the ruler can indefinitely remain in power, Putin has already laid the groundwork for whoever happens to be his successor to persevere in the current course of aggression – a course where the aggressor possesses the world’s largest arsenal of nuclear weapons.</w:t>
      </w:r>
    </w:p>
    <w:p>
      <w:pPr/>
      <w:r>
        <w:rPr>
          <w:b/>
        </w:rPr>
        <w:t>POSSIBLE 2021:</w:t>
      </w:r>
      <w:r>
        <w:t xml:space="preserve"> Consolidating the Putin Regime: The 2020 Referendum on Russia’s Constitutional Amendments — https://doi.org/10.30965/24518921-00603004</w:t>
      </w:r>
    </w:p>
    <w:p>
      <w:pPr/>
      <w:r>
        <w:rPr>
          <w:b/>
        </w:rPr>
        <w:t>Shared claim-specific concepts:</w:t>
      </w:r>
      <w:r>
        <w:t xml:space="preserve"> continue, putin, regime, russian; EU scope not established. This is a provisional connection, not an outcome finding.</w:t>
      </w:r>
    </w:p>
    <w:p>
      <w:pPr>
        <w:pStyle w:val="SourceNote"/>
      </w:pPr>
      <w:r>
        <w:rPr>
          <w:b/>
        </w:rPr>
        <w:t>Available abstract (not full text):</w:t>
      </w:r>
      <w:r>
        <w:t xml:space="preserve"> Abstract In July 2020, Russian voters gave strong support to a package of constitutional reforms that reconfigured the Russian political system and enshrined social guarantees and conservative identity values, consolidating the regime that has been built over a 20-year period. This was achieved through an alteration that ‘zeroed’ presidential terms that commenced before the constitutional change, potentially allowing President Vladimir Putin to overcome term limits and continue in office beyond 2024. The article explains how such a far-reaching and important change was successfully endorsed by the Russian electorate. The analysis shows that the main explanation rests with variations in voting patterns across the regions, a pattern that has been evident in previous Russian elections and resulted in strong pro-Putin support. The article also evaluates questions raised about the legitimacy of the result, and its long-term significance for the Russian political system.</w:t>
      </w:r>
    </w:p>
    <w:p>
      <w:pPr/>
      <w:r>
        <w:rPr>
          <w:b/>
        </w:rPr>
        <w:t>POSSIBLE 2021:</w:t>
      </w:r>
      <w:r>
        <w:t xml:space="preserve"> Vladimir Putin — https://doi.org/10.4324/9781003100508-13</w:t>
      </w:r>
    </w:p>
    <w:p>
      <w:pPr/>
      <w:r>
        <w:rPr>
          <w:b/>
        </w:rPr>
        <w:t>Shared claim-specific concepts:</w:t>
      </w:r>
      <w:r>
        <w:t xml:space="preserve"> putin, regime, russian; EU scope visible. This is a provisional connection, not an outcome finding.</w:t>
      </w:r>
    </w:p>
    <w:p>
      <w:pPr>
        <w:pStyle w:val="SourceNote"/>
      </w:pPr>
      <w:r>
        <w:rPr>
          <w:b/>
        </w:rPr>
        <w:t>Available abstract (not full text):</w:t>
      </w:r>
      <w:r>
        <w:t xml:space="preserve"> Vladimir Putin has developed and consolidated a personalist political regime that incorporates every key formal feature of liberal democracy while also virtually eliminating the chance that the Putin network can be removed from power by electoral xxix means. Putin and his allies have captured the administrative machinery of the Russian state and in the process created a hybrid post-Communist party-state – a “neo-patrimonial façade democracy.” The essay argues that the structure and functioning of Putin’s system is best understood in terms of the history of one-party political “machines” that have appeared over the past century and a half in nominal democracies in the United States, Italy, Japan, Mexico, and so on. Paradoxically, Russia is freer than ever in its history, but at the same time much of Russia has rejected liberal values as understood in the contemporary West. By cultivating a charismatic traditionalist bond with the Russian people, reinforced by defensible performances in a series of domestic and foreign crises, Putin’s position appears unassailable although his bond with the Russian people has become more fragile. Whether this system can long survive Putin himself, however, remains very much to be seen.</w:t>
      </w:r>
    </w:p>
    <w:p>
      <w:pPr/>
      <w:r>
        <w:rPr>
          <w:b/>
        </w:rPr>
        <w:t>POSSIBLE 2021:</w:t>
      </w:r>
      <w:r>
        <w:t xml:space="preserve"> From ‘Putin the Saviour’ to ‘Irreplaceable Putin’:The Role of the 1990s in the Kremlin’s Strategic Communications — https://openalex.org/W7135975081</w:t>
      </w:r>
    </w:p>
    <w:p>
      <w:pPr/>
      <w:r>
        <w:rPr>
          <w:b/>
        </w:rPr>
        <w:t>Shared claim-specific concepts:</w:t>
      </w:r>
      <w:r>
        <w:t xml:space="preserve"> continue, putin, regime, russian; EU scope not established. This is a provisional connection, not an outcome finding.</w:t>
      </w:r>
    </w:p>
    <w:p>
      <w:pPr>
        <w:pStyle w:val="SourceNote"/>
      </w:pPr>
      <w:r>
        <w:rPr>
          <w:b/>
        </w:rPr>
        <w:t>Available abstract (not full text):</w:t>
      </w:r>
      <w:r>
        <w:t xml:space="preserve"> The Soviet Union ceased to exist thirty ago. However, its memory and the memory of the decade of crisis that followed its dissolution, continue to serve the Kremlin. Existing literature claims that Vladimir Putin, helped by the state-controlled media, has manipulated the memory of the Soviet Union and the trauma of the 1990s to justify his regime. This article takes a different approach. By adopting the framework of Strategic Communications, it claims that the Kremlin used the traumatic experience of the 1990s to build strategic narratives intended to justify Putin’s regime within the context of the values held by the majority of the Russian public. On the one hand, it argues that the Kremlin’s Strategic Communications are rooted in the past, either by glorifying it (nostalgia for the Soviet Union) or by vilifying it (‘the wild nineties’), because this is what resonates best with the Russian people. On the other hand, it suggests that Putin’s use of this past, combined with deep understanding of his domestic audience, allowed him to adapt and adjust his strategic narratives to the evolving situation in Russia, justifying his regime in the last two decades and legitimising its potential continuation beyond 2024.</w:t>
      </w:r>
    </w:p>
    <w:p>
      <w:pPr/>
      <w:r>
        <w:rPr>
          <w:b/>
        </w:rPr>
        <w:t>POSSIBLE 2017:</w:t>
      </w:r>
      <w:r>
        <w:t xml:space="preserve"> State-society relations and the sources of support for the Putin regime: bridging political culture and social contract theory — https://doi.org/10.1080/21599165.2017.1414697</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This article evaluates two theoretical approaches to the popularity and resilience of authoritarianism in Russia, namely political culture and social contract theory. These approaches are two of the most important theories of Russian politics and also reflect the general divide in comparative and post-communist politics between political-cultural and rationalist explanations. We demonstrate that these approaches are bound up with different notions of legitimacy. This article suggests that neither framework offers a complete explanation of the Russian case. We develop an alternative framework that bridges these two approaches. Our analysis suggests that the social contract in Russia needs to be analysed as dynamic and conditional. Moreover, the use of different legitimation strategies by Russian authorities suggests that leaders can reshape the social contract and gain support in a strategic fashion by choosing appeals related to political culture.</w:t>
      </w:r>
    </w:p>
    <w:p>
      <w:pPr>
        <w:pStyle w:val="Heading2"/>
      </w:pPr>
      <w:r>
        <w:t>934.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pStyle w:val="Heading2"/>
      </w:pPr>
      <w:r>
        <w:t>935.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2024:</w:t>
      </w:r>
      <w:r>
        <w:t xml:space="preserve"> A COMPARATIVE REVIEW OF DATA ENCRYPTION METHODS IN THE USA AND EUROPE — https://doi.org/10.51594/csitrj.v5i2.815</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Data encryption is a critical aspect of modern information security, and understanding the approaches taken by different regions is vital for a comprehensive analysis. In the United States and Europe, data encryption methods vary in implementation, legal frameworks, and overall priorities. In the United States, encryption methods are primarily governed by a combination of federal laws and industry standards. The National Institute of Standards and Technology (NIST) plays a central role in recommending cryptographic standards, while the Department of Commerce oversees export controls on encryption technology. The focus in the U.S. is on balancing national security needs with individual privacy rights. The tension between law enforcement's desire for access to encrypted data for criminal investigations and the right to privacy has sparked debates and legal battles. On the other hand, Europe has taken a more privacy-centric approach to data protection. The General Data Protection Regulation (GDPR) is a cornerstone in the European Union's efforts to safeguard individual privacy rights. GDPR mandates the use of encryption to protect personal data, and failure to implement adequate measures can result in hefty fines. European countries also emphasize the importance of end-to-end encryption in communication services to ensure confidentiality. Both regions prioritize encryption, but th</w:t>
      </w:r>
    </w:p>
    <w:p>
      <w:pPr/>
      <w:r>
        <w:rPr>
          <w:b/>
        </w:rPr>
        <w:t>POSSIBLE 2022:</w:t>
      </w:r>
      <w:r>
        <w:t xml:space="preserve"> Patient Safety Culture in European Hospitals: A Comparative Mixed Methods Study — https://doi.org/10.3390/ijerph19020939</w:t>
      </w:r>
    </w:p>
    <w:p>
      <w:pPr/>
      <w:r>
        <w:rPr>
          <w:b/>
        </w:rPr>
        <w:t>Shared claim-specific concepts:</w:t>
      </w:r>
      <w:r>
        <w:t xml:space="preserve"> comparative, methods, used, different, few; EU scope visible. This is a provisional connection, not an outcome finding.</w:t>
      </w:r>
    </w:p>
    <w:p>
      <w:pPr>
        <w:pStyle w:val="SourceNote"/>
      </w:pPr>
      <w:r>
        <w:rPr>
          <w:b/>
        </w:rPr>
        <w:t>Available abstract (not full text):</w:t>
      </w:r>
      <w:r>
        <w:t xml:space="preserve"> BACKGROUND: Poorly organized health systems with inadequate leadership limit the development of the robust safety cultures capable of preventing consequential adverse events. Although safety culture has been studied in hospitals worldwide, the relationship between clinician perceptions about patient safety and their actual clinical practices has received little attention. Despite the need for mixed methods studies to achieve a deeper understanding of safety culture, there are few studies providing comparisons of hospitals in different countries. PURPOSE: This study compared the safety culture of hospitals from the perspective of nurses in four European countries, including Croatia, Hungary, Spain, and Sweden. DESIGN: A comparative mixed methods study with a convergent parallel design. METHODS: = 538) was collected with the Hospital Survey on Patient Safety Culture (HSOPSC) and qualitative date was collected through 24 in-depth interviews and 147 h of non-participant observation. Survey data was analyzed descriptively and inferentially, and content analysis was used to analyze the qualitative data. RESULTS: The overall perception of safety culture for most dimensions was 'adequate' in Sweden and 'adequate' to 'poor' in the other countries with inconsistencies identified between survey and qualitative data. Although teamwork within units was the most positive dimension across cou</w:t>
      </w:r>
    </w:p>
    <w:p>
      <w:pPr/>
      <w:r>
        <w:rPr>
          <w:b/>
        </w:rPr>
        <w:t>POSSIBLE 2021:</w:t>
      </w:r>
      <w:r>
        <w:t xml:space="preserve"> REINTEGRATION OF CROP-LIVESTOCK SYSTEMS IN EUROPE: AN OVERVIEW — https://doi.org/10.15302/j-fase-2020373</w:t>
      </w:r>
    </w:p>
    <w:p>
      <w:pPr/>
      <w:r>
        <w:rPr>
          <w:b/>
        </w:rPr>
        <w:t>Shared claim-specific concepts:</w:t>
      </w:r>
      <w:r>
        <w:t xml:space="preserve"> overview, provide, needed; EU scope visible. This is a provisional connection, not an outcome finding.</w:t>
      </w:r>
    </w:p>
    <w:p>
      <w:pPr>
        <w:pStyle w:val="SourceNote"/>
      </w:pPr>
      <w:r>
        <w:rPr>
          <w:b/>
        </w:rPr>
        <w:t>Available abstract (not full text):</w:t>
      </w:r>
      <w:r>
        <w:t xml:space="preserve"> • ICLS combines the benefits of specialization with increased resilience of the system. • Clear opportunities but also barriers for ICLS were observed. • ICLS need to be embedded within future environmental legislation. • ICLS systems with a range of intensities are needed to support a biodiverse landscape. Ongoing specialization of crop and livestock systems provides socioeconomic benefits to the farmer but has led to greater externalization of environmental costs when compared to mixed farming systems. Better integration of crop and livestock systems offers great potential to rebalance the economic and environmental trade-offs in both systems. The aims of this study were to analyze changes in farm structure and review and evaluate the potential for reintegrating specialized intensive crop and livestock systems, with specific emphasis on identifying the co-benefits and barriers to reintegration. Historically, animals were essential to recycle nutrients in the farming system but this became less important with the availability of synthetic fertilisers. Although mixed farm systems can be economically attractive, benefits of scale combined with socio-economic factors have resulted in on-farm and regional specialization with negative environmental impacts. Reintegration is therefore needed to reduce nutrient surpluses at farm, regional and national levels, and to improve soil qual</w:t>
      </w:r>
    </w:p>
    <w:p>
      <w:pPr/>
      <w:r>
        <w:rPr>
          <w:b/>
        </w:rPr>
        <w:t>POSSIBLE 2021:</w:t>
      </w:r>
      <w:r>
        <w:t xml:space="preserve"> Towards Circular Economy—A Comparative Analysis of the Countries of the European Union — https://doi.org/10.3390/resources10050049</w:t>
      </w:r>
    </w:p>
    <w:p>
      <w:pPr/>
      <w:r>
        <w:rPr>
          <w:b/>
        </w:rPr>
        <w:t>Shared claim-specific concepts:</w:t>
      </w:r>
      <w:r>
        <w:t xml:space="preserve"> critical, comparative, methods, many; EU scope visible. This is a provisional connection, not an outcome finding.</w:t>
      </w:r>
    </w:p>
    <w:p>
      <w:pPr>
        <w:pStyle w:val="SourceNote"/>
      </w:pPr>
      <w:r>
        <w:rPr>
          <w:b/>
        </w:rPr>
        <w:t>Available abstract (not full text):</w:t>
      </w:r>
      <w:r>
        <w:t xml:space="preserve"> There are many studies which implement and assess existing measurement manners and document the progress of entities towards the circular economy (CE) at various levels, or present or propose new possibilities of measurement. The majority of them refer to the micro level. The aim of this paper is to conduct a multidimensional comparative analysis of the implementation of circular economy by EU countries. After an in-depth critical analysis of the literature, CE indicators which were proposed by the European Commission were adopted as a basis. Owing to the research population-Member States of the European Union (EU-28), focusing on the said indicators was declared reasonable in all aspects. The classification of EU countries according to the level of their advancement in the concept of CE was adopted as a main research task. In order to do so, a relevant index of development of circular economy was created (IDCE). This will allow us, inter alia, to trace changes in the spatial differentiation of advancement of the EU countries in implementing CE over the years, to identify CE implementation leaders as well as countries particularly delayed in this regard. The comparative analysis was conducted by means of statistical methods. On the basis of the analyses, it was concluded that among all EU countries, those of the old EU are the most advanced in terms of CE. The analysis confirme</w:t>
      </w:r>
    </w:p>
    <w:p>
      <w:pPr/>
      <w:r>
        <w:rPr>
          <w:b/>
        </w:rPr>
        <w:t>POSSIBLE 2021:</w:t>
      </w:r>
      <w:r>
        <w:t xml:space="preserve"> Uncovering the critical soil moisture thresholds of plant water stress for European ecosystems — https://doi.org/10.1111/gcb.16050</w:t>
      </w:r>
    </w:p>
    <w:p>
      <w:pPr/>
      <w:r>
        <w:rPr>
          <w:b/>
        </w:rPr>
        <w:t>Shared claim-specific concepts:</w:t>
      </w:r>
      <w:r>
        <w:t xml:space="preserve"> critical, used, different; EU scope visible. This is a provisional connection, not an outcome finding.</w:t>
      </w:r>
    </w:p>
    <w:p>
      <w:pPr>
        <w:pStyle w:val="SourceNote"/>
      </w:pPr>
      <w:r>
        <w:rPr>
          <w:b/>
        </w:rPr>
        <w:t>Available abstract (not full text):</w:t>
      </w:r>
      <w:r>
        <w:t xml:space="preserve"> Abstract Understanding the critical soil moisture (SM) threshold (θ crit ) of plant water stress and land surface energy partitioning is a basis to evaluate drought impacts and improve models for predicting future ecosystem condition and climate. Quantifying the θ crit across biomes and climates is challenging because observations of surface energy fluxes and SM remain sparse. Here, we used the latest database of eddy covariance measurements to estimate θ crit across Europe by evaluating evaporative fraction (EF)‐SM relationships and investigating the covariance between vapor pressure deficit (VPD) and gross primary production (GPP) during SM dry‐down periods. We found that the θ crit and soil matric potential threshold in Europe are 16.5% and −0.7 MPa, respectively. Surface energy partitioning characteristics varied among different vegetation types; EF in savannas had the highest sensitivities to SM in water‐limited stage, and the lowest in forests. The sign of the covariance between daily VPD and GPP consistently changed from positive to negative during dry‐down across all sites when EF shifted from relatively high to low values. This sign of the covariance changed after longer period of SM decline in forests than in grasslands and savannas. Estimated θ crit from the VPD–GPP covariance method match well with the EF–SM method, showing this covariance method can be used to dete</w:t>
      </w:r>
    </w:p>
    <w:p>
      <w:pPr/>
      <w:r>
        <w:rPr>
          <w:b/>
        </w:rPr>
        <w:t>POSSIBLE 2020:</w:t>
      </w:r>
      <w:r>
        <w:t xml:space="preserve"> Comparative study of customer relationship management research from East Asia, North America and Europe: A bibliometric overview — https://doi.org/10.1007/s12525-020-00395-7</w:t>
      </w:r>
    </w:p>
    <w:p>
      <w:pPr/>
      <w:r>
        <w:rPr>
          <w:b/>
        </w:rPr>
        <w:t>Shared claim-specific concepts:</w:t>
      </w:r>
      <w:r>
        <w:t xml:space="preserve"> comparative, overview, north, america; EU scope visible. This is a provisional connection, not an outcome finding.</w:t>
      </w:r>
    </w:p>
    <w:p>
      <w:pPr>
        <w:pStyle w:val="SourceNote"/>
      </w:pPr>
      <w:r>
        <w:rPr>
          <w:b/>
        </w:rPr>
        <w:t>Available abstract (not full text):</w:t>
      </w:r>
      <w:r>
        <w:t xml:space="preserve"> Unavailable</w:t>
      </w:r>
    </w:p>
    <w:p>
      <w:pPr/>
      <w:r>
        <w:rPr>
          <w:b/>
        </w:rPr>
        <w:t>POSSIBLE 2020:</w:t>
      </w:r>
      <w:r>
        <w:t xml:space="preserve"> Towards a Comparative Analysis of Social Inequalities between Europe and Latin America — https://doi.org/10.1007/978-3-030-48442-2</w:t>
      </w:r>
    </w:p>
    <w:p>
      <w:pPr/>
      <w:r>
        <w:rPr>
          <w:b/>
        </w:rPr>
        <w:t>Shared claim-specific concepts:</w:t>
      </w:r>
      <w:r>
        <w:t xml:space="preserve"> comparative, different, america; EU scope visible. This is a provisional connection, not an outcome finding.</w:t>
      </w:r>
    </w:p>
    <w:p>
      <w:pPr>
        <w:pStyle w:val="SourceNote"/>
      </w:pPr>
      <w:r>
        <w:rPr>
          <w:b/>
        </w:rPr>
        <w:t>Available abstract (not full text):</w:t>
      </w:r>
      <w:r>
        <w:t xml:space="preserve"> This open access volume identifies the common and specific aspects of social mechanisms that generate inequalities, through comparative analyses of different dimensions in which inequalities are expressed. It includes studies on social inequalities in 5 European and 5 Latin American countries.</w:t>
      </w:r>
    </w:p>
    <w:p>
      <w:pPr/>
      <w:r>
        <w:rPr>
          <w:b/>
        </w:rPr>
        <w:t>POSSIBLE 2020:</w:t>
      </w:r>
      <w:r>
        <w:t xml:space="preserve"> A comparative study of solid waste management in the United States, Europe and Asia — https://doi.org/10.29328/journal.acee.1001019</w:t>
      </w:r>
    </w:p>
    <w:p>
      <w:pPr/>
      <w:r>
        <w:rPr>
          <w:b/>
        </w:rPr>
        <w:t>Shared claim-specific concepts:</w:t>
      </w:r>
      <w:r>
        <w:t xml:space="preserve"> critical, comparative, used, many; EU scope visible. This is a provisional connection, not an outcome finding.</w:t>
      </w:r>
    </w:p>
    <w:p>
      <w:pPr>
        <w:pStyle w:val="SourceNote"/>
      </w:pPr>
      <w:r>
        <w:rPr>
          <w:b/>
        </w:rPr>
        <w:t>Available abstract (not full text):</w:t>
      </w:r>
      <w:r>
        <w:t xml:space="preserve"> Managing municipal solid waste correctly is critical to the success of a society. Many regions and countries in the world are behind others in the context of solid waste management. In order to compare three such regions within this context, a meta-analysis was conducted in order to develop a decision matrix. Within this decision matrix, the United States, Europe, and Asia were compared to determine which region is managing municipal solid waste the best. This research design allowed for compiling information from many sources to increase the accuracy of data used in the justifications for the decision matrix. Purposive sampling was used to select and evaluate sources that discuss solid waste management to discern which region’s processes are most favorable in many parameters. The decision matrix consists of nine parameters: main management techniques; finances; landfill taxes; jobs created; waste generation; waste composition; waste storage, collection, and transportation; energy recovery; and environmental health. Each was scored on a scale from zero to ten, ten being the best score and zero being the worst. The final score from the decision matrix suggested that Europe had the most favorable municipal solid waste management (MSWM) system, and the United States had a notably close yet lower score. Asia had the lowest score that was hardly comparable to the other two regions.</w:t>
      </w:r>
    </w:p>
    <w:p>
      <w:pPr>
        <w:pStyle w:val="Heading2"/>
      </w:pPr>
      <w:r>
        <w:t>936.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The contribution of European citizen‐led energy initiatives to sustainable development goals — https://doi.org/10.1002/sd.2844</w:t>
      </w:r>
    </w:p>
    <w:p>
      <w:pPr/>
      <w:r>
        <w:rPr>
          <w:b/>
        </w:rPr>
        <w:t>Shared claim-specific concepts:</w:t>
      </w:r>
      <w:r>
        <w:t xml:space="preserve"> discuss, energy, effective, despite, technological; EU scope visible. This is a provisional connection, not an outcome finding.</w:t>
      </w:r>
    </w:p>
    <w:p>
      <w:pPr>
        <w:pStyle w:val="SourceNote"/>
      </w:pPr>
      <w:r>
        <w:rPr>
          <w:b/>
        </w:rPr>
        <w:t>Available abstract (not full text):</w:t>
      </w:r>
      <w:r>
        <w:t xml:space="preserve">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discuss, energy, technology, carbon, focus, security;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2019:</w:t>
      </w:r>
      <w:r>
        <w:t xml:space="preserve"> Social Innovation in Community Energy in Europe: A Review of the Evidence — https://doi.org/10.3389/fenrg.2019.00031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Achieving sustainability transitions in residential energy use across Europe: The importance of problem framings — https://doi.org/10.1016/j.enpol.2019.110927</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Reducing greenhouse gas emissions in the residential sector is central to European energy policy. However, the speed and scale of sustainable energy transitions need to accelerate. There is a growing consensus that meeting energy targets is highly dependent on interrelated socio-material and cultural aspects of energy use. New ways of framing energy demand that go beyond dominant efficiency- and behavior models are needed. Recognizing these concerns, this paper reports on a review of 1067 Sustainable Energy Consumption Initiatives (SECIs) that aim to reduce residential energy use across 30 European countries. The initiatives are categorized and a corresponding Problem Framing Typology (PFT) is developed, highlighting important aspects of different types of problem framings. The typology contains four categories including 1) Changes in technology; 2) Changes in individual behavior; 3) Changes in everyday life situations; 4) and Changes in complex interactions. Applying the PFT to the 1067 SECIs shows that the vast majority (75%) of SECIs are positioned within category 1 and 2, indicating a lingering bias towards technocratic consumer behavioral strategies. The limitations of such approaches are discussed, and it is argued that systematically addressing interactions between technology, businesses, culture and everyday-life is more likely to lead to long-term transformation.</w:t>
      </w:r>
    </w:p>
    <w:p>
      <w:pPr/>
      <w:r>
        <w:rPr>
          <w:b/>
        </w:rPr>
        <w:t>POSSIBLE 2019:</w:t>
      </w:r>
      <w:r>
        <w:t xml:space="preserve"> A PESTLE Analysis of Biofuels Energy Industry in Europe — https://doi.org/10.3390/su11215981</w:t>
      </w:r>
    </w:p>
    <w:p>
      <w:pPr/>
      <w:r>
        <w:rPr>
          <w:b/>
        </w:rPr>
        <w:t>Shared claim-specific concepts:</w:t>
      </w:r>
      <w:r>
        <w:t xml:space="preserve"> discuss, energy, despite, carbon, technological; EU scope visible. This is a provisional connection, not an outcome finding.</w:t>
      </w:r>
    </w:p>
    <w:p>
      <w:pPr>
        <w:pStyle w:val="SourceNote"/>
      </w:pPr>
      <w:r>
        <w:rPr>
          <w:b/>
        </w:rPr>
        <w:t>Available abstract (not full text):</w:t>
      </w:r>
      <w:r>
        <w:t xml:space="preserve"> Biofuels production is expected to be an intrinsic confluence to the renewable energy sector in the coming years under the European regulations for renewable energy. Key standpoints of the biofuels promotions are the reduction of national carbon emissions and rural deployment. Despite jubilant outlook of biofuels for sustainable development, research efforts still tend to link the biofuel industry and regional growth. The aim of this study is to explore and review the biofuels industry through a socio-political, techno-economic, legal and environmental (PESTLE) analysis approach, and discuss the interrelation between technological facets and sustainable deployment.</w:t>
      </w:r>
    </w:p>
    <w:p>
      <w:pPr/>
      <w:r>
        <w:rPr>
          <w:b/>
        </w:rPr>
        <w:t>POSSIBLE 2019:</w:t>
      </w:r>
      <w:r>
        <w:t xml:space="preserve"> Performance of markets for European renewable energy certificates — https://doi.org/10.1016/j.enpol.2019.01.051</w:t>
      </w:r>
    </w:p>
    <w:p>
      <w:pPr/>
      <w:r>
        <w:rPr>
          <w:b/>
        </w:rPr>
        <w:t>Shared claim-specific concepts:</w:t>
      </w:r>
      <w:r>
        <w:t xml:space="preserve"> energy, despite; EU scope visible. This is a provisional connection, not an outcome finding.</w:t>
      </w:r>
    </w:p>
    <w:p>
      <w:pPr>
        <w:pStyle w:val="SourceNote"/>
      </w:pPr>
      <w:r>
        <w:rPr>
          <w:b/>
        </w:rPr>
        <w:t>Available abstract (not full text):</w:t>
      </w:r>
      <w:r>
        <w:t xml:space="preserve"> To address the problem of information asymmetry in renewable electricity markets, European governments have introduced certification schemes. While certification appears to be an increasingly important trade mechanism for renewable electricity, it is unclear to what extent certificate markets are functioning properly. In addition, countries have chosen very different designs for their certification schemes. In order to assess the performance of markets for Guarantee of Origin certificates in twenty European countries, we construct four market performance indicators and analyse their development over 2001–2016: the churn rate, price volatility, the certification rate and the expiration rate. We also investigate the relationship between market performance and two design features of certification schemes: the public/private nature of the certifier and the presence of an international standard. We find that, despite increasing shares of renewable electricity are being certified, certificate markets suffer from poor liquidity and very volatile prices. In addition, we conclude that adopting an international standard fosters the development of certificate systems.</w:t>
      </w:r>
    </w:p>
    <w:p>
      <w:pPr/>
      <w:r>
        <w:rPr>
          <w:b/>
        </w:rPr>
        <w:t>POSSIBLE 2019:</w:t>
      </w:r>
      <w:r>
        <w:t xml:space="preserve"> Effects of renewable energy on landscape in Europe: Comparison of hydro, wind, solar, bio-, geothermal and infrastructure energy landscapes — https://doi.org/10.15201/hungeobull.68.4.1</w:t>
      </w:r>
    </w:p>
    <w:p>
      <w:pPr/>
      <w:r>
        <w:rPr>
          <w:b/>
        </w:rPr>
        <w:t>Shared claim-specific concepts:</w:t>
      </w:r>
      <w:r>
        <w:t xml:space="preserve"> energy, technological; EU scope visible. This is a provisional connection, not an outcome finding.</w:t>
      </w:r>
    </w:p>
    <w:p>
      <w:pPr>
        <w:pStyle w:val="SourceNote"/>
      </w:pPr>
      <w:r>
        <w:rPr>
          <w:b/>
        </w:rPr>
        <w:t>Available abstract (not full text):</w:t>
      </w:r>
      <w:r>
        <w:t xml:space="preserve"> Landscape quality has become a fundamental issue in the development of renewable energy (henceforth abbreviated RE) projects. Rapid technological advances in RE production and distribution, coupled with changing policy frameworks, bring specific challenges during planning in order to avoid degradation of landscape quality. The current work provides a comprehensive review on RE landscapes and the impacts of RE systems on landscape for most European countries. It is based on a review by an interdisciplinary international team of experts of empirical research findings on landscape impacts of RE from thirty-seven countries that have participated in the COST Action TU1401 Renewable Energy and Landscape Quality (RELY).</w:t>
      </w:r>
    </w:p>
    <w:p>
      <w:pPr>
        <w:pStyle w:val="Heading2"/>
      </w:pPr>
      <w:r>
        <w:t>937.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2023:</w:t>
      </w:r>
      <w:r>
        <w:t xml:space="preserve"> Growing Double Materiality into Corporate Sustainability Reporting in Order to Meet Green Deal Targets — https://doi.org/10.2478/9788367405546-034</w:t>
      </w:r>
    </w:p>
    <w:p>
      <w:pPr/>
      <w:r>
        <w:rPr>
          <w:b/>
        </w:rPr>
        <w:t>Shared claim-specific concepts:</w:t>
      </w:r>
      <w:r>
        <w:t xml:space="preserve"> order, meet, potential; EU scope not established. This is a provisional connection, not an outcome finding.</w:t>
      </w:r>
    </w:p>
    <w:p>
      <w:pPr>
        <w:pStyle w:val="SourceNote"/>
      </w:pPr>
      <w:r>
        <w:rPr>
          <w:b/>
        </w:rPr>
        <w:t>Available abstract (not full text):</w:t>
      </w:r>
      <w:r>
        <w:t xml:space="preserve"> The International Conferences on Economics and Social Sciences (ICESS) organized by Bucharest University of Economic Studies provide an opportunity for all those interested in Economics and Social Sciences to discuss and exchange research ideas. The papers presented at the Conference are available online in the Conference Proceedings series (ISSN 2704-6524): Volume 2019 Collaborative Research for Excellence in Economics and Social Sciences, ISBN 9788366675322 Volume 2020 Innovative Models to Revive the Global Economy, ISBN 9788395815072 Volume 2021 Resilience and Economic Intelligence Through Digitalization and Big Data Analytics, ISBN 9788366675704 Volume 2022 Fostering recovery through metaverse business modelling, ISBN 978-83-67405-07-2 The world today is vastly different than what it was even a few decades ago, as a result of advances in technology, globalization, and societal changes. Recently, particular attention has been given to sustainable development raising the question of how to drive economic growth in a responsible manner by harnessing technology’s potential while accounting for diverse national perspectives. In 2015, the United Nations agreed upon 17 Sustainable Development Goals (SDGs) aimed to transform our world by 2030. However, without the support of stakeholders from government, business and civil societies, the SDGs are</w:t>
      </w:r>
    </w:p>
    <w:p>
      <w:pPr/>
      <w:r>
        <w:rPr>
          <w:b/>
        </w:rPr>
        <w:t>POSSIBLE 2023:</w:t>
      </w:r>
      <w:r>
        <w:t xml:space="preserve"> Nuclear Data Uncertainty Analysis to Meet the Target Accuracy Requirements on the MYRRHAkeff — https://doi.org/10.1051/epjconf/202328408012</w:t>
      </w:r>
    </w:p>
    <w:p>
      <w:pPr/>
      <w:r>
        <w:rPr>
          <w:b/>
        </w:rPr>
        <w:t>Shared claim-specific concepts:</w:t>
      </w:r>
      <w:r>
        <w:t xml:space="preserve"> order, meet, target, reduction, system; EU scope visible. This is a provisional connection, not an outcome finding.</w:t>
      </w:r>
    </w:p>
    <w:p>
      <w:pPr>
        <w:pStyle w:val="SourceNote"/>
      </w:pPr>
      <w:r>
        <w:rPr>
          <w:b/>
        </w:rPr>
        <w:t>Available abstract (not full text):</w:t>
      </w:r>
      <w:r>
        <w:t xml:space="preserve"> MYRRHA is a flexible experimental facility being designed at the SCK CEN, in Mol, Belgium. Cooled by lead-bismuth, it is conceived to operate both in sub-critical mode, as an accelerator driven system, and in critical mode, as a fast reactor. In order to comply with MYRRHA reactor design requirements, uncertainties due to nuclear data must be quantified. Significant gaps between the uncertainties and the target accuracies have been systematically shown in the past. In this paper, first, a Sensitivity and Uncertainty analysis with JEFF-3.3 nuclear data library of the effective neutron multiplication factorkeffof the latest MYRRHA reactor design - v1.8 - is presented. Then, since target accuracy forkeffof 300 pcm is exceeded, a Target Accuracy Requirement assessment is performed in order to find out the required accuracy on cross section data to meet the requested target accuracy. To reach the requested target accuracy, a reduction of the uncertainty in the fission and capture cross sections of240Pu JEFF-3.3 evaluation is needed.</w:t>
      </w:r>
    </w:p>
    <w:p>
      <w:pPr/>
      <w:r>
        <w:rPr>
          <w:b/>
        </w:rPr>
        <w:t>POSSIBLE 2023:</w:t>
      </w:r>
      <w:r>
        <w:t xml:space="preserve"> Study on Control Strategies on NOX Emissions to Meet Real Driving Emissions — https://doi.org/10.1021/acsomega.3c03751</w:t>
      </w:r>
    </w:p>
    <w:p>
      <w:pPr/>
      <w:r>
        <w:rPr>
          <w:b/>
        </w:rPr>
        <w:t>Shared claim-specific concepts:</w:t>
      </w:r>
      <w:r>
        <w:t xml:space="preserve"> order, meet, emissions, reduction; EU scope not established. This is a provisional connection, not an outcome finding.</w:t>
      </w:r>
    </w:p>
    <w:p>
      <w:pPr>
        <w:pStyle w:val="SourceNote"/>
      </w:pPr>
      <w:r>
        <w:rPr>
          <w:b/>
        </w:rPr>
        <w:t>Available abstract (not full text):</w:t>
      </w:r>
      <w:r>
        <w:t xml:space="preserve"> The aim of this study was to fulfill the NOx emissions standards for a light-duty diesel vehicle under real driving emissions (RDE) testing conditions by implementing various control strategies. In this study, RDE tests were performed by adjusting the air mass quantity and postinjection quantity in order to analyze engine-out and tail-pipe nitrogen oxides (NOx) emissions for different phases of RDE. The results showed that reducing in air mass quantity enabled the engine to operate in higher exhaust gas recirculation (EGR) rate regions, resulting in a 32.5% reduction in engine-out NOx emissions and an 80.4% decrease in tail-pipe NOx emissions. Increasing the postinjection quantity primarily enhanced the NOx conversion efficiency for the urban phase by 7.5%, leading to a 22.6% reduction in tail-pipe NOx emissions. By employing both strategies, vehicles can comfortably meet the CN6b emission regulations by a substantial margin.</w:t>
      </w:r>
    </w:p>
    <w:p>
      <w:pPr/>
      <w:r>
        <w:rPr>
          <w:b/>
        </w:rPr>
        <w:t>POSSIBLE 2023:</w:t>
      </w:r>
      <w:r>
        <w:t xml:space="preserve"> Emissions and energy impacts of the Inflation Reduction Act — https://doi.org/10.1126/science.adg3781</w:t>
      </w:r>
    </w:p>
    <w:p>
      <w:pPr/>
      <w:r>
        <w:rPr>
          <w:b/>
        </w:rPr>
        <w:t>Shared claim-specific concepts:</w:t>
      </w:r>
      <w:r>
        <w:t xml:space="preserve"> emissions, reduction, energy; EU scope not established. This is a provisional connection, not an outcome finding.</w:t>
      </w:r>
    </w:p>
    <w:p>
      <w:pPr>
        <w:pStyle w:val="SourceNote"/>
      </w:pPr>
      <w:r>
        <w:rPr>
          <w:b/>
        </w:rPr>
        <w:t>Available abstract (not full text):</w:t>
      </w:r>
      <w:r>
        <w:t xml:space="preserve"> Economy-wide emissions drop 43 to 48% below 2005 levels by 2035 with accelerated clean energy deployment.</w:t>
      </w:r>
    </w:p>
    <w:p>
      <w:pPr/>
      <w:r>
        <w:rPr>
          <w:b/>
        </w:rPr>
        <w:t>POSSIBLE 2022:</w:t>
      </w:r>
      <w:r>
        <w:t xml:space="preserve"> Designing electric vehicle incentives to meet emission reduction targets — https://doi.org/10.1016/j.trd.2022.103320</w:t>
      </w:r>
    </w:p>
    <w:p>
      <w:pPr/>
      <w:r>
        <w:rPr>
          <w:b/>
        </w:rPr>
        <w:t>Shared claim-specific concepts:</w:t>
      </w:r>
      <w:r>
        <w:t xml:space="preserve"> meet, emissions, reduction; EU scope not established. This is a provisional connection, not an outcome finding.</w:t>
      </w:r>
    </w:p>
    <w:p>
      <w:pPr>
        <w:pStyle w:val="SourceNote"/>
      </w:pPr>
      <w:r>
        <w:rPr>
          <w:b/>
        </w:rPr>
        <w:t>Available abstract (not full text):</w:t>
      </w:r>
      <w:r>
        <w:t xml:space="preserve"> Electric vehicles are expected to reduce transportation emissions. We design and allocate rebates and charging infrastructure investments to induce electric vehicle adoption and achieve emission reduction targets. A nonlinear mixed-integer mathematical model is proposed to optimize the investment allocation over a planning horizon. Logistic functions describe the vehicle demand driven by capital and ownership costs and network externalities. A simulated annealing algorithm is used to solve the nonlinear programming problem that is applied using data representative of the United States market. Our analysis indicates that rebates should be provided earlier than chargers due to neighborhood effects of electric vehicle adoption and the minimization of expenditure; availability of home charging influences consumers choice and the drivers electrified travel distance; rebates are more effective for modest drivers while charging stations should be prioritized for frequent drivers; network externalities should be further investigated because of their impact on electric vehicle demand.</w:t>
      </w:r>
    </w:p>
    <w:p>
      <w:pPr/>
      <w:r>
        <w:rPr>
          <w:b/>
        </w:rPr>
        <w:t>POSSIBLE 2022:</w:t>
      </w:r>
      <w:r>
        <w:t xml:space="preserve"> Carbon emission of China’s power industry: driving factors and emission reduction path — https://doi.org/10.1007/s11356-022-21297-5</w:t>
      </w:r>
    </w:p>
    <w:p>
      <w:pPr/>
      <w:r>
        <w:rPr>
          <w:b/>
        </w:rPr>
        <w:t>Shared claim-specific concepts:</w:t>
      </w:r>
      <w:r>
        <w:t xml:space="preserve"> carbon, reduction;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Negative-emissions technology portfolios to meet the 1.5 °C target — https://doi.org/10.1016/j.gloenvcha.2021.102238</w:t>
      </w:r>
    </w:p>
    <w:p>
      <w:pPr/>
      <w:r>
        <w:rPr>
          <w:b/>
        </w:rPr>
        <w:t>Shared claim-specific concepts:</w:t>
      </w:r>
      <w:r>
        <w:t xml:space="preserve"> meet, target, carbon, present; EU scope not established. This is a provisional connection, not an outcome finding.</w:t>
      </w:r>
    </w:p>
    <w:p>
      <w:pPr>
        <w:pStyle w:val="SourceNote"/>
      </w:pPr>
      <w:r>
        <w:rPr>
          <w:b/>
        </w:rPr>
        <w:t>Available abstract (not full text):</w:t>
      </w:r>
      <w:r>
        <w:t xml:space="preserve"> Our carbon-intensive economy has led to an average temperature rise of 1 °C since pre-industrial times. As a consequence, the world has seen increasing droughts, significant shrinking of the polar ice caps, and steady sea-level rise. To stall these issues’ worsening further, we must limit global warming to 1.5 °C. In addition to the economy’s decarbonization, this endeavour requires the use of negative-emissions technologies (NETs) that remove the main greenhouse gas, carbon dioxide, from the atmosphere. While techno-economic feasibility alone has driven the definition of negative-emissions solutions, NETs’ diverse, far-reaching implications demand a more holistic assessment. Here, we present a comprehensive framework, integrating NETs’ critical performance aspects of feasibility, effectiveness, and side impacts, to define the optimal technology mix within realistic outlooks. The resulting technology portfolios provide a useful new benchmark to compare carbon avoidance and removal measures and deliberately choose the best path to solve the climate emergency.</w:t>
      </w:r>
    </w:p>
    <w:p>
      <w:pPr/>
      <w:r>
        <w:rPr>
          <w:b/>
        </w:rPr>
        <w:t>POSSIBLE 2021:</w:t>
      </w:r>
      <w:r>
        <w:t xml:space="preserve"> Direct air capture of CO2: A response to meet the global climate targets — https://doi.org/10.1557/s43581-021-00005-9</w:t>
      </w:r>
    </w:p>
    <w:p>
      <w:pPr/>
      <w:r>
        <w:rPr>
          <w:b/>
        </w:rPr>
        <w:t>Shared claim-specific concepts:</w:t>
      </w:r>
      <w:r>
        <w:t xml:space="preserve"> meet, target, carbon, emissions, energy, high; EU scope not established. This is a provisional connection, not an outcome finding.</w:t>
      </w:r>
    </w:p>
    <w:p>
      <w:pPr>
        <w:pStyle w:val="SourceNote"/>
      </w:pPr>
      <w:r>
        <w:rPr>
          <w:b/>
        </w:rPr>
        <w:t>Available abstract (not full text):</w:t>
      </w:r>
      <w:r>
        <w:t xml:space="preserve"> Highlights DAC can help deal with difficult to avoid emissions. Large-scale deployment of DAC requires serious government, private, and corporate support and investment particularly to offset the capital cost as well as operational costs. Further optimizations to the costs can be found in choice of energy source as well as advances in CO 2 capture technology such as high capacity and selectivity materials, faster reaction kinetics, and ease of reusability. Abstract Direct air capture (DAC) technologies are receiving increasing attention from the scientific community, commercial enterprises, policymakers and governments. While deep decarbonization of all sectors is required to meet the Paris Agreement target, DAC can help deal with difficult to avoid emissions (aviation, ocean-shipping, iron-steel, cement, mining, plastics, fertilizers, pulp and paper). While large-scale deployment of DAC discussions continues, a closer look to the capital and operational costs, different capture technologies, the choice of energy source, land and water requirements, and other environmental impacts of DAC are reviewed and examined. Cost per ton of CO 2 captured discussions of leading industrial DAC developers with their carbon capture technologies are presented, and their detailed cost comparisons are evaluated based on the choice of energy operation together with process energy requirements. Va</w:t>
      </w:r>
    </w:p>
    <w:p>
      <w:pPr/>
      <w:r>
        <w:rPr>
          <w:b/>
        </w:rPr>
        <w:t>POSSIBLE 2021:</w:t>
      </w:r>
      <w:r>
        <w:t xml:space="preserve"> Improving the efficiency of urea-based fertilization leading to reduction in ammonia emission — https://doi.org/10.1016/j.scitotenv.2021.145483</w:t>
      </w:r>
    </w:p>
    <w:p>
      <w:pPr/>
      <w:r>
        <w:rPr>
          <w:b/>
        </w:rPr>
        <w:t>Shared claim-specific concepts:</w:t>
      </w:r>
      <w:r>
        <w:t xml:space="preserve"> order, meet, emissions, reduction, high; EU scope visible. This is a provisional connection, not an outcome finding.</w:t>
      </w:r>
    </w:p>
    <w:p>
      <w:pPr>
        <w:pStyle w:val="SourceNote"/>
      </w:pPr>
      <w:r>
        <w:rPr>
          <w:b/>
        </w:rPr>
        <w:t>Available abstract (not full text):</w:t>
      </w:r>
      <w:r>
        <w:t xml:space="preserve"> A problematic issue in agriculture is the high quantity of ammonia being released resulting in a partial loss of the nitrogen which is contained in urea fertilizers. Alignment with European Union legislation on the regulation of ammonia emission from mineral fertilizers after 2030, urea fertilizers with reduced ammonia emissions by at least 30% will be allowed to remain in use. Currently, laboratory and field tests are carried out to assess the effectiveness of inhibiting nitrogen losses from urea fertilizers. Both urease and nitrification inhibitors are tested. The best results were noticed for the urease inhibitor - NBPT (N-(n-Butyl) thiophosphoric triamide) that can reduce ammonia emissions from urea fertilizers by 30-70% in both laboratory and field tests. The addition of NBPT to the UAN (urea ammonium nitrate solution) fertilizer allowed for the reduction of ammonia emission by 50%. Combining nitrification inhibitors with urease inhibitors may lead to an increase in ammonia emission because they prolong the retention time of ammonium ions in soil, which are the precursors in the process of ammonia emission. In order to meet the imposed requirements under field conditions, in addition factors such as: dose and date of application, method of application, type of soil cultivation, its type and pH and atmospheric conditions should be considered. This review gives an overview o</w:t>
      </w:r>
    </w:p>
    <w:p>
      <w:pPr/>
      <w:r>
        <w:rPr>
          <w:b/>
        </w:rPr>
        <w:t>POSSIBLE 2021:</w:t>
      </w:r>
      <w:r>
        <w:t xml:space="preserve"> Climate-Friendly Seafood: The Potential for Emissions Reduction and Carbon Capture in Marine Aquaculture — https://doi.org/10.1093/biosci/biab126</w:t>
      </w:r>
    </w:p>
    <w:p>
      <w:pPr/>
      <w:r>
        <w:rPr>
          <w:b/>
        </w:rPr>
        <w:t>Shared claim-specific concepts:</w:t>
      </w:r>
      <w:r>
        <w:t xml:space="preserve"> meet, carbon, emissions, reduction, potential; EU scope not established. This is a provisional connection, not an outcome finding.</w:t>
      </w:r>
    </w:p>
    <w:p>
      <w:pPr>
        <w:pStyle w:val="SourceNote"/>
      </w:pPr>
      <w:r>
        <w:rPr>
          <w:b/>
        </w:rPr>
        <w:t>Available abstract (not full text):</w:t>
      </w:r>
      <w:r>
        <w:t xml:space="preserve"> Aquaculture is a critical food source for the world's growing population, producing 52% of the aquatic animal products consumed. Marine aquaculture (mariculture) generates 37.5% of this production and 97% of the world's seaweed harvest. Mariculture products may offer a climate-friendly, high-protein food source, because they often have lower greenhouse gas (GHG) emission footprints than do the equivalent products farmed on land. However, sustainable intensification of low-emissions mariculture is key to maintaining a low GHG footprint as production scales up to meet future demand. We examine the major GHG sources and carbon sinks associated with fed finfish, macroalgae and bivalve mariculture, and the factors influencing variability across sectors. We highlight knowledge gaps and provide recommendations for GHG emissions reductions and carbon storage, including accounting for interactions between mariculture operations and surrounding marine ecosystems. By linking the provision of maricultured products to GHG abatement opportunities, we can advance climate-friendly practices that generate sustainable environmental, social, and economic outcomes.</w:t>
      </w:r>
    </w:p>
    <w:p>
      <w:pPr/>
      <w:r>
        <w:rPr>
          <w:b/>
        </w:rPr>
        <w:t>POSSIBLE 2021:</w:t>
      </w:r>
      <w:r>
        <w:t xml:space="preserve"> Optimal order quantity considering carbon emission costs, defective items, and partial backorder — https://doi.org/10.5267/j.uscm.2021.3.002</w:t>
      </w:r>
    </w:p>
    <w:p>
      <w:pPr/>
      <w:r>
        <w:rPr>
          <w:b/>
        </w:rPr>
        <w:t>Shared claim-specific concepts:</w:t>
      </w:r>
      <w:r>
        <w:t xml:space="preserve"> order, meet, carbon, emissions, reduction, facing; EU scope not established. This is a provisional connection, not an outcome finding.</w:t>
      </w:r>
    </w:p>
    <w:p>
      <w:pPr>
        <w:pStyle w:val="SourceNote"/>
      </w:pPr>
      <w:r>
        <w:rPr>
          <w:b/>
        </w:rPr>
        <w:t>Available abstract (not full text):</w:t>
      </w:r>
      <w:r>
        <w:t xml:space="preserve"> To respond to the adoption of carbon pricing regulations, researchers and industry are developing low carbon inventory models that can meet emission reduction targets while maintaining company profits. The challenge is getting tougher when the company is still facing problems related to imperfect product quality. This research solves this problem by developing an economic order quantity (EOQ) model by considering several sources of carbon emissions, as well as the influence of the defective rates, different demand rates, selling price and holding cost for defective products, and shortages backorder. The objective function of the formulated mathematical model is to minimize the total costs which include the emission costs. A numerical example is developed to illustrate the model based on the previous data set. Sensitivity analysis is also carried out to validate the model and to learn more about the system characteristics. The total emissions are calculated and the affecting factors are identified.</w:t>
      </w:r>
    </w:p>
    <w:p>
      <w:pPr>
        <w:pStyle w:val="Heading2"/>
      </w:pPr>
      <w:r>
        <w:t>938.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r>
        <w:rPr>
          <w:b/>
        </w:rPr>
        <w:t>POSSIBLE 2023:</w:t>
      </w:r>
      <w:r>
        <w:t xml:space="preserve"> THE IMPORTANCE OF MP’S PROFILE IN MAKING SECURITY DECISIONS — https://doi.org/10.20544/icp.8.1.23.p30</w:t>
      </w:r>
    </w:p>
    <w:p>
      <w:pPr/>
      <w:r>
        <w:rPr>
          <w:b/>
        </w:rPr>
        <w:t>Shared claim-specific concepts:</w:t>
      </w:r>
      <w:r>
        <w:t xml:space="preserve"> making, decisions, security, process, used; EU scope visible. This is a provisional connection, not an outcome finding.</w:t>
      </w:r>
    </w:p>
    <w:p>
      <w:pPr>
        <w:pStyle w:val="SourceNote"/>
      </w:pPr>
      <w:r>
        <w:rPr>
          <w:b/>
        </w:rPr>
        <w:t>Available abstract (not full text):</w:t>
      </w:r>
      <w:r>
        <w:t xml:space="preserve">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pPr/>
      <w:r>
        <w:rPr>
          <w:b/>
        </w:rPr>
        <w:t>POSSIBLE 2022:</w:t>
      </w:r>
      <w:r>
        <w:t xml:space="preserve"> Disclosures about algorithmic decision making in the corporate reports of Western European companies — https://doi.org/10.1016/j.accinf.2022.100596</w:t>
      </w:r>
    </w:p>
    <w:p>
      <w:pPr/>
      <w:r>
        <w:rPr>
          <w:b/>
        </w:rPr>
        <w:t>Shared claim-specific concepts:</w:t>
      </w:r>
      <w:r>
        <w:t xml:space="preserve"> making, major, tools; EU scope visible. This is a provisional connection, not an outcome finding.</w:t>
      </w:r>
    </w:p>
    <w:p>
      <w:pPr>
        <w:pStyle w:val="SourceNote"/>
      </w:pPr>
      <w:r>
        <w:rPr>
          <w:b/>
        </w:rPr>
        <w:t>Available abstract (not full text):</w:t>
      </w:r>
      <w:r>
        <w:t xml:space="preserve"> Over the last decade, the use of different artificial intelligence (AI) tools has increased. To shed some light on the emerging trend of AI disclosure, the aim of this paper is to analyse the current practices of major Western European companies regarding the automated decision-making (ADM) disclosure in their annual or sustainability reports. This paper proposes a methodology based on bigrams that enables the automatic extraction of the information on ADM that companies disclose. The sample consisted of 962 annual/sustainability reports, published in 2018 and 2019, of 337 companies listed on 13 Western European countries’ stock markets. Our findings show that ADM disclosure is still at an early stage and that the first adopters are mostly companies operating in the financial sector.</w:t>
      </w:r>
    </w:p>
    <w:p>
      <w:pPr/>
      <w:r>
        <w:rPr>
          <w:b/>
        </w:rPr>
        <w:t>POSSIBLE 2021:</w:t>
      </w:r>
      <w:r>
        <w:t xml:space="preserve"> European Resuscitation Council Guidelines 2021: Ethics of resuscitation and end of life decisions — https://doi.org/10.1016/j.resuscitation.2021.02.017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These European Resuscitation Council Ethics guidelines provide evidence-based recommendations for the ethical, routine practice of resuscitation and end-of-life care of adults and children. The guideline primarily focus on major ethical practice interventions (i.e. advance directives, advance care planning, and shared decision making), decision making regarding resuscitation, education, and research. These areas are tightly related to the application of the principles of bioethics in the practice of resuscitation and end-of-life care.</w:t>
      </w:r>
    </w:p>
    <w:p>
      <w:pPr/>
      <w:r>
        <w:rPr>
          <w:b/>
        </w:rPr>
        <w:t>POSSIBLE 2021:</w:t>
      </w:r>
      <w:r>
        <w:t xml:space="preserve"> Vaccination as a Matter of Security and Security Management in European Union — https://doi.org/10.35808/ersj/2729</w:t>
      </w:r>
    </w:p>
    <w:p>
      <w:pPr/>
      <w:r>
        <w:rPr>
          <w:b/>
        </w:rPr>
        <w:t>Shared claim-specific concepts:</w:t>
      </w:r>
      <w:r>
        <w:t xml:space="preserve"> making, including, security, process, possible; EU scope visible. This is a provisional connection, not an outcome finding.</w:t>
      </w:r>
    </w:p>
    <w:p>
      <w:pPr>
        <w:pStyle w:val="SourceNote"/>
      </w:pPr>
      <w:r>
        <w:rPr>
          <w:b/>
        </w:rPr>
        <w:t>Available abstract (not full text):</w:t>
      </w:r>
      <w:r>
        <w:t xml:space="preserve"> Purpose: Due to pandemic Covid-19, health security has grown into a key sectoral security area, and the virus, itself, the threat it carries and the fight against it have been securitized.One of the threads that is securitized is the issue of Sars-CoV-2 vaccination.The research aims to present securitization process on that field using the case of institutions of European Union.Design/Methodology/Approach: The authors analyzes the documents issued or signed by the Health Security Committee and the statements of its representatives regarding the vaccination process, its importance and method of carrying out in terms of the relationship between this issue and ensuring security.Findings: Vaccination against covid-19 is presented as a "security issue" and thus securitized.However, the process has several dimensions, the ways in which it is carried out and the goals that EU decision-makers want to achieve with it.The multi-level narrative and the ubiquitous language of threats make the administration of the dose of the vaccine much more important than just protecting one's own health, for which you can / should change the law, rules of the game and even influence the freedom of economic activity.Practical implications: Making an issue a security issue through the process of effective securitization brings with it a social consent to special (extraordinary) actions by political decis</w:t>
      </w:r>
    </w:p>
    <w:p>
      <w:pPr/>
      <w:r>
        <w:rPr>
          <w:b/>
        </w:rPr>
        <w:t>POSSIBLE 2021:</w:t>
      </w:r>
      <w:r>
        <w:t xml:space="preserve"> A Security-by-Design Decision-Making Model for Risk Management in Autonomous Vehicles — https://doi.org/10.1109/access.2021.3098675</w:t>
      </w:r>
    </w:p>
    <w:p>
      <w:pPr/>
      <w:r>
        <w:rPr>
          <w:b/>
        </w:rPr>
        <w:t>Shared claim-specific concepts:</w:t>
      </w:r>
      <w:r>
        <w:t xml:space="preserve"> security, process, methods, used; EU scope not established. This is a provisional connection, not an outcome finding.</w:t>
      </w:r>
    </w:p>
    <w:p>
      <w:pPr>
        <w:pStyle w:val="SourceNote"/>
      </w:pPr>
      <w:r>
        <w:rPr>
          <w:b/>
        </w:rPr>
        <w:t>Available abstract (not full text):</w:t>
      </w:r>
      <w:r>
        <w:t xml:space="preserve"> Autonomous/self-driving vehicles have gained significant attention these days, as one of the intelligent transportation systems. However, those vehicles have risks related to their physical implementation and security against cyber threats. Therefore, this study proposes a new security-by-design model for estimating the uncertainty of autonomous vehicles and measuring cyber risks; thus it assists decision-makers in addressing the risks of the physical design and their attack surfaces. The proposed model is developed using neutrosophic sets that efficiently tackle multi-criteria decision-making (MCDM) problems with extensive conflicting criteria and alternatives. The proposed model integrates MCDM, Analytic Hierarchy Process (AHP), Multi-Attributive Border Approximation Area Comparison (MABAC), and Preference Ranking Organization Method for Enrichment Evaluations II (PROMETHEE II), along with single-valued neutrosophic sets (SVNSs). An illustrative case considering ten risks in self-driving vehicles is used to validate the feasibility of the proposed model. Compared to the state-of-the-art methods, the proposed model is considered consistent and reliable to deal with and represent uncertainty and incomplete risk information using neutrosophic sets.</w:t>
      </w:r>
    </w:p>
    <w:p>
      <w:pPr/>
      <w:r>
        <w:rPr>
          <w:b/>
        </w:rPr>
        <w:t>POSSIBLE 2020:</w:t>
      </w:r>
      <w:r>
        <w:t xml:space="preserve"> Storylines for decision-making: climate and food security in Namibia — https://doi.org/10.1080/17565529.2020.1808438</w:t>
      </w:r>
    </w:p>
    <w:p>
      <w:pPr/>
      <w:r>
        <w:rPr>
          <w:b/>
        </w:rPr>
        <w:t>Shared claim-specific concepts:</w:t>
      </w:r>
      <w:r>
        <w:t xml:space="preserve"> security, used, possible; EU scope not established. This is a provisional connection, not an outcome finding.</w:t>
      </w:r>
    </w:p>
    <w:p>
      <w:pPr>
        <w:pStyle w:val="SourceNote"/>
      </w:pPr>
      <w:r>
        <w:rPr>
          <w:b/>
        </w:rPr>
        <w:t>Available abstract (not full text):</w:t>
      </w:r>
      <w:r>
        <w:t xml:space="preserve"> Storylines are plausible descriptions of past or future events and can be used to characterize uncertainty through discrete possible futures. They thereby bridge the gap between global-scale future projections and local-scale impacts, providing decision-makers with useful information about potential impacts in multivariate systems despite large swathes of missing data. Here we demonstrate the storyline approach using the case of household food security in the Caprivi region of Namibia, an example of a complex system with multiple interacting drivers. We develop a network characterizing influences on household food security, highlighting drivers that are affected by the local weather (with climate understood to constitute the collection of possible weather states). The network is used to understand the storyline leading to household impacts in 2013–14, a consumption year affected by flooding, and the effects of a range of interventions across wealth groups. Counterfactual storylines are also developed to characterize potential impacts under different local and national conditions. Through this we demonstrate how a storyline approach can embed local contextual information to provide decision-makers with comprehensible and assessable information about possible futures and interventions. We highlight the importance of identifying common drivers, in this case the local weather, in p</w:t>
      </w:r>
    </w:p>
    <w:p>
      <w:pPr/>
      <w:r>
        <w:rPr>
          <w:b/>
        </w:rPr>
        <w:t>POSSIBLE 2019:</w:t>
      </w:r>
      <w:r>
        <w:t xml:space="preserve"> The European guideline on management of major bleeding and coagulopathy following trauma: fifth edition — https://doi.org/10.1186/s13054-019-2347-3</w:t>
      </w:r>
    </w:p>
    <w:p>
      <w:pPr/>
      <w:r>
        <w:rPr>
          <w:b/>
        </w:rPr>
        <w:t>Shared claim-specific concepts:</w:t>
      </w:r>
      <w:r>
        <w:t xml:space="preserve"> major, including, process, methods; EU scope visible. This is a provisional connection, not an outcome finding.</w:t>
      </w:r>
    </w:p>
    <w:p>
      <w:pPr>
        <w:pStyle w:val="SourceNote"/>
      </w:pPr>
      <w:r>
        <w:rPr>
          <w:b/>
        </w:rPr>
        <w:t>Available abstract (not full text):</w:t>
      </w:r>
      <w:r>
        <w:t xml:space="preserve"> Background: Severe traumatic injury continues to present challenges to healthcare systems around the world, and post-traumatic bleeding remains a leading cause of potentially preventable death among injured patients.Now in its fifth edition, this document aims to provide guidance on the management of major bleeding and coagulopathy following traumatic injury and encourages adaptation of the guiding principles described here to individual institutional circumstances and resources.Methods: The pan-European, multidisciplinary Task Force for Advanced Bleeding Care in Trauma was founded in 2004, and the current author group included representatives of six relevant European professional societies.The group applied a structured, evidence-based consensus approach to address scientific queries that served as the basis for each recommendation and supporting rationale.Expert opinion and current clinical practice were also considered, particularly in areas in which randomised clinical trials have not or cannot be performed.Existing recommendations were re-examined and revised based on scientific evidence that has emerged since the previous edition and observed shifts in clinical practice.New recommendations were formulated to reflect current clinical concerns and areas in which new research data have been generated.Results: Advances in our understanding of the pathophysiology of post-traum</w:t>
      </w:r>
    </w:p>
    <w:p>
      <w:pPr>
        <w:pStyle w:val="Heading2"/>
      </w:pPr>
      <w:r>
        <w:t>939.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direct, climate, likely, consequences, associated;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direct, indirect, climate, health, adaptation;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r>
        <w:rPr>
          <w:b/>
        </w:rPr>
        <w:t>POSSIBLE 2022:</w:t>
      </w:r>
      <w:r>
        <w:t xml:space="preserve"> Direct and indirect effects of universities on European regional productivity — https://doi.org/10.1111/pirs.12698</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Universities are fundamental in driving economic performance as they generate human capital, research and knowledge diffusion. We propose a novel analysis by investigating their effects on European regions' total factor productivity (TFP) over the period 2000–2016. We distinguish between direct effects, due to universities societal role (“third mission”), and indirect ones originating from human and technological capital creation. Our contribution is threefold. First and foremost, we provide evidence that the presence of universities has a sizeable impact on regional TFP. Second, this impact spreads across regional boundaries. Third, universities effectively drive human and technological capital growth, thus indirectly fostering productivity enhancements.</w:t>
      </w:r>
    </w:p>
    <w:p>
      <w:pPr/>
      <w:r>
        <w:rPr>
          <w:b/>
        </w:rPr>
        <w:t>POSSIBLE 2022:</w:t>
      </w:r>
      <w:r>
        <w:t xml:space="preserve"> Direct and indirect effect of European Uniondirectives in the context of European UnionCourt of Justice decisions — https://doi.org/10.46925//rdluz.38.06</w:t>
      </w:r>
    </w:p>
    <w:p>
      <w:pPr/>
      <w:r>
        <w:rPr>
          <w:b/>
        </w:rPr>
        <w:t>Shared claim-specific concepts:</w:t>
      </w:r>
      <w:r>
        <w:t xml:space="preserve"> direct, indirect, particular; EU scope visible. This is a provisional connection, not an outcome finding.</w:t>
      </w:r>
    </w:p>
    <w:p>
      <w:pPr>
        <w:pStyle w:val="SourceNote"/>
      </w:pPr>
      <w:r>
        <w:rPr>
          <w:b/>
        </w:rPr>
        <w:t>Available abstract (not full text):</w:t>
      </w:r>
      <w:r>
        <w:t xml:space="preserve"> The objective of this article is to analyze the direct effect of EU directives in vertical and horizontal legal relationships as well as theindirect effect of EU directivesin the context of EU Court of Justice decisions. In particular, attention is paid to the study of the consolidated legal positions regarding the possibility of the “verticaldirecteffect”, “horizontaldirecteffect” and “indirect effect”of EU directives.Dialectical, comparative-legal, historical, and formal dogmatic methods were used in the research.As the resultof analyzewas made the conclusion that the EU directives, which are used by national courts to fulfill their obligations regarding the respective interpretation, can not be considered with direct effect, because in such disputes they serve as a means of determiningthe scope of other legal provisions that the national court treats or interprets. In such situations, the directive may be applied in cases indirectly, that is, by virtue of another (national) provision, as interpreted.</w:t>
      </w:r>
    </w:p>
    <w:p>
      <w:pPr/>
      <w:r>
        <w:rPr>
          <w:b/>
        </w:rPr>
        <w:t>POSSIBLE 2022:</w:t>
      </w:r>
      <w:r>
        <w:t xml:space="preserve"> Investigating the Effects of Climate Change on Structural Actions — https://doi.org/10.1080/10168664.2022.2098894</w:t>
      </w:r>
    </w:p>
    <w:p>
      <w:pPr/>
      <w:r>
        <w:rPr>
          <w:b/>
        </w:rPr>
        <w:t>Shared claim-specific concepts:</w:t>
      </w:r>
      <w:r>
        <w:t xml:space="preserve"> investigate, direct, indirect, climate, likely, consequences; EU scope visible. This is a provisional connection, not an outcome finding.</w:t>
      </w:r>
    </w:p>
    <w:p>
      <w:pPr>
        <w:pStyle w:val="SourceNote"/>
      </w:pPr>
      <w:r>
        <w:rPr>
          <w:b/>
        </w:rPr>
        <w:t>Available abstract (not full text):</w:t>
      </w:r>
      <w:r>
        <w:t xml:space="preserve"> The changing climate with resulting more extreme weather events will likely impact infrastructure assets and services. This phenomenon can present direct threats to the assets as well as significant indirect effects for those relying on the services those assets deliver. Such threats are path-dependent and place-specific, as they strongly depend on current and future climate variability, location, asset design life, function and condition. One key question is how climate change is likely to increase both the probability and magnitude of extreme weather events under different scenarios of climate change. To address this issue, this paper investigates selected effects of climate change and their consequences on structural performance, in the context of evolving loading scenarios in three different continental regions: Europe, North America, and Asia. The aim is to investigate some main place-specific changes of the exposure in terms of intensity/frequency of extreme events as well as the associated challenges, considering some recent activities of members of the IABSE TG6.1. Climate change can significantly affect built infrastructure and the society by increasing the occurrence and magnitude of extreme events and increasing potential losses. Therefore, specific relationships relating hazard levels and structural vulnerability to climate change effects should be determined.</w:t>
      </w:r>
    </w:p>
    <w:p>
      <w:pPr/>
      <w:r>
        <w:rPr>
          <w:b/>
        </w:rPr>
        <w:t>POSSIBLE 2021:</w:t>
      </w:r>
      <w:r>
        <w:t xml:space="preserve"> Investigating direct and indirect globalization-based acculturation — https://doi.org/10.1016/j.ijintrel.2021.07.012</w:t>
      </w:r>
    </w:p>
    <w:p>
      <w:pPr/>
      <w:r>
        <w:rPr>
          <w:b/>
        </w:rPr>
        <w:t>Shared claim-specific concepts:</w:t>
      </w:r>
      <w:r>
        <w:t xml:space="preserve"> direct, indirect, associated; EU scope not established. This is a provisional connection, not an outcome finding.</w:t>
      </w:r>
    </w:p>
    <w:p>
      <w:pPr>
        <w:pStyle w:val="SourceNote"/>
      </w:pPr>
      <w:r>
        <w:rPr>
          <w:b/>
        </w:rPr>
        <w:t>Available abstract (not full text):</w:t>
      </w:r>
      <w:r>
        <w:t xml:space="preserve"> Cultural globalization affects most people around the world in contemporary, modern societies. The resulting intercultural contact have been examined using the theory of globalization-based acculturation. However, little is known about possible differences and similarities in processes underlying the effects of direct (e.g., through contact with immigrants) and indirect (e.g., engagement with cultural elements through media) forms of new cultural exposure. Drawing on the contact hypothesis, social identity theory, and symbolic threat theory, we examined whether perceived intercultural threat and local and global identities would explain whether both forms of contact result in multicultural acquisition or in ethnic protection. In Study 1 (N = 402), indirect, but not direct, intercultural contact was positively associated with multicultural acquisition; and both types of intercultural contact were negatively linked with ethnic protection. Global identity significantly mediated the association of both direct and indirect intercultural contact with both multicultural acquisition and ethnic protection, whereas perceived cultural threat only significantly mediated the associations of direct intercultural contact with multicultural acquisition and ethnic protection. In Study 2 (N = 424), higher levels of ethnic protection, and lower levels of multicultural acquisition, emerged in the </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climate, important;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Climate Change and Glacier Reaction in the European Alps — https://doi.org/10.1093/acrefore/9780190228620.013.763</w:t>
      </w:r>
    </w:p>
    <w:p>
      <w:pPr/>
      <w:r>
        <w:rPr>
          <w:b/>
        </w:rPr>
        <w:t>Shared claim-specific concepts:</w:t>
      </w:r>
      <w:r>
        <w:t xml:space="preserve"> direct, climate, important, particular; EU scope visible. This is a provisional connection, not an outcome finding.</w:t>
      </w:r>
    </w:p>
    <w:p>
      <w:pPr>
        <w:pStyle w:val="SourceNote"/>
      </w:pPr>
      <w:r>
        <w:rPr>
          <w:b/>
        </w:rPr>
        <w:t>Available abstract (not full text):</w:t>
      </w:r>
      <w:r>
        <w:t xml:space="preserve"> Abstract Glaciers are probably the most obvious features of Earth’s changing climate. They enable one to see the effects of a warming or a cooling of the atmosphere by landscape changes on time scales short enough to be perceived or recognized by humans. However, the relationship between a retreating and advancing glacier and the climate is not linear, as glacier flow can filter the direct signal of the climate. Thus, glaciers can advance during periods of warming or, vice versa, retreat during periods of cooling. In fact, it is the mass change of the glacier (i.e., the mass balance) that directly links the glacier reaction to an atmospheric signal. The mechanism-based understanding of the relationship between the changing climate and glacier reaction received important and significant momentum from the science of the Alpine region. This strong momentum from the Alps has to do with the well-established science tradition in Europe in the 19th and beginning of the 20th century, which resulted in a series of important inventions to measure climate and glacier properties. Even at that time, knowledge was gained that is still valid in the early 21st century (e.g., the climate is changing and fluctuating; glacier changes are caused by changing climate; and the ice age was the result of shifting climate). Above all others, Albrecht Penck and Eduard Brückner were the key scientists in </w:t>
      </w:r>
    </w:p>
    <w:p>
      <w:pPr/>
      <w:r>
        <w:rPr>
          <w:b/>
        </w:rPr>
        <w:t>POSSIBLE 2020:</w:t>
      </w:r>
      <w:r>
        <w:t xml:space="preserve"> Investigating the direct and indirect effects of forest fragmentation on plant functional diversity — https://doi.org/10.1371/journal.pone.0235210</w:t>
      </w:r>
    </w:p>
    <w:p>
      <w:pPr/>
      <w:r>
        <w:rPr>
          <w:b/>
        </w:rPr>
        <w:t>Shared claim-specific concepts:</w:t>
      </w:r>
      <w:r>
        <w:t xml:space="preserve"> direct, indirect; EU scope not established. This is a provisional connection, not an outcome finding.</w:t>
      </w:r>
    </w:p>
    <w:p>
      <w:pPr>
        <w:pStyle w:val="SourceNote"/>
      </w:pPr>
      <w:r>
        <w:rPr>
          <w:b/>
        </w:rPr>
        <w:t>Available abstract (not full text):</w:t>
      </w:r>
      <w:r>
        <w:t xml:space="preserve"> Ongoing habitat loss and fragmentation alter the functional diversity of forests. Generalising the magnitude of change in functional diversity of fragmented landscapes and its drivers is challenging because of the multiple scales at which landscape fragmentation takes place. Here we propose a multi-scale approach to determine whether fragmentation processes at the local and landscape scales are reducing functional diversity of trees in the East Usambara Mountains, Tanzania. We employ a structural equation modelling approach using five key plant traits (seed length, dispersal mode, shade tolerance, maximum tree height, and wood density) to better understand the functional responses of trees to fragmentation at multiple scales. Our results suggest both direct and indirect effects of forest fragmentation on tree functional richness, evenness and divergence. A reduction in fragment area appears to exacerbate the negative effects resulting from an increased amount of edge habitat and loss of shape complexity, further reducing richness and evenness of traits related to resource acquisition and favouring tree species with fast growth. As anthropogenic disturbances affect forests around the world, we advocate to include the direct and indirect effects of forest fragmentation processes to gain a better understanding of shifts in functional diversity that can inform future management eff</w:t>
      </w:r>
    </w:p>
    <w:p>
      <w:pPr>
        <w:pStyle w:val="Heading2"/>
      </w:pPr>
      <w:r>
        <w:t>940.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2024:</w:t>
      </w:r>
      <w:r>
        <w:t xml:space="preserve"> Modelling costs of interventional pulmonary embolism treatment: implications of US trends for a European healthcare system — https://doi.org/10.1093/ehjacc/zuae019</w:t>
      </w:r>
    </w:p>
    <w:p>
      <w:pPr/>
      <w:r>
        <w:rPr>
          <w:b/>
        </w:rPr>
        <w:t>Shared claim-specific concepts:</w:t>
      </w:r>
      <w:r>
        <w:t xml:space="preserve"> healthcare, result, million; EU scope visible. This is a provisional connection, not an outcome finding.</w:t>
      </w:r>
    </w:p>
    <w:p>
      <w:pPr>
        <w:pStyle w:val="SourceNote"/>
      </w:pPr>
      <w:r>
        <w:rPr>
          <w:b/>
        </w:rPr>
        <w:t>Available abstract (not full text):</w:t>
      </w:r>
      <w:r>
        <w:t xml:space="preserve">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pPr/>
      <w:r>
        <w:rPr>
          <w:b/>
        </w:rPr>
        <w:t>POSSIBLE 2024:</w:t>
      </w:r>
      <w:r>
        <w:t xml:space="preserve"> Analysis of healthcare waste and factors affecting the amount of hazardous healthcare waste in a university hospital — https://doi.org/10.1007/s10163-024-01890-1</w:t>
      </w:r>
    </w:p>
    <w:p>
      <w:pPr/>
      <w:r>
        <w:rPr>
          <w:b/>
        </w:rPr>
        <w:t>Shared claim-specific concepts:</w:t>
      </w:r>
      <w:r>
        <w:t xml:space="preserve"> healthcare, amount, over; EU scope not established. This is a provisional connection, not an outcome finding.</w:t>
      </w:r>
    </w:p>
    <w:p>
      <w:pPr>
        <w:pStyle w:val="SourceNote"/>
      </w:pPr>
      <w:r>
        <w:rPr>
          <w:b/>
        </w:rPr>
        <w:t>Available abstract (not full text):</w:t>
      </w:r>
      <w:r>
        <w:t xml:space="preserve"> Abstract The ever-increasing amount of waste produced by the healthcare system is a growing burden worldwide. To effectively reduce waste, it is essential to know exactly what it is and to explore the factors influencing its amount. This study aims to analyze the amount of healthcare waste (HCW) and the change in that amount over time, as well as to explore and quantify the factors that influence hazardous healthcare waste (HHCW) in a university hospital. Descriptive statistical analysis, Spearman’s correlation and robust regression were performed to characterize the data. Our analysis revealed that the amount of HCW has been increased annually by 2.11%, and the generation rate ranges between 2.53 and 2.68 kg/bed/day. The amount of HHCW has increased by 20.19% over the 5-year period studied, with a generation rate varying between 1.13 and 1.31 kg/bed/day. It was found that surgical specialisms, anesthesiology and intensive care, and emergency patient care have higher rates of hazardous waste production. A significant positive correlation was found between the amount of hazardous waste and the incidence of healthcare-associated infections ( r = 0.704), and the number of diapers used by adults and children ( r = 0.555), whose significant predictive role was also confirmed by the robust regression.</w:t>
      </w:r>
    </w:p>
    <w:p>
      <w:pPr/>
      <w:r>
        <w:rPr>
          <w:b/>
        </w:rPr>
        <w:t>POSSIBLE 2023:</w:t>
      </w:r>
      <w:r>
        <w:t xml:space="preserve"> DIRECT HOSPITAL COSTS PER CASE FOR PERIPROSTHETHIC HIP AND KNEE JOINT INFECTION IN EUROPE: A SYSTEMATIC REVIEW — https://doi.org/10.1302/1358-992x.2023.17.052</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Aim The number of periprosthetic joint infections (PJI) is increasing due to ageing population and increasing numbers of arthroplasty procedures and treatment is costly. Aim of the study was to analyze the direct healthcare costs of PJI in Europe for total hip arthroplasties (THA) and total knee arthroplasties (TKA). Method A systematic review in PubMed with search of direct costs of PJI in European countries was performed. Thereby the term cost* AND (infection OR PJI) AND (prosthesis OR knee OR hip OR “TKA” OR “THA” OR arthroplast*) was combined with each European country to detect relevant publications. Publications with definition of performed procedure and joint localization were included into further analysis. The mean value of direct healthcare cost was calculated for the respective joint and the respective operation performed. Results Screening revealed 1,274 eligible publications. After review of abstracts and full-texts n=11 manuscripts were included into final analysis (Figure 1). The mean combined direct hospital costs for revision for PJI after TKA and THA was 26,311€. Mean costs for revision procedures for PJI after TKA were 24,617€. Direct costs for TKA-PJI treated with debridement, antibiotics and implant retention (DAIR) were on average 10,121€. For two-stage revisions in knee arthroplasties total average costs were 30,829€. Referring to revision surgery for PJI</w:t>
      </w:r>
    </w:p>
    <w:p>
      <w:pPr/>
      <w:r>
        <w:rPr>
          <w:b/>
        </w:rPr>
        <w:t>POSSIBLE 2023:</w:t>
      </w:r>
      <w:r>
        <w:t xml:space="preserve"> Healthcare price transparency in North America and Europe — https://doi.org/10.1259/bjr.20230236</w:t>
      </w:r>
    </w:p>
    <w:p>
      <w:pPr/>
      <w:r>
        <w:rPr>
          <w:b/>
        </w:rPr>
        <w:t>Shared claim-specific concepts:</w:t>
      </w:r>
      <w:r>
        <w:t xml:space="preserve"> healthcare, result; EU scope visible. This is a provisional connection, not an outcome finding.</w:t>
      </w:r>
    </w:p>
    <w:p>
      <w:pPr>
        <w:pStyle w:val="SourceNote"/>
      </w:pPr>
      <w:r>
        <w:rPr>
          <w:b/>
        </w:rPr>
        <w:t>Available abstract (not full text):</w:t>
      </w:r>
      <w:r>
        <w:t xml:space="preserve"> Healthcare price transparency is an effort to inform patient decision-making, but also to decrease prices and their variation across healthcare systems for equivalent medical services. The initiative is meaningful only for medical services that are shoppable-such as imaging examinations-for which patients incur out-of-pocket costs. Therefore, several countries in which patients commonly share a portion of their healthcare costs have been implementing mandates to improve healthcare price transparency. However, the provisional implementation has many issues, especially in the United States, including provider non-compliance and limited accessibility of price transparency tools by the general public. Many of the existing tools are not user-friendly, are difficult to navigate, focus on charges and health plan negotiated rates rather than patients' out-of-pocket costs, and disclose prices on the service level instead of per episode of care. As such, the disclosed amounts are often not reliable. Many price transparency tools also lack valid and measurable quality metrics, which can result in a selection of high-cost care as a proxy for high-value care, as well as an increase in healthcare prices when providers want to imply they offer high-quality care. Nevertheless, the impact of the initiatives on patients' decision-making and healthcare costs remains unclear. While transparency in</w:t>
      </w:r>
    </w:p>
    <w:p>
      <w:pPr/>
      <w:r>
        <w:rPr>
          <w:b/>
        </w:rPr>
        <w:t>POSSIBLE 2022:</w:t>
      </w:r>
      <w:r>
        <w:t xml:space="preserve"> Healthcare resource utilisation and medical costs for children with interstitial lung diseases (chILD) in Europe — https://doi.org/10.1136/thoraxjnl-2021-217751</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BACKGROUND: No data on healthcare utilisation and associated costs for the many rare entities of children's interstitial lung diseases (chILD) exist. This paper portrays healthcare utilisation structures among individuals with chILD, provides a pan-European estimate of a 3-month interval per-capita costs and delineates crucial cost drivers. METHODS: Based on longitudinal healthcare resource utilisation pattern of 445 children included in the Kids Lung Register diagnosed with chILD across 10 European countries, we delineated direct medical and non-medical costs of care per 3-month interval. Country-specific utilisation patterns were assessed with a children-tailored modification of the validated FIMA questionnaire and valued by German unit costs. Costs of care and their drivers were subsequently identified via gamma-distributed generalised linear regression models. RESULTS: During the 3 months prior to inclusion into the registry (baseline), the rate of hospital admissions and inpatient days was high. Unadjusted direct medical per capita costs (€19 818) exceeded indirect (€1 907) and direct non-medical costs (€1 125) by far. Country-specific total costs ranged from €8 713 in Italy to €28 788 in Poland. Highest expenses were caused by the disease categories 'diffuse parenchymal lung disease (DPLD)-diffuse developmental disorders' (€45 536) and 'DPLD-unclear in the non-neonate' (€</w:t>
      </w:r>
    </w:p>
    <w:p>
      <w:pPr/>
      <w:r>
        <w:rPr>
          <w:b/>
        </w:rPr>
        <w:t>POSSIBLE 2022:</w:t>
      </w:r>
      <w:r>
        <w:t xml:space="preserve"> Direct healthcare costs of Rome IV or Rome III ‐defined irritable bowel syndrome in the United Kingdom — https://doi.org/10.1111/apt.16939</w:t>
      </w:r>
    </w:p>
    <w:p>
      <w:pPr/>
      <w:r>
        <w:rPr>
          <w:b/>
        </w:rPr>
        <w:t>Shared claim-specific concepts:</w:t>
      </w:r>
      <w:r>
        <w:t xml:space="preserve"> direct, healthcare, billion; EU scope not established. This is a provisional connection, not an outcome finding.</w:t>
      </w:r>
    </w:p>
    <w:p>
      <w:pPr>
        <w:pStyle w:val="SourceNote"/>
      </w:pPr>
      <w:r>
        <w:rPr>
          <w:b/>
        </w:rPr>
        <w:t>Available abstract (not full text):</w:t>
      </w:r>
      <w:r>
        <w:t xml:space="preserve"> BACKGROUND: Previous studies have demonstrated a substantial economic impact of irritable bowel syndrome (IBS). AIMS: To provide contemporaneous estimates of direct healthcare costs of IBS in the United Kingdom. METHODS: We collected demographic, gastrointestinal and psychological symptoms, quality of life and healthcare usage data from adults with Rome IV or Rome III IBS in the United Kingdom. We calculated the mean annual direct healthcare costs of IBS per person and used contemporaneous IBS prevalence data, together with census data, to estimate annual direct costs of IBS. We also examined predictors of higher costs. RESULTS: The mean annual direct cost of IBS per person among 752 individuals with Rome IV IBS was £556.65 (SD £1023.92) and £474.16 (SD £897.86) for 995 individuals with Rome III IBS. We estimate the annual direct healthcare cost of IBS in the United Kingdom is £1.27 billion if the Rome IV criteria are used to define IBS, and £2.07 billion using Rome III. Among individuals with Rome IV IBS, mean annual costs were higher in those with opiate use (£907.90 vs £470.58, p &lt; 0.001), more severe symptoms (p &lt; 0.001 for trend), a shorter duration of IBS (1 year, £1227.14 vs &gt;5 years £501.60, p = 0.002), lower quality of life (p &lt; 0.001 for trend), and higher depression, somatisation and gastrointestinal symptom-specific anxiety scores (P &lt; 0.001 for trend for all). CONC</w:t>
      </w:r>
    </w:p>
    <w:p>
      <w:pPr/>
      <w:r>
        <w:rPr>
          <w:b/>
        </w:rPr>
        <w:t>POSSIBLE 2021:</w:t>
      </w:r>
      <w:r>
        <w:t xml:space="preserve"> Direct healthcare costs of lip, oral cavity and oropharyngeal cancer in Brazil — https://doi.org/10.1371/journal.pone.0246475</w:t>
      </w:r>
    </w:p>
    <w:p>
      <w:pPr/>
      <w:r>
        <w:rPr>
          <w:b/>
        </w:rPr>
        <w:t>Shared claim-specific concepts:</w:t>
      </w:r>
      <w:r>
        <w:t xml:space="preserve"> direct, healthcare, associated, million, spent, over; EU scope not established. This is a provisional connection, not an outcome finding.</w:t>
      </w:r>
    </w:p>
    <w:p>
      <w:pPr>
        <w:pStyle w:val="SourceNote"/>
      </w:pPr>
      <w:r>
        <w:rPr>
          <w:b/>
        </w:rPr>
        <w:t>Available abstract (not full text):</w:t>
      </w:r>
      <w:r>
        <w:t xml:space="preserve"> The efficiency of public policies includes the measurement of the health resources used and their associated costs. There is a lack of studies evaluating the economic impact of oral cancer (OC). This study aims to estimate the healthcare costs of OC in Brazil from 2008 to 2016. This is a partial economic evaluation using the gross costing top-down method, considering the direct healthcare costs related to outpatients, inpatients, intensive care units, and the number of procedures, from the perspective of the public health sector. The data were extracted from the Outpatient and Inpatient Information System of the National Health System, by diagnosis according to the 10th Revision of the International Classification of Diseases, according to sites of interest: C00 to C06, C09 and C10. The values were adjusted for annual accumulated inflation and expressed in 2018 I$ (1 I$ = R$2,044). Expenditure on OC healthcare in Brazil was I$495.6 million, which was composed of 50.8% (I$251.6 million) outpatient and 49.2% (I$244.0 million) inpatient healthcare. About 177,317 admissions and 6,224,236 outpatient procedures were registered. Chemotherapy and radiotherapy comprised the largest number of procedures (88.8%) and costs (94.9%). Most of the costs were spent on people over 50 years old (72.9%) and on males (75.6%). Direct healthcare costs in Brazil for OC are substantial. Outpatient proc</w:t>
      </w:r>
    </w:p>
    <w:p>
      <w:pPr/>
      <w:r>
        <w:rPr>
          <w:b/>
        </w:rPr>
        <w:t>POSSIBLE 2020:</w:t>
      </w:r>
      <w:r>
        <w:t xml:space="preserve"> Real‐world data for direct stage‐specific costs of melanoma healthcare — https://doi.org/10.1111/bjd.18896</w:t>
      </w:r>
    </w:p>
    <w:p>
      <w:pPr/>
      <w:r>
        <w:rPr>
          <w:b/>
        </w:rPr>
        <w:t>Shared claim-specific concepts:</w:t>
      </w:r>
      <w:r>
        <w:t xml:space="preserve"> direct, healthcare, population; EU scope visible. This is a provisional connection, not an outcome finding.</w:t>
      </w:r>
    </w:p>
    <w:p>
      <w:pPr>
        <w:pStyle w:val="SourceNote"/>
      </w:pPr>
      <w:r>
        <w:rPr>
          <w:b/>
        </w:rPr>
        <w:t>Available abstract (not full text):</w:t>
      </w:r>
      <w:r>
        <w:t xml:space="preserve"> Dear Editor, In Europe, melanoma is the fourth most common cancer diagnosed in young adults (20–45 years old).1 It also has one of the fastest‐growing incidence rates globally, and this trend is expected to continue in all European countries.2 Thus, and also due to the costly new treatment options available, the economic burden of this illness is expected to keep increasing as well.3 In times of limited resources, evidence of the cost of a disease should be among the main pillars supporting policymakers. Thus, we aimed to provide a detailed estimate of the real‐world, stage‐specific, direct healthcare costs of melanoma from the perspective of the Italian National Healthcare Service, to enable policymakers to draw comparisons and make decisions regarding the allocation of public resources in this era of promising, but expensive, novel pharmacological strategies. We considered 599 cases of melanoma diagnosed in 2015 in four provinces of the Veneto region. Melanomas of unknown thickness at diagnosis (39 patients) were disregarded. We considered the costs of delivering care to patients from the first suspicion of pathology until the end of the second year after the diagnosis, stratified by cost item and tumour–nodes–metastasis (TNM) stage of melanoma at diagnosis, in two ways. We calculated firstly, overall costs (including all the health expenditures of a given patient) and second</w:t>
      </w:r>
    </w:p>
    <w:p>
      <w:pPr/>
      <w:r>
        <w:rPr>
          <w:b/>
        </w:rPr>
        <w:t>POSSIBLE 2020:</w:t>
      </w:r>
      <w:r>
        <w:t xml:space="preserve"> Estimate of Burden and Direct Healthcare Cost of Infectious Waterborne Disease in the United States — https://doi.org/10.3201/eid2701.190676</w:t>
      </w:r>
    </w:p>
    <w:p>
      <w:pPr/>
      <w:r>
        <w:rPr>
          <w:b/>
        </w:rPr>
        <w:t>Shared claim-specific concepts:</w:t>
      </w:r>
      <w:r>
        <w:t xml:space="preserve"> direct, healthcare, billion, million; EU scope not established. This is a provisional connection, not an outcome finding.</w:t>
      </w:r>
    </w:p>
    <w:p>
      <w:pPr>
        <w:pStyle w:val="SourceNote"/>
      </w:pPr>
      <w:r>
        <w:rPr>
          <w:b/>
        </w:rPr>
        <w:t>Available abstract (not full text):</w:t>
      </w:r>
      <w:r>
        <w:t xml:space="preserve"> Provision of safe drinking water in the United States is a great public health achievement. However, new waterborne disease challenges have emerged (e.g., aging infrastructure, chlorine-tolerant and biofilm-related pathogens, increased recreational water use). Comprehensive estimates of the health burden for all water exposure routes (ingestion, contact, inhalation) and sources (drinking, recreational, environmental) are needed. We estimated total illnesses, emergency department (ED) visits, hospitalizations, deaths, and direct healthcare costs for 17 waterborne infectious diseases. About 7.15 million waterborne illnesses occur annually (95% credible interval [CrI] 3.88 million-12.0 million), results in 601,000 ED visits (95% CrI 364,000-866,000), 118,000 hospitalizations (95% CrI 86,800-150,000), and 6,630 deaths (95% CrI 4,520-8,870) and incurring US $3.33 billion (95% CrI 1.37 billion-8.77 billion) in direct healthcare costs. Otitis externa and norovirus infection were the most common illnesses. Most hospitalizations and deaths were caused by biofilm-associated pathogens (nontuberculous mycobacteria, Pseudomonas, Legionella), costing US $2.39 billion annually.</w:t>
      </w:r>
    </w:p>
    <w:p>
      <w:pPr>
        <w:pStyle w:val="Heading2"/>
      </w:pPr>
      <w:r>
        <w:t>941.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2024:</w:t>
      </w:r>
      <w:r>
        <w:t xml:space="preserve"> Groundwater stress in Europe—assessing uncertainties in future groundwater discharge alterations due to water abstractions and climate change — https://doi.org/10.3389/frwa.2024.1448625</w:t>
      </w:r>
    </w:p>
    <w:p>
      <w:pPr/>
      <w:r>
        <w:rPr>
          <w:b/>
        </w:rPr>
        <w:t>Shared claim-specific concepts:</w:t>
      </w:r>
      <w:r>
        <w:t xml:space="preserve"> due, climate, show; EU scope visible. This is a provisional connection, not an outcome finding.</w:t>
      </w:r>
    </w:p>
    <w:p>
      <w:pPr>
        <w:pStyle w:val="SourceNote"/>
      </w:pPr>
      <w:r>
        <w:rPr>
          <w:b/>
        </w:rPr>
        <w:t>Available abstract (not full text):</w:t>
      </w:r>
      <w:r>
        <w:t xml:space="preserve">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pPr/>
      <w:r>
        <w:rPr>
          <w:b/>
        </w:rPr>
        <w:t>POSSIBLE 2023:</w:t>
      </w:r>
      <w:r>
        <w:t xml:space="preserve"> Advanced mycotoxin control and decontamination techniques in view of an increased aflatoxin risk in Europe due to climate change — https://doi.org/10.3389/fmicb.2022.1085891</w:t>
      </w:r>
    </w:p>
    <w:p>
      <w:pPr/>
      <w:r>
        <w:rPr>
          <w:b/>
        </w:rPr>
        <w:t>Shared claim-specific concepts:</w:t>
      </w:r>
      <w:r>
        <w:t xml:space="preserve"> due, climate, factors, health, both; EU scope visible. This is a provisional connection, not an outcome finding.</w:t>
      </w:r>
    </w:p>
    <w:p>
      <w:pPr>
        <w:pStyle w:val="SourceNote"/>
      </w:pPr>
      <w:r>
        <w:rPr>
          <w:b/>
        </w:rPr>
        <w:t>Available abstract (not full text):</w:t>
      </w:r>
      <w:r>
        <w:t xml:space="preserve"> spp. found in staple food and feed commodities worldwide. Aflatoxins are carcinogenic, teratogenic, and mutagenic, and pose a serious threat to the health of both humans and animals. The global economy and trade are significantly affected as well. Various models and datasets related to aflatoxins in maize have been developed and used but have not yet been linked. The prevention of crop loss due to aflatoxin contamination is complex and challenging. Hence, the set-up of advanced decontamination is crucial to cope with the challenge of climate change, growing population, unstable political scenarios, and food security problems also in European countries. After harvest, decontamination methods can be applied during transport, storage, or processing, but their application for aflatoxin reduction is still limited. Therefore, this review aims to investigate the effects of environmental factors on aflatoxin production because of climate change and to critically discuss the present-day and novel decontamination techniques to unravel gaps and limitations to propose them as a tool to tackle an increased aflatoxin risk in Europe.</w:t>
      </w:r>
    </w:p>
    <w:p>
      <w:pPr/>
      <w:r>
        <w:rPr>
          <w:b/>
        </w:rPr>
        <w:t>POSSIBLE 2022:</w:t>
      </w:r>
      <w:r>
        <w:t xml:space="preserve"> Assessing the Projected Changes in European Air Stagnation due to Climate Change — https://doi.org/10.1175/jcli-d-22-0180.1</w:t>
      </w:r>
    </w:p>
    <w:p>
      <w:pPr/>
      <w:r>
        <w:rPr>
          <w:b/>
        </w:rPr>
        <w:t>Shared claim-specific concepts:</w:t>
      </w:r>
      <w:r>
        <w:t xml:space="preserve"> due, climate, air, pollution, health, weather; EU scope visible. This is a provisional connection, not an outcome finding.</w:t>
      </w:r>
    </w:p>
    <w:p>
      <w:pPr>
        <w:pStyle w:val="SourceNote"/>
      </w:pPr>
      <w:r>
        <w:rPr>
          <w:b/>
        </w:rPr>
        <w:t>Available abstract (not full text):</w:t>
      </w:r>
      <w:r>
        <w:t xml:space="preserve"> Abstract Air pollution is a major environmental threat to human health. Pollutants can reach extreme levels in the lower atmosphere when weather conditions permit. As pollutant concentrations depend on scales and processes that are not fully represented in current global circulation models (GCMs), and it is often too computationally expensive to run models with atmospheric chemistry and aerosol processes, air stagnation is often used as a proxy for pollution events with particular success in Europe. However, the variables required to identify air stagnation can have biases in GCM output, which adds uncertainty to projected trends in air stagnation. Here, the representation of air stagnation in GCMs is assessed for Europe in the historical period and in end-of-century projections based on a high-emission scenario using three methods for identifying air stagnation. The monthly frequency of stagnation during summer and autumn is projected to increase with climate change when stagnation is identified by a well-established index. However, this increase is not present when air-stagnation frequency is estimated using a statistical model based on the synoptic- to large-scale atmospheric circulation. This implies that the projected increases in air stagnation are not driven by an increase in frequency or severity of large-scale circulation events that are conducive to stagnation. Indeed</w:t>
      </w:r>
    </w:p>
    <w:p>
      <w:pPr/>
      <w:r>
        <w:rPr>
          <w:b/>
        </w:rPr>
        <w:t>POSSIBLE 2022:</w:t>
      </w:r>
      <w:r>
        <w:t xml:space="preserve"> The State of Dark Coniferous Forests on the East European Plain Due to Climate Change — https://doi.org/10.3390/life12111874</w:t>
      </w:r>
    </w:p>
    <w:p>
      <w:pPr/>
      <w:r>
        <w:rPr>
          <w:b/>
        </w:rPr>
        <w:t>Shared claim-specific concepts:</w:t>
      </w:r>
      <w:r>
        <w:t xml:space="preserve"> due, climate, factors, changing, significant; EU scope visible. This is a provisional connection, not an outcome finding.</w:t>
      </w:r>
    </w:p>
    <w:p>
      <w:pPr>
        <w:pStyle w:val="SourceNote"/>
      </w:pPr>
      <w:r>
        <w:rPr>
          <w:b/>
        </w:rPr>
        <w:t>Available abstract (not full text):</w:t>
      </w:r>
      <w:r>
        <w:t xml:space="preserve"> As a result of global climate changes, negative processes have been recorded in the coniferous forests of the Northern Hemisphere. Similar processes are observed in the Urals, including in Udmurtia. In the course of this research, archival analysis methods were used, as well as field research methods. In the process of analyzing archival materials in the Urals, a reduction of spruce forests was observed. If in the 20th century the share of spruce forests in the region was 50%, then in the 21th century it decreased to 35%. As a result of this research, it was revealed that the most unfavorable sanitary condition was recorded in the boreal–subboreal zone of Udmurtia, with a sanitary condition index of 3.2 (from 2.62 to 3.73). The main reason for the unfavorable sanitary condition of spruce forests was the vital activity of Ips typographus L. According to our research, in 11 sample plots out of 18, a high score for sanitary condition was associated with the vital activity of bark beetles. The correlation coefficient of the index of the sanitary condition of plantings and the number of individuals of Picea obovata Ledeb. affected by Ips typographus L. was0.93. Bark beetle activity has increased in the 21th century, which is associated with changing climatic factors. Unstable precipitation over recent years (differences of more than 100 mm) and an average temperature increase of 1.2</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due, climate, other, air, pollution;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2021:</w:t>
      </w:r>
      <w:r>
        <w:t xml:space="preserve"> Predicted Aflatoxin B1 Increase in Europe Due to Climate Change: Actions and Reactions at Global Level — https://doi.org/10.3390/toxins13040292</w:t>
      </w:r>
    </w:p>
    <w:p>
      <w:pPr/>
      <w:r>
        <w:rPr>
          <w:b/>
        </w:rPr>
        <w:t>Shared claim-specific concepts:</w:t>
      </w:r>
      <w:r>
        <w:t xml:space="preserve"> due, climate, areas, health, both; EU scope visible. This is a provisional connection, not an outcome finding.</w:t>
      </w:r>
    </w:p>
    <w:p>
      <w:pPr>
        <w:pStyle w:val="SourceNote"/>
      </w:pPr>
      <w:r>
        <w:rPr>
          <w:b/>
        </w:rPr>
        <w:t>Available abstract (not full text):</w:t>
      </w:r>
      <w:r>
        <w:t xml:space="preserve"> Climate change (CC) is predicted to increase the risk of aflatoxin (AF) contamination in maize, as highlighted by a project supported by EFSA in 2009. We performed a comprehensive literature search using the Scopus search engine to extract peer-reviewed studies citing this study. A total of 224 papers were identified after step I filtering (187 + 37), while step II filtering identified 25 of these papers for quantitative analysis. The unselected papers (199) were categorized as “actions” because they provided a sounding board for the expected impact of CC on AFB1 contamination, without adding new data on the topic. The remaining papers were considered as “reactions” of the scientific community because they went a step further in their data and ideas. Interesting statements taken from the “reactions” could be summarized with the following keywords: Chain and multi-actor approach, intersectoral and multidisciplinary, resilience, human and animal health, and global vision. In addition, fields meriting increased research efforts were summarized as the improvement of predictive modeling; extension to different crops and geographic areas; and the impact of CC on fungi and mycotoxin co-occurrence, both in crops and their value chains, up to consumers.</w:t>
      </w:r>
    </w:p>
    <w:p>
      <w:pPr/>
      <w:r>
        <w:rPr>
          <w:b/>
        </w:rPr>
        <w:t>POSSIBLE 2020:</w:t>
      </w:r>
      <w:r>
        <w:t xml:space="preserve"> Campylobacter infections expected to increase due to climate change in Northern Europe — https://doi.org/10.1038/s41598-020-70593-y</w:t>
      </w:r>
    </w:p>
    <w:p>
      <w:pPr/>
      <w:r>
        <w:rPr>
          <w:b/>
        </w:rPr>
        <w:t>Shared claim-specific concepts:</w:t>
      </w:r>
      <w:r>
        <w:t xml:space="preserve"> due, climate, patterns, world, health, show; EU scope visible. This is a provisional connection, not an outcome finding.</w:t>
      </w:r>
    </w:p>
    <w:p>
      <w:pPr>
        <w:pStyle w:val="SourceNote"/>
      </w:pPr>
      <w:r>
        <w:rPr>
          <w:b/>
        </w:rPr>
        <w:t>Available abstract (not full text):</w:t>
      </w:r>
      <w:r>
        <w:t xml:space="preserve"> Global climate change is predicted to alter precipitation and temperature patterns across the world, affecting a range of infectious diseases and particularly foodborne infections such as Campylobacter. In this study, we used national surveillance data to analyse the relationship between climate and campylobacteriosis in Denmark, Finland, Norway and Sweden and estimate the impact of climate changes on future disease patterns. We show that Campylobacter incidences are linked to increases in temperature and especially precipitation in the week before illness, suggesting a non-food transmission route. These four countries may experience a doubling of Campylobacter cases by the end of the 2080s, corresponding to around 6,000 excess cases per year caused only by climate changes. Considering the strong worldwide burden of campylobacteriosis, it is important to assess local and regional impacts of climate change in order to initiate timely public health management and adaptation strategies.</w:t>
      </w:r>
    </w:p>
    <w:p>
      <w:pPr/>
      <w:r>
        <w:rPr>
          <w:b/>
        </w:rPr>
        <w:t>POSSIBLE 2020:</w:t>
      </w:r>
      <w:r>
        <w:t xml:space="preserve"> Climate and air quality impacts due to mitigation of non-methane near-term climate forcers — https://doi.org/10.5194/acp-20-9641-2020</w:t>
      </w:r>
    </w:p>
    <w:p>
      <w:pPr/>
      <w:r>
        <w:rPr>
          <w:b/>
        </w:rPr>
        <w:t>Shared claim-specific concepts:</w:t>
      </w:r>
      <w:r>
        <w:t xml:space="preserve"> due, climate, other, air, significant, effect; EU scope not established. This is a provisional connection, not an outcome finding.</w:t>
      </w:r>
    </w:p>
    <w:p>
      <w:pPr>
        <w:pStyle w:val="SourceNote"/>
      </w:pPr>
      <w:r>
        <w:rPr>
          <w:b/>
        </w:rPr>
        <w:t>Available abstract (not full text):</w:t>
      </w:r>
      <w:r>
        <w:t xml:space="preserve"> Abstract. Over the next few decades, policies that optimally address both climate change and air quality are essential. Although targeting near-term climate forcers (NTCFs), defined here as aerosols, tropospheric ozone and precursor gases (but not methane), should improve air quality, NTCF reductions will also impact climate. How future policies affect the abundance of NTCFs and their impact on climate and air quality remains uncertain. Here, we quantify the 2015–2055 climate and air quality effects of non-methane NTCFs using state-of-the-art chemistry-climate model simulations conducted for the Aerosol and Chemistry Model Intercomparison Project (AerChemMIP). Simulations are driven by two future scenarios featuring similar increases in greenhouse gases (GHGs) but with weak versus strong levels of air quality control measures. Unsurprisingly, we find significant improvements in air quality under NTCF mitigation (strong versus weak air quality controls). Surface ozone (O3) and fine particulate matter (PM2.5) decrease by −15 % and −25 %, respectively, over global land surfaces, with larger reductions in some regions including south and southeast Asia. Non-methane NTCF mitigation, however, leads to additional climate change due to the removal of aerosol which causes a net warming effect, including global mean surface temperature and precipitation increases of 0.24 K and 1.1 %, res</w:t>
      </w:r>
    </w:p>
    <w:p>
      <w:pPr/>
      <w:r>
        <w:rPr>
          <w:b/>
        </w:rPr>
        <w:t>POSSIBLE 2019:</w:t>
      </w:r>
      <w:r>
        <w:t xml:space="preserve"> Changes to Land Area Used for Grain Maize Production in Central Europe due to Predicted Climate Change — https://doi.org/10.1155/2019/9168285</w:t>
      </w:r>
    </w:p>
    <w:p>
      <w:pPr/>
      <w:r>
        <w:rPr>
          <w:b/>
        </w:rPr>
        <w:t>Shared claim-specific concepts:</w:t>
      </w:r>
      <w:r>
        <w:t xml:space="preserve"> due, climate, other, conditions; EU scope visible. This is a provisional connection, not an outcome finding.</w:t>
      </w:r>
    </w:p>
    <w:p>
      <w:pPr>
        <w:pStyle w:val="SourceNote"/>
      </w:pPr>
      <w:r>
        <w:rPr>
          <w:b/>
        </w:rPr>
        <w:t>Available abstract (not full text):</w:t>
      </w:r>
      <w:r>
        <w:t xml:space="preserve"> Regional biogeographical models are considered to be important tools for supporting decisions relating to sustainable agricultural planning for climate change. These models are useful for a better understanding of the impact of climate change on individual crop species due to their sensitivity to regional ecological conditions. This paper deals with the application of a regional biogeographical model in order to predict the impact of climate change on growing conditions for grain maize in Central Europe. The model is based on a detailed knowledge of the relationships between the climatic characteristics of vegetation zones in landscapes with ecological growing conditions suitable for grain maize in the region under study. The results gained from using the model indicate a substantial increase in the total area suitable for growing of grain maize in the study region. By 2070, this area is expected to be triple the size it is today. Special maps are used to visualize prediction scenarios in order to support decision-making in regional planning in the study region, where grain maize is an important agricultural crop. This biogeographical model can be used in other European regions, where basic data related to vegetation zones are available.</w:t>
      </w:r>
    </w:p>
    <w:p>
      <w:pPr>
        <w:pStyle w:val="Heading2"/>
      </w:pPr>
      <w:r>
        <w:t>942.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2021:</w:t>
      </w:r>
      <w:r>
        <w:t xml:space="preserve"> “They Belong Here” — https://doi.org/10.4103/cs.cs_13_21</w:t>
      </w:r>
    </w:p>
    <w:p>
      <w:pPr/>
      <w:r>
        <w:rPr>
          <w:b/>
        </w:rPr>
        <w:t>Shared claim-specific concepts:</w:t>
      </w:r>
      <w:r>
        <w:t xml:space="preserve"> here, significant, findings, growing; EU scope visible. This is a provisional connection, not an outcome finding.</w:t>
      </w:r>
    </w:p>
    <w:p>
      <w:pPr>
        <w:pStyle w:val="SourceNote"/>
      </w:pPr>
      <w:r>
        <w:rPr>
          <w:b/>
        </w:rPr>
        <w:t>Available abstract (not full text):</w:t>
      </w:r>
      <w:r>
        <w:t xml:space="preserve"> Reintegrating wolves in human-dominated landscapes constitutes a significant conservation challenge. After decades of studying human-wolf interactions through a conflict lens, there is growing recognition that more nuanced perspectives are needed. However, this recognition has hitherto yielded few practical changes, and few have studied what underpins successful coexistence. Here we show that disproportionate focus on and resource allocation to conflict within conservation programmes risks undermining existing convivial relationships with large carnivores. Using a coexistence lens, we studied human-wolf interactions in Sanabria-La Carballeda in Spain; the region has one of the highest densities of wolves in Europe. We explored the underlying social and ecological conditions that have permitted both wolves and people to persist in the area, studied the mutual impacts, and surveyed how interactions are influenced by broader socio-economic processes. The findings of this novel approach to studying human-wildlife interactions elucidates how areas of functional coexistence have been neglected in policy, leaving them vulnerable to depopulation, low agricultural profitability, and the loss of biocultural diversity. When institutions fail to support functional coexistence, we risk losing the knowledge, the traditions and the trust of those who have sustained Europe's large carnivores, </w:t>
      </w:r>
    </w:p>
    <w:p>
      <w:pPr/>
      <w:r>
        <w:rPr>
          <w:b/>
        </w:rPr>
        <w:t>POSSIBLE 2021:</w:t>
      </w:r>
      <w:r>
        <w:t xml:space="preserve"> A model of energy poverty and access: Estimating household electricity demand and appliance ownership — https://doi.org/10.1016/j.eneco.2021.105266</w:t>
      </w:r>
    </w:p>
    <w:p>
      <w:pPr/>
      <w:r>
        <w:rPr>
          <w:b/>
        </w:rPr>
        <w:t>Shared claim-specific concepts:</w:t>
      </w:r>
      <w:r>
        <w:t xml:space="preserve"> here, energy, developing, nations, rise; EU scope not established. This is a provisional connection, not an outcome finding.</w:t>
      </w:r>
    </w:p>
    <w:p>
      <w:pPr>
        <w:pStyle w:val="SourceNote"/>
      </w:pPr>
      <w:r>
        <w:rPr>
          <w:b/>
        </w:rPr>
        <w:t>Available abstract (not full text):</w:t>
      </w:r>
      <w:r>
        <w:t xml:space="preserve"> In countries that have a large share of population in energy poverty, appliance and electricity demand can be expected to rise. Approaches to estimate latent demand of energy poor populations often assume a constant income elasticity of demand. Here, we develop a novel simulation-based structural estimation approach to estimate responsiveness of electricity demand to income accounting for non-linearities, and considering other important drivers. We apply the model using micro-data for four developing nations to assess the implications of policy scenarios for achieving the Sustainable Development Goal SDG 7 under different socio-economic futures. We find that under scenarios that include policies to achieve universal access to electricity, total electricity demand is higher but the average per capita is lower than in no access policy futures. We also find that the level of adoption of electrical appliances varies significantly by country, appliance type, climate and income, with a high and stable share of electricity used for entertainment in all four countries and socio-economic futures. However, the share of electricity used for food preservation and preparation and clothes maintenance rises significantly with income as people are able to afford appliances that provide greater convenience. Our results confirm that as energy poor populations gain access to electricity services </w:t>
      </w:r>
    </w:p>
    <w:p>
      <w:pPr/>
      <w:r>
        <w:rPr>
          <w:b/>
        </w:rPr>
        <w:t>POSSIBLE 2020:</w:t>
      </w:r>
      <w:r>
        <w:t xml:space="preserve"> Demand for Crop Insurance in Developing Countries: New Evidence from India — https://doi.org/10.1111/1477-9552.12403</w:t>
      </w:r>
    </w:p>
    <w:p>
      <w:pPr/>
      <w:r>
        <w:rPr>
          <w:b/>
        </w:rPr>
        <w:t>Shared claim-specific concepts:</w:t>
      </w:r>
      <w:r>
        <w:t xml:space="preserve"> developing, india; EU scope not established. This is a provisional connection, not an outcome finding.</w:t>
      </w:r>
    </w:p>
    <w:p>
      <w:pPr>
        <w:pStyle w:val="SourceNote"/>
      </w:pPr>
      <w:r>
        <w:rPr>
          <w:b/>
        </w:rPr>
        <w:t>Available abstract (not full text):</w:t>
      </w:r>
      <w:r>
        <w:t xml:space="preserve"> Determining farmers' real demand for crop insurance is difficult, especially in developing countries, where there is a lack of formal financial sector integration and a high reliance on informal risk mitigation options. We provide some new estimates of farmers' willingness-to-pay for insurance in the context of a large-scale subsidised programme in India. We conducted a discrete choice experiment with agricultural households across four states in India, enabling us to estimate preferences for specific insurance policy attributes such as coverage period, method of loss assessment, timing of indemnity payments and the cost of insurance. Our results suggest that farmers do value crop insurance under certain conditions and some are willing to pay a premium for such coverage in excess of the subsidised rates they are currently required to pay under this programme. In particular, farmers value the assurances that they will receive timely payouts when they incur losses, and may not have a strong preference for the method with which losses are assessed. On the other hand, farmers are quite sensitive to coverage periods. Our baseline assessment shows that when optimised to farmer requirements, there can be a sizeable demand for crop insurance by developing country farmers.</w:t>
      </w:r>
    </w:p>
    <w:p>
      <w:pPr/>
      <w:r>
        <w:rPr>
          <w:b/>
        </w:rPr>
        <w:t>POSSIBLE 2020:</w:t>
      </w:r>
      <w:r>
        <w:t xml:space="preserve"> Smart Flexible Electronics‐Integrated Wound Dressing for Real‐Time Monitoring and On‐Demand Treatment of Infected Wounds — https://doi.org/10.1002/advs.201902673</w:t>
      </w:r>
    </w:p>
    <w:p>
      <w:pPr/>
      <w:r>
        <w:rPr>
          <w:b/>
        </w:rPr>
        <w:t>Shared claim-specific concepts:</w:t>
      </w:r>
      <w:r>
        <w:t xml:space="preserve"> here, developing; EU scope not established. This is a provisional connection, not an outcome finding.</w:t>
      </w:r>
    </w:p>
    <w:p>
      <w:pPr>
        <w:pStyle w:val="SourceNote"/>
      </w:pPr>
      <w:r>
        <w:rPr>
          <w:b/>
        </w:rPr>
        <w:t>Available abstract (not full text):</w:t>
      </w:r>
      <w:r>
        <w:t xml:space="preserve"> As the most frequent wound complication, infection has become a major clinical challenge in wound management. To overcome the "Black Box" status of the wound-healing process, next-generation wound dressings with the abilities of real-time monitoring, diagnosis during early stages, and on-demand therapy has attracted considerable attention. Here, by combining the emerging development of bioelectronics, a smart flexible electronics-integrated wound dressing with a double-layer structure, the upper layer of which is polydimethylsiloxane-encapsulated flexible electronics integrated with a temperature sensor and ultraviolet (UV) light-emitting diodes, and the lower layer of which is a UV-responsive antibacterial hydrogel, is designed. This dressing is expected to provide early infection diagnosis via real-time wound-temperature monitoring by the integrated sensor and on-demand infection treatment by the release of antibiotics from the hydrogel by in situ UV irradiation. The integrated system possesses good flexibility, excellent compatibility, and high monitoring sensitivity and durability. Animal experiment results demonstrate that the integrated system is capable of monitoring wound status in real time, detecting bacterial infection and providing effective treatment on the basis of need. This proof-of-concept research holds great promise in developing new strategies to significant</w:t>
      </w:r>
    </w:p>
    <w:p>
      <w:pPr/>
      <w:r>
        <w:rPr>
          <w:b/>
        </w:rPr>
        <w:t>POSSIBLE 2019:</w:t>
      </w:r>
      <w:r>
        <w:t xml:space="preserve"> Travel demand modeling for developing countries — https://doi.org/10.25669/e9jn-xt5w</w:t>
      </w:r>
    </w:p>
    <w:p>
      <w:pPr/>
      <w:r>
        <w:rPr>
          <w:b/>
        </w:rPr>
        <w:t>Shared claim-specific concepts:</w:t>
      </w:r>
      <w:r>
        <w:t xml:space="preserve"> significant, developing, primarily; EU scope not established. This is a provisional connection, not an outcome finding.</w:t>
      </w:r>
    </w:p>
    <w:p>
      <w:pPr>
        <w:pStyle w:val="SourceNote"/>
      </w:pPr>
      <w:r>
        <w:rPr>
          <w:b/>
        </w:rPr>
        <w:t>Available abstract (not full text):</w:t>
      </w:r>
      <w:r>
        <w:t xml:space="preserve"> The transportation planning process or travel demand forecasting process which is most commonly used at present, called the Urban Transportation Planning Process (UTPP), has its origins in studies performed about three decades ago in urban areas in the United States. This conventional planning process was designed primarily for the western/developed world where affordability and accessibility to a personal automobile is a common feature; The UTPP based models used in forecasting future travel demand rely heavily on socio-economic variables that are associated with an individual's propensity to travel. The socio-economic environments in the developing and the under-developed world are different from that prevailing in the developed world. Many urban areas in the third-world contain a mix of ethnic groups or households with structural differences in income and social characteristics. Thus, a direct application of the methodology of the UTPP may not be relevant to developing countries in third world settings; The main objectives of this research are to study the travel characteristics and sensitivity of key factors affecting travel demand of the people in the third world and to develop a framework that allows for the treatment of different groups based on one or more socio-economic features, such as income, household size etc; Trip generation models are developed to study the trav</w:t>
      </w:r>
    </w:p>
    <w:p>
      <w:pPr/>
      <w:r>
        <w:rPr>
          <w:b/>
        </w:rPr>
        <w:t>POSSIBLE 2019:</w:t>
      </w:r>
      <w:r>
        <w:t xml:space="preserve"> Meat Supply and Demand in Developing Countries: Past Trends and Projections to 2000 — https://doi.org/10.1201/9780429307225-2</w:t>
      </w:r>
    </w:p>
    <w:p>
      <w:pPr/>
      <w:r>
        <w:rPr>
          <w:b/>
        </w:rPr>
        <w:t>Shared claim-specific concepts:</w:t>
      </w:r>
      <w:r>
        <w:t xml:space="preserve"> here, significant, developing, rise, consumption; EU scope not established. This is a provisional connection, not an outcome finding.</w:t>
      </w:r>
    </w:p>
    <w:p>
      <w:pPr>
        <w:pStyle w:val="SourceNote"/>
      </w:pPr>
      <w:r>
        <w:rPr>
          <w:b/>
        </w:rPr>
        <w:t>Available abstract (not full text):</w:t>
      </w:r>
      <w:r>
        <w:t xml:space="preserve"> 13 Animal products in various forms of meat, eggs and milk products supply about one-sixth of the calories and one-third of the protein in per capita human food supplies in the world. When income increases, people change their diets to increase consumption of animal products. High consumption of animal products is established in developed countries. With rising per capita incomes, however, demand for these commodities in Third World countries will rise faster than in developed countries. This trend has major implications for livestock and grain production. The analysis presented in this chapter covers 104 developing countries. Twenty-one are in Asia, 19 in North Africa/Middle East, 40 in Sub-Saharan Africa and 24 in Latin America. The author presents an overview of the supply-demand balances for meat and projections to 1990 and 2000. It is clear, using either strong or weak economic growth assumptions, that there will be major shortfalls in supplies of animal products relative to demand in these countries. The output of meat from the early 1960&amp;s;s (1961-65) to the mid-1970&amp;s;s (1973-77) increased in these countries at an average annual rate of 2.9 percent, faster than the corresponding population increase of 2.6 percent. Rising per capita income, however, stimulated meat consumption to rise faster, at 3.2 per cent annually. Net meat exports from these countries consequently de</w:t>
      </w:r>
    </w:p>
    <w:p>
      <w:pPr>
        <w:pStyle w:val="Heading2"/>
      </w:pPr>
      <w:r>
        <w:t>943.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2023:</w:t>
      </w:r>
      <w:r>
        <w:t xml:space="preserve"> Terrorist attacks — https://doi.org/10.4324/9781003105824-8</w:t>
      </w:r>
    </w:p>
    <w:p>
      <w:pPr/>
      <w:r>
        <w:rPr>
          <w:b/>
        </w:rPr>
        <w:t>Shared claim-specific concepts:</w:t>
      </w:r>
      <w:r>
        <w:t xml:space="preserve"> terrorist, attacks, london, government; EU scope visible. This is a provisional connection, not an outcome finding.</w:t>
      </w:r>
    </w:p>
    <w:p>
      <w:pPr>
        <w:pStyle w:val="SourceNote"/>
      </w:pPr>
      <w:r>
        <w:rPr>
          <w:b/>
        </w:rPr>
        <w:t>Available abstract (not full text):</w:t>
      </w:r>
      <w:r>
        <w:t xml:space="preserve"> The United Nations has a structure for addressing terrorism as a matter of state concern. Countries such as the UK are members of this framework. UK has had various terrorist attacks over the years. Recently, these have included those ensuing from ‘the Troubles’ in Northern Ireland, Lockerbie and Dunblane in Scotland, the 7/7 tube attacks in London, the 2017 Manchester Arena attack and many others across the UK. Many lessons of dealing with terrorism were learnt from the 9/11 World Trade Center attack in the USA as these filtered into emergency planning forums in the UK. Social workers are learning from such examples. However, the profession as a whole would be challenged to respond effectively if a terrorist attack were to occur in a location that has not experienced one before. Preparing them to do so would require training, including at qualifying level and in-service training through continuing professional development(CDP) on a regular basis, to keep up with a rapidly shifting terrain of government policy in addressing terrorism within a country. The UK’s key response has been the CONTEST Programme aimed at controlling the spread of terrorist ideologies and diverting people from committing terrorist acts. This has been linked to the securitisation of the state, especially as CONTEST has now drawn public sector workers into its ambit. Some of the duties linked to the deradi</w:t>
      </w:r>
    </w:p>
    <w:p>
      <w:pPr/>
      <w:r>
        <w:rPr>
          <w:b/>
        </w:rPr>
        <w:t>POSSIBLE 2023:</w:t>
      </w:r>
      <w:r>
        <w:t xml:space="preserve"> Cryptocurrency technology revolution: are Bitcoin prices and terrorist attacks related? — https://doi.org/10.1186/s40854-022-00445-3</w:t>
      </w:r>
    </w:p>
    <w:p>
      <w:pPr/>
      <w:r>
        <w:rPr>
          <w:b/>
        </w:rPr>
        <w:t>Shared claim-specific concepts:</w:t>
      </w:r>
      <w:r>
        <w:t xml:space="preserve"> terrorist, attacks, about; EU scope not established. This is a provisional connection, not an outcome finding.</w:t>
      </w:r>
    </w:p>
    <w:p>
      <w:pPr>
        <w:pStyle w:val="SourceNote"/>
      </w:pPr>
      <w:r>
        <w:rPr>
          <w:b/>
        </w:rPr>
        <w:t>Available abstract (not full text):</w:t>
      </w:r>
      <w:r>
        <w:t xml:space="preserve"> As a financial innovation of the information age, cryptocurrency is a complex concept with clear advantages and disadvantages and is worthy of discussion. Exploring from a terrorism perspective, this study uses the time-varying parameter/stochastic volatility vector autoregression model to explore the risk hedging and terrorist financing capabilities of Bitcoin. Empirical results show that both terrorist incidents and brutality may explain Bitcoin price, but their effects are slightly different. Compared to terrorist brutality, terrorist incidents have a weaker impact on Bitcoin price, showing that Bitcoin investors are more concerned about the number of deaths than the frequency of terrorist attacks. In turn, the impact of Bitcoin price on terrorist attacks is negligible. Bitcoin is a potential means of financing terrorism, but it does not currently play an important role. Our research findings can help investors analyze and predict Bitcoin prices and help improve the theoretical system of anti-terrorist financing, helping to maintain world peace and security.</w:t>
      </w:r>
    </w:p>
    <w:p>
      <w:pPr/>
      <w:r>
        <w:rPr>
          <w:b/>
        </w:rPr>
        <w:t>POSSIBLE 2023:</w:t>
      </w:r>
      <w:r>
        <w:t xml:space="preserve"> Emotions and inventor productivity: Evidence from terrorist attacks — https://doi.org/10.1111/acfi.13213</w:t>
      </w:r>
    </w:p>
    <w:p>
      <w:pPr/>
      <w:r>
        <w:rPr>
          <w:b/>
        </w:rPr>
        <w:t>Shared claim-specific concepts:</w:t>
      </w:r>
      <w:r>
        <w:t xml:space="preserve"> terrorist, attacks, low; EU scope not established. This is a provisional connection, not an outcome finding.</w:t>
      </w:r>
    </w:p>
    <w:p>
      <w:pPr>
        <w:pStyle w:val="SourceNote"/>
      </w:pPr>
      <w:r>
        <w:rPr>
          <w:b/>
        </w:rPr>
        <w:t>Available abstract (not full text):</w:t>
      </w:r>
      <w:r>
        <w:t xml:space="preserve"> Abstract We examine whether the emotional shocks associated with terrorist attacks affect local inventors' productivity. We find that high‐fatality attacks make inventors less innovative, and low‐fatality attacks make them more innovative. Inventors living in high risk‐taking environments have greater increase in productivity following low‐fatality attacks, while less decrease in productivity following high‐fatality attacks. Further, the effect of terrorist attacks on inventor productivity comes mainly from exploratory innovation which involves more risks. Inventors affected by high‐fatality attacks are also more likely to move to places without any significant terrorist attack history, but there is no such effect for low‐fatality attacks.</w:t>
      </w:r>
    </w:p>
    <w:p>
      <w:pPr/>
      <w:r>
        <w:rPr>
          <w:b/>
        </w:rPr>
        <w:t>POSSIBLE 2023:</w:t>
      </w:r>
      <w:r>
        <w:t xml:space="preserve"> Terrorist attacks sharpen the binary perception of “Us” vs. “Them” — https://doi.org/10.1038/s41598-023-39035-3</w:t>
      </w:r>
    </w:p>
    <w:p>
      <w:pPr/>
      <w:r>
        <w:rPr>
          <w:b/>
        </w:rPr>
        <w:t>Shared claim-specific concepts:</w:t>
      </w:r>
      <w:r>
        <w:t xml:space="preserve"> terrorist, attacks, government, approach, understanding, about; EU scope not established. This is a provisional connection, not an outcome finding.</w:t>
      </w:r>
    </w:p>
    <w:p>
      <w:pPr>
        <w:pStyle w:val="SourceNote"/>
      </w:pPr>
      <w:r>
        <w:rPr>
          <w:b/>
        </w:rPr>
        <w:t>Available abstract (not full text):</w:t>
      </w:r>
      <w:r>
        <w:t xml:space="preserve"> Terrorist attacks not only harm citizens but also shift their attention, which has long-lasting impacts on public opinion and government policies. Yet measuring the changes in public attention beyond media coverage has been methodologically challenging. Here we approach this problem by starting from Wikipedia's répertoire of 5.8 million articles and a sample of 15 recent terrorist attacks. We deploy a complex exclusion procedure to identify topics and themes that consistently received a significant increase in attention due to these incidents. Examining their contents reveals a clear picture: terrorist attacks foster establishing a sharp boundary between "Us" (the target society) and "Them" (the terrorist as the enemy). In the midst of this, one seeks to construct identities of both sides. This triggers curiosity to learn more about "Them" and soul-search for a clearer understanding of "Us". This systematic analysis of public reactions to disruptive events could help mitigate their societal consequences.</w:t>
      </w:r>
    </w:p>
    <w:p>
      <w:pPr/>
      <w:r>
        <w:rPr>
          <w:b/>
        </w:rPr>
        <w:t>POSSIBLE 2022:</w:t>
      </w:r>
      <w:r>
        <w:t xml:space="preserve"> Spatiotemporal Variation in Emotional Responses to 2017 Terrorist Attacks in London Using Twitter Data — https://doi.org/10.57709/12007502</w:t>
      </w:r>
    </w:p>
    <w:p>
      <w:pPr/>
      <w:r>
        <w:rPr>
          <w:b/>
        </w:rPr>
        <w:t>Shared claim-specific concepts:</w:t>
      </w:r>
      <w:r>
        <w:t xml:space="preserve"> terrorist, attacks, london; EU scope not established. This is a provisional connection, not an outcome finding.</w:t>
      </w:r>
    </w:p>
    <w:p>
      <w:pPr>
        <w:pStyle w:val="SourceNote"/>
      </w:pPr>
      <w:r>
        <w:rPr>
          <w:b/>
        </w:rPr>
        <w:t>Available abstract (not full text):</w:t>
      </w:r>
      <w:r>
        <w:t xml:space="preserve"> Terrorist attacks have a significant impact on human lives. This study examined emotional responses after the terrorist attacks in London in March and June of 2017, respectively. This research extracted tweets related to the two attacks by developing a Python tool interacting with the Twitter Application Program Interface (API). The tweets were analyzed for its negative emotion expression such as sadness. This study then analyzed these negative tweets using the space-time permutation model in SatScan and assessed their variation in space and time. Results suggested two significant clusters of negative tweets after the first attack. These clusters located in the metropolitan area of London and between Manchester and Liverpool within ten days of the attack. The findings may contribute to quick surveillance of emotional responses on the Twitter users.</w:t>
      </w:r>
    </w:p>
    <w:p>
      <w:pPr/>
      <w:r>
        <w:rPr>
          <w:b/>
        </w:rPr>
        <w:t>POSSIBLE 2022:</w:t>
      </w:r>
      <w:r>
        <w:t xml:space="preserve"> Psychosocial care responses to terrorist attacks: a country case study of Norway, France and Belgium — https://doi.org/10.1186/s12913-022-07691-2</w:t>
      </w:r>
    </w:p>
    <w:p>
      <w:pPr/>
      <w:r>
        <w:rPr>
          <w:b/>
        </w:rPr>
        <w:t>Shared claim-specific concepts:</w:t>
      </w:r>
      <w:r>
        <w:t xml:space="preserve"> terrorist, attacks, throughout, approach, long-term; EU scope visible. This is a provisional connection, not an outcome finding.</w:t>
      </w:r>
    </w:p>
    <w:p>
      <w:pPr>
        <w:pStyle w:val="SourceNote"/>
      </w:pPr>
      <w:r>
        <w:rPr>
          <w:b/>
        </w:rPr>
        <w:t>Available abstract (not full text):</w:t>
      </w:r>
      <w:r>
        <w:t xml:space="preserve"> BACKGROUND: The international terrorism threat urges societies to invest in the planning and organization of psychosocial care. With the aim to contribute to cross-national learning, this study describes the content, target populations and providers of psychosocial care to civilians after terrorist attacks in Norway, France and Belgium. METHODS: We identified and reviewed pre- and post-attack policy documents, guidelines, reports and other relevant grey literature addressing the psychosocial care response to terrorist attacks in Oslo/Utøya, Norway on 22 July 2011; in Paris, France on 13 November 2015; and in Brussels, Belgium on 22 March 2016. RESULTS: In Norway, there was a primary care based approach with multidisciplinary crisis teams in the local municipalities. In response to the terrorist attacks, there were proactive follow-up programs within primary care and occupational health services with screenings of target groups throughout a year. In France, there was a national network of specialized emergency psychosocial units primarily consisting of psychiatrists, psychologists and psychiatric nurses organized by the regional health agencies. They provided psychological support the first month including guidance for long-term healthcare, but there were no systematic screening programs after the acute phase. In Belgium, there were psychosocial intervention networks in the loca</w:t>
      </w:r>
    </w:p>
    <w:p>
      <w:pPr/>
      <w:r>
        <w:rPr>
          <w:b/>
        </w:rPr>
        <w:t>POSSIBLE 2021:</w:t>
      </w:r>
      <w:r>
        <w:t xml:space="preserve"> Media coverage of terrorist attacks in London in 2017: Comparison of news portals Aktuálně.cz and The Guardian — https://openalex.org/W7135787987</w:t>
      </w:r>
    </w:p>
    <w:p>
      <w:pPr/>
      <w:r>
        <w:rPr>
          <w:b/>
        </w:rPr>
        <w:t>Shared claim-specific concepts:</w:t>
      </w:r>
      <w:r>
        <w:t xml:space="preserve"> terrorist, attacks, london; EU scope not established. This is a provisional connection, not an outcome finding.</w:t>
      </w:r>
    </w:p>
    <w:p>
      <w:pPr>
        <w:pStyle w:val="SourceNote"/>
      </w:pPr>
      <w:r>
        <w:rPr>
          <w:b/>
        </w:rPr>
        <w:t>Available abstract (not full text):</w:t>
      </w:r>
      <w:r>
        <w:t xml:space="preserve"> This thesis is focused on the media coverage of four terrorist attacks that happened in London in 2017. The subject of the research are photographs which were published after the attacks on Czech online news media Aktuálně.cz and British online news portal The Guardian. The coverage on both media is in the case of each attack followed for one week. The aim of this thesis is to describe which photographs both media published, with the main emphasis on certain technical and content variables. Furthermore, the difference between visual representation in Czech and British media is also a subject of this work.</w:t>
      </w:r>
    </w:p>
    <w:p>
      <w:pPr/>
      <w:r>
        <w:rPr>
          <w:b/>
        </w:rPr>
        <w:t>POSSIBLE 2021:</w:t>
      </w:r>
      <w:r>
        <w:t xml:space="preserve"> Analyzing Canadian PM Justin Trudeau’s Speech about Terrorist Attack on a Muslim Family in Ontario’s London: A Critical Perspective — https://doi.org/10.32996/ijls.2021.1.2.2</w:t>
      </w:r>
    </w:p>
    <w:p>
      <w:pPr/>
      <w:r>
        <w:rPr>
          <w:b/>
        </w:rPr>
        <w:t>Shared claim-specific concepts:</w:t>
      </w:r>
      <w:r>
        <w:t xml:space="preserve"> terrorist, london, approach, practice, levels, about; EU scope not established. This is a provisional connection, not an outcome finding.</w:t>
      </w:r>
    </w:p>
    <w:p>
      <w:pPr>
        <w:pStyle w:val="SourceNote"/>
      </w:pPr>
      <w:r>
        <w:rPr>
          <w:b/>
        </w:rPr>
        <w:t>Available abstract (not full text):</w:t>
      </w:r>
      <w:r>
        <w:t xml:space="preserve"> Language considers a form of social practice in Critical Discourse Analysis, and it is frequently used in political discourse written, verbal and visual including public speeches. This paper examines the Prime Minister of Canada's press conference speech, held at the House of Commerce on June 8, 2021 (https://www.rev.com/blog, 2021), in the aftermath of a Muslim family's murder in Ontario's London. The Three-Dimensional Model of Fairclough has been used to investigate the implicit/explicit power displayed in PM Justin's speech, as well as the display of power at the textual, discursive, and societal levels, in the context of the speech's two key themes: anti-Muslim hatred and Islamophobia. The study examines speech using a qualitative approach and addresses power within the discourse as well as the power behind the discourse. The findings show how language reflects political leaders' ideologies and how social behaviors can shape and be shaped by speech. The Prime Minister skillfully employed language to convey the ideological divides between Muslim communities and the western communities. After drawing the line of demarcation, he urged world leaders to take steps to resolve their differences to achieve global harmony and peace. This study enables the general public to comprehend Justin Trudeau's position on prevalent intolerance and the ideology of Islamophobia, as well as its </w:t>
      </w:r>
    </w:p>
    <w:p>
      <w:pPr/>
      <w:r>
        <w:rPr>
          <w:b/>
        </w:rPr>
        <w:t>POSSIBLE 2021:</w:t>
      </w:r>
      <w:r>
        <w:t xml:space="preserve"> Getting under the Skin: The Impact of Terrorist Attacks on Native and Immigrant Sentiment — https://doi.org/10.1093/sf/soab135</w:t>
      </w:r>
    </w:p>
    <w:p>
      <w:pPr/>
      <w:r>
        <w:rPr>
          <w:b/>
        </w:rPr>
        <w:t>Shared claim-specific concepts:</w:t>
      </w:r>
      <w:r>
        <w:t xml:space="preserve"> terrorist, attacks, understanding, little; EU scope visible. This is a provisional connection, not an outcome finding.</w:t>
      </w:r>
    </w:p>
    <w:p>
      <w:pPr>
        <w:pStyle w:val="SourceNote"/>
      </w:pPr>
      <w:r>
        <w:rPr>
          <w:b/>
        </w:rPr>
        <w:t>Available abstract (not full text):</w:t>
      </w:r>
      <w:r>
        <w:t xml:space="preserve"> Abstract There is growing academic interest in examining how terrorist attacks shape the majority’s attitudes towards minority groups. Yet, little is known of how these minority groups react to the backlash such events provoke. This paper leverages the exogenous occurrence of a series of terrorist attacks during the fieldwork period of two surveys to estimate how such events affect the sentiment of both citizens and asylum seekers in Germany. Results of the natural experiment reveal that the 2016 terror attacks in Nice, Würzburg, and Ansbach substantially increased anti-refugee sentiment among German respondents. In line with this increase in hostility, refugees experienced more discrimination, felt less welcome in Germany, and suffered clinically relevant declines in mental health in the aftermath of the attacks. These results provide a more holistic understanding of how terrorism corrodes intergroup relations and how it affects those that are blamed for the events and thus suffer the brunt of the backlash following their occurrence.</w:t>
      </w:r>
    </w:p>
    <w:p>
      <w:pPr/>
      <w:r>
        <w:rPr>
          <w:b/>
        </w:rPr>
        <w:t>POSSIBLE 2020:</w:t>
      </w:r>
      <w:r>
        <w:t xml:space="preserve"> Space-Time Surveillance of Negative Emotions after Consecutive Terrorist Attacks in London — https://doi.org/10.3390/ijerph17114000</w:t>
      </w:r>
    </w:p>
    <w:p>
      <w:pPr/>
      <w:r>
        <w:rPr>
          <w:b/>
        </w:rPr>
        <w:t>Shared claim-specific concepts:</w:t>
      </w:r>
      <w:r>
        <w:t xml:space="preserve"> terrorist, attacks, london, levels, about, attention; EU scope not established. This is a provisional connection, not an outcome finding.</w:t>
      </w:r>
    </w:p>
    <w:p>
      <w:pPr>
        <w:pStyle w:val="SourceNote"/>
      </w:pPr>
      <w:r>
        <w:rPr>
          <w:b/>
        </w:rPr>
        <w:t>Available abstract (not full text):</w:t>
      </w:r>
      <w:r>
        <w:t xml:space="preserve"> Terrorist attacks pose significant threats to mental health. There is dearth information about the impact of consecutive terrorist attacks on space-time concentrations of emotional reactions. This study collected (1) Twitter data following the two terrorist attacks in London in March and June of 2017, respectively, and (2) deprivation data at small areal levels in the United Kingdom. The space-time permutation model was used to detect the significant clusters of negative emotions, including fear, sadness, and anger in tweets. Logistic regression models were used to examine the social deprivation of communities associated with negative tweeting. The results reported two significant clusters after the March attack, one was in London, ten days after the attack, and the other was far from the attack site between Manchester and Birmingham, three days after the attack. Attention to the reoccurring attack in June diminished quickly. The socially deprived communities experienced double disadvantage-sending fewer tweets but expressing more negative emotions than their counterparts. The findings suggest that terrorism can affect public emotions far and broad. There is a potential for surveillance to rapidly identify geographically concentrated emotions after consecutive or prolonged disasters using social media data.</w:t>
      </w:r>
    </w:p>
    <w:p>
      <w:pPr>
        <w:pStyle w:val="Heading2"/>
      </w:pPr>
      <w:r>
        <w:t>944.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2024:</w:t>
      </w:r>
      <w:r>
        <w:t xml:space="preserve"> Trends in Air Pollution in Europe, 2000–2019 — https://doi.org/10.4209/aaqr.230237</w:t>
      </w:r>
    </w:p>
    <w:p>
      <w:pPr/>
      <w:r>
        <w:rPr>
          <w:b/>
        </w:rPr>
        <w:t>Shared claim-specific concepts:</w:t>
      </w:r>
      <w:r>
        <w:t xml:space="preserve"> total, nitrogen, due, improvements;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decrease, area, management, based;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2021:</w:t>
      </w:r>
      <w:r>
        <w:t xml:space="preserve"> Global Impact of COVID-19 Restrictions on the Surface Concentrations of Nitrogen Dioxide and Ozone — https://openalex.org/W3087582936</w:t>
      </w:r>
    </w:p>
    <w:p>
      <w:pPr/>
      <w:r>
        <w:rPr>
          <w:b/>
        </w:rPr>
        <w:t>Shared claim-specific concepts:</w:t>
      </w:r>
      <w:r>
        <w:t xml:space="preserve"> total, nitrogen, decrease, due, reduced; EU scope visible. This is a provisional connection, not an outcome finding.</w:t>
      </w:r>
    </w:p>
    <w:p>
      <w:pPr>
        <w:pStyle w:val="SourceNote"/>
      </w:pPr>
      <w:r>
        <w:rPr>
          <w:b/>
        </w:rPr>
        <w:t>Available abstract (not full text):</w:t>
      </w:r>
      <w:r>
        <w:t xml:space="preserve"> Social distancing to combat the COVID-19 pandemic has led to widespread reductions in air pollutant emissions. Quantifying these changes requires a business-as-usual counterfactual that accounts for the synoptic and seasonal variability of air pollutants. We use a machine learning algorithm driven by information from the NASA GEOS-CF model to assess changes in nitrogen dioxide (NO2) and ozone (O3) at 5756 observation sites in 46 countries from January through June 2020. Reductions in NO2 coincide with the timing and intensity of COVID-19 restrictions, ranging from 60 % in severely affected cities (e.g., Wuhan, Milan) to little change (e.g., Rio de Janeiro, Taipei). On average, NO2 concentrations were 18 (13-23) % lower than business as usual from February 2020 onward. China experienced the earliest and steepest decline, but concentrations since April have mostly recovered and remained within 5 % of the business-as-usual estimate. NO2 reductions in Europe and the US have been more gradual, with a halting recovery starting in late March. We estimate that the global NOx (NO + NO2) emission reduction during the first 6 months of 2020 amounted to 3.1 (2.6-3.6) TgN, equivalent to 5.5 (4.7-6.4) % of the annual anthropogenic total. The response of surface O3 is complicated by competing influences of nonlinear atmospheric chemistry. While surface O3 increased by up to 50 % in some locat</w:t>
      </w:r>
    </w:p>
    <w:p>
      <w:pPr/>
      <w:r>
        <w:rPr>
          <w:b/>
        </w:rPr>
        <w:t>POSSIBLE 2021:</w:t>
      </w:r>
      <w:r>
        <w:t xml:space="preserve"> Response of chlorophyll a to total nitrogen and total phosphorus concentrations in lotic ecosystems: a systematic review — https://doi.org/10.1186/s13750-021-00238-8</w:t>
      </w:r>
    </w:p>
    <w:p>
      <w:pPr/>
      <w:r>
        <w:rPr>
          <w:b/>
        </w:rPr>
        <w:t>Shared claim-specific concepts:</w:t>
      </w:r>
      <w:r>
        <w:t xml:space="preserve"> total, nitrogen, based; EU scope not established. This is a provisional connection, not an outcome finding.</w:t>
      </w:r>
    </w:p>
    <w:p>
      <w:pPr>
        <w:pStyle w:val="SourceNote"/>
      </w:pPr>
      <w:r>
        <w:rPr>
          <w:b/>
        </w:rPr>
        <w:t>Available abstract (not full text):</w:t>
      </w:r>
      <w:r>
        <w:t xml:space="preserve"> Abstract Background Eutrophication of freshwater ecosystems resulting from nitrogen and phosphorus pollution is a major environmental stressor across the globe. In this systematic review, we compiled and synthesized literature on sestonic and benthic chlorophyll a (chl-a) responses to total nitrogen (TN) and total phosphorus (TP) concentrations in the water column in streams and rivers to provide a state-of-the-science summary of nutrient impacts on these endpoints. This review was motivated by the need for comprehensive information on stressor-response relationships for the most common nutrient and biotic response measures used by state-level environmental managers in the United States to assess eutrophication of lotic ecosystems and support environmental decision making. Methods Searches for peer-reviewed and non-peer-reviewed articles were conducted using bibliographic databases, specialist websites, and search engines. These returns were supplemented with citation mapping and requests for material from experts. Articles were screened for relevance using pre-determined eligibility criteria, and risk of bias was evaluated for each included article based on study type-specific criteria. Narrative summaries and meta-analysis were used to evaluate four primary stressor-response relationships: TN-benthic chl-a, TP-benthic chl-a, TN-sestonic chl-a, and TP-sestonic chl-a. Potential</w:t>
      </w:r>
    </w:p>
    <w:p>
      <w:pPr/>
      <w:r>
        <w:rPr>
          <w:b/>
        </w:rPr>
        <w:t>POSSIBLE 2020:</w:t>
      </w:r>
      <w:r>
        <w:t xml:space="preserve"> Nitrogen Dioxide (NO2) Pollution Monitoring with Sentinel-5P Satellite Imagery over Europe during the Coronavirus Pandemic Outbreak — https://doi.org/10.3390/rs12213575</w:t>
      </w:r>
    </w:p>
    <w:p>
      <w:pPr/>
      <w:r>
        <w:rPr>
          <w:b/>
        </w:rPr>
        <w:t>Shared claim-specific concepts:</w:t>
      </w:r>
      <w:r>
        <w:t xml:space="preserve"> nitrogen, decrease, based; EU scope visible. This is a provisional connection, not an outcome finding.</w:t>
      </w:r>
    </w:p>
    <w:p>
      <w:pPr>
        <w:pStyle w:val="SourceNote"/>
      </w:pPr>
      <w:r>
        <w:rPr>
          <w:b/>
        </w:rPr>
        <w:t>Available abstract (not full text):</w:t>
      </w:r>
      <w:r>
        <w:t xml:space="preserve"> Nitrogen dioxide (NO2) is one of the main air quality pollutants of concern in many urban and industrial areas worldwide, and particularly in the European region, where in 2017 almost 20 countries exceeded the NO2 annual limit values imposed by the European Commission Directive 2008/50/EC (EEA, 2019). NO2 pollution monitoring and regulation is a necessary task to help decision makers to search for a sustainable solution for environmental quality and population health status improvement. In this study, we propose a comparative analysis of the tropospheric NO2 column spatial configuration over Europe between similar periods in 2019 and 2020, based on the ESA Copernicus Sentinel-5P products. The results highlight the NO2 pollution dynamics over the abrupt transition from a normal condition situation to the COVID-19 outbreak context, characterized by a short-time decrease of traffic intensities and industrial activities, revealing remarkable tropospheric NO2 column number density decreases even of 85% in some of the European big cities. The validation approach of the satellite-derived data, based on a cross-correlation analysis with independent data from ground-based observations, provided encouraging values of the correlation coefficients (R2), ranging between 0.5 and 0.75 in different locations. The remarkable decrease of NO2 pollution over Europe during the COVID-19 lockdown is </w:t>
      </w:r>
    </w:p>
    <w:p>
      <w:pPr/>
      <w:r>
        <w:rPr>
          <w:b/>
        </w:rPr>
        <w:t>POSSIBLE 2020:</w:t>
      </w:r>
      <w:r>
        <w:t xml:space="preserve"> Nitrogen Surplus—A Unified Indicator for Water Pollution in Europe? — https://doi.org/10.3390/w12041197</w:t>
      </w:r>
    </w:p>
    <w:p>
      <w:pPr/>
      <w:r>
        <w:rPr>
          <w:b/>
        </w:rPr>
        <w:t>Shared claim-specific concepts:</w:t>
      </w:r>
      <w:r>
        <w:t xml:space="preserve"> nitrogen, well, management; EU scope visible. This is a provisional connection, not an outcome finding.</w:t>
      </w:r>
    </w:p>
    <w:p>
      <w:pPr>
        <w:pStyle w:val="SourceNote"/>
      </w:pPr>
      <w:r>
        <w:rPr>
          <w:b/>
        </w:rPr>
        <w:t>Available abstract (not full text):</w:t>
      </w:r>
      <w:r>
        <w:t xml:space="preserve"> Pollution of ground-and surface waters with nitrates from agricultural sources poses a risk to drinking water quality and has negative impacts on the environment. At the national scale, the gross nitrogen budget (GNB) is accepted as an indicator of pollution caused by nitrates. There is, however, little common EU-wide knowledge on the budget application and its comparability at the farm level for the detection of ground-and surface water pollution caused by nitrates and the monitoring of mitigation measures. Therefore, a survey was carried out among experts of various European countries in order to assess the practice and application of fertilization planning and nitrogen budgeting at the farm level and the differences between countries within Europe. While fertilization planning is practiced in all of the fourteen countries analyzed in this paper, according to current legislation, nitrogen budgets have to be calculated only in Switzerland, Germany and Romania. The survey revealed that methods of fertilization planning and nitrogen budgeting at the farm level are not unified throughout Europe. In most of the cases where budgets are used regularly (Germany, Romania, Switzerland), standard values for the chemical composition of feed, organic fertilizers, animal and plant products are used. The example of the Dutch Annual Nutrient Cycling Assessment (ANCA) tool (and partly of the </w:t>
      </w:r>
    </w:p>
    <w:p>
      <w:pPr/>
      <w:r>
        <w:rPr>
          <w:b/>
        </w:rPr>
        <w:t>POSSIBLE 2020:</w:t>
      </w:r>
      <w:r>
        <w:t xml:space="preserve"> Is the lady's-slipper orchid (Cypripedium calceolus) likely to shortly become extinct in Europe?—Insights based on ecological niche modelling — https://doi.org/10.1371/journal.pone.0228420</w:t>
      </w:r>
    </w:p>
    <w:p>
      <w:pPr/>
      <w:r>
        <w:rPr>
          <w:b/>
        </w:rPr>
        <w:t>Shared claim-specific concepts:</w:t>
      </w:r>
      <w:r>
        <w:t xml:space="preserve"> total, likely, area, result, based; EU scope visible. This is a provisional connection, not an outcome finding.</w:t>
      </w:r>
    </w:p>
    <w:p>
      <w:pPr>
        <w:pStyle w:val="SourceNote"/>
      </w:pPr>
      <w:r>
        <w:rPr>
          <w:b/>
        </w:rPr>
        <w:t>Available abstract (not full text):</w:t>
      </w:r>
      <w:r>
        <w:t xml:space="preserve"> Lady's-slipper orchid (Cypripedium calceolus) is considered an endangered species in most countries within its geographical range. The main reason for the decline in the number of populations of this species in Europe is habitat destruction. In this paper the ecological niche modelling approach was used to estimate the effect of future climate change on the area of niches suitable for C. calceolus. Predictions of the extent of the potential range of this species in 2070 were made using climate projections obtained from the Community Climate System Model for four representative concentration pathways: rcp2.6, rcp4.5, rcp6.0 and rcp8.5. According to these analyses all the scenarios of future climate change will result in the total area of niches suitable for C. calceolus decreasing. Considering areas characterized by a suitability of at least 0.4 the loss of habitat will vary between ca. 30% and 63%. The highest habitat loss of ca. 63% is predicted to occur in scenario rcp 8.5. Surprisingly, in the most damaging rcp 8.5 prediction the highest overlap between potential range of C. calceolus and its pollinators will be observed and in all other scenarios some pollinators will be available for this species in various geographical regions. Based on these results at least two approaches should be implemented to improve the chances of survival of C. calceolus. In view of the unavoidabl</w:t>
      </w:r>
    </w:p>
    <w:p>
      <w:pPr/>
      <w:r>
        <w:rPr>
          <w:b/>
        </w:rPr>
        <w:t>POSSIBLE 2019:</w:t>
      </w:r>
      <w:r>
        <w:t xml:space="preserve"> Effects of anthropogenic nitrogen discharge on dissolved inorganic nitrogen transport in global rivers — https://doi.org/10.1111/gcb.14570</w:t>
      </w:r>
    </w:p>
    <w:p>
      <w:pPr/>
      <w:r>
        <w:rPr>
          <w:b/>
        </w:rPr>
        <w:t>Shared claim-specific concepts:</w:t>
      </w:r>
      <w:r>
        <w:t xml:space="preserve"> total, nitrogen, based; EU scope visible. This is a provisional connection, not an outcome finding.</w:t>
      </w:r>
    </w:p>
    <w:p>
      <w:pPr>
        <w:pStyle w:val="SourceNote"/>
      </w:pPr>
      <w:r>
        <w:rPr>
          <w:b/>
        </w:rPr>
        <w:t>Available abstract (not full text):</w:t>
      </w:r>
      <w:r>
        <w:t xml:space="preserve"> Excess nutrients from fertilizer application, pollution discharge, and water regulations outflow through rivers from lands to oceans, seriously impacting coastal ecosystems. A reasonable representation of these processes in land surface models and River Transport Models (RTMs) is very important for understanding human-environment interactions. In this study, the schemes of riverine dissolved inorganic nitrogen (DIN) transport and human activities including nitrogen discharge and water regulation, were synchronously incorporated into a land surface model coupled with a RTM. The effects of anthropogenic nitrogen discharge on the DIN transport in rivers were studied based on simulations of the period 1991-2010 throughout the entire world, conducted using the developed model, which had a spatial resolution of about 1° for land processes and 0.5° for river transport, and data on fertilizer application, point source pollution, and water use. Our results showed that rivers in western Europe and eastern China were seriously polluted, on average, at a rate of 5,000-15,000 tons per year. In the Yangtze River Basin, the amount of point source pollution in 2010 was about four times more than that in 1991, while the amount of fertilizer used in 2010 doubled, which resulted in the increased riverine DIN levels. Further comparisons suggested that the riverine DIN in the USA was affected prima</w:t>
      </w:r>
    </w:p>
    <w:p>
      <w:pPr/>
      <w:r>
        <w:rPr>
          <w:b/>
        </w:rPr>
        <w:t>POSSIBLE 2019:</w:t>
      </w:r>
      <w:r>
        <w:t xml:space="preserve"> Long-term health impact assessment of total PM2.5 in Europe during the 1990–2015 period — https://doi.org/10.1016/j.aeaoa.2019.100032</w:t>
      </w:r>
    </w:p>
    <w:p>
      <w:pPr/>
      <w:r>
        <w:rPr>
          <w:b/>
        </w:rPr>
        <w:t>Shared claim-specific concepts:</w:t>
      </w:r>
      <w:r>
        <w:t xml:space="preserve"> indicate, total, decrease, well; EU scope visible. This is a provisional connection, not an outcome finding.</w:t>
      </w:r>
    </w:p>
    <w:p>
      <w:pPr>
        <w:pStyle w:val="SourceNote"/>
      </w:pPr>
      <w:r>
        <w:rPr>
          <w:b/>
        </w:rPr>
        <w:t>Available abstract (not full text):</w:t>
      </w:r>
      <w:r>
        <w:t xml:space="preserve"> Several datasets of PM 2.5 concentrations over Europe during the 1990–2015 period, were used to calculate health impacts from chronic exposure to total particle matter below 2.5 μm (i.e. PM 2.5 ). The datasets used in the analysis include the European Topic Centre on Air Pollution and Climate Change Mitigation (ETC/ACM), the Copernicus Atmospheric Monitoring Service (CAMS), the Global Burden of Disease (GBD), the World Health Organization (WHO) as well as the EURODELTA-Trends (EDT) multi-model reanalysis developed specifically for Europe. The exposure to ambient PM 2.5 concentrations was calculated as population weighted annual average PM 2.5 concentrations by country. The calculated exposure to PM 2.5 was later used as input in the health impact assessment (HIA) Alpha-RiskPoll (ARP) tool to retrieve the total number of premature deaths. Our results indicate a substantial reduction in the number of premature deaths from PM 2.5 exposure in Europe over the 1990–2010 period, between nearly 30 and 50%. Putting all the data-sets together, even if they do not cover the whole period, a decrease of even around 60% is observed between 1990 and 2015. For the countries included in this study, the estimated number of premature deaths from PM 2.5 in 1990 was found to be around 960 000 (median of all the available datasets), whereas in 2015 it was found to be around 445 000. However, the var</w:t>
      </w:r>
    </w:p>
    <w:p>
      <w:pPr>
        <w:pStyle w:val="Heading2"/>
      </w:pPr>
      <w:r>
        <w:t>945.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2024:</w:t>
      </w:r>
      <w:r>
        <w:t xml:space="preserve"> Climate change and air pollution impacts on cultural heritage building materials in Europe and Mexico — https://doi.org/10.1016/j.scitotenv.2024.170945</w:t>
      </w:r>
    </w:p>
    <w:p>
      <w:pPr/>
      <w:r>
        <w:rPr>
          <w:b/>
        </w:rPr>
        <w:t>Shared claim-specific concepts:</w:t>
      </w:r>
      <w:r>
        <w:t xml:space="preserve"> air, pollution, relevant, climate; EU scope visible. This is a provisional connection, not an outcome finding.</w:t>
      </w:r>
    </w:p>
    <w:p>
      <w:pPr>
        <w:pStyle w:val="SourceNote"/>
      </w:pPr>
      <w:r>
        <w:rPr>
          <w:b/>
        </w:rPr>
        <w:t>Available abstract (not full text):</w:t>
      </w:r>
      <w:r>
        <w:t xml:space="preserve">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pPr/>
      <w:r>
        <w:rPr>
          <w:b/>
        </w:rPr>
        <w:t>POSSIBLE 2023:</w:t>
      </w:r>
      <w:r>
        <w:t xml:space="preserve"> The Future Impact of Shipping Emissions on Air Quality in Europe under Climate Change — https://doi.org/10.3390/atmos14071126</w:t>
      </w:r>
    </w:p>
    <w:p>
      <w:pPr/>
      <w:r>
        <w:rPr>
          <w:b/>
        </w:rPr>
        <w:t>Shared claim-specific concepts:</w:t>
      </w:r>
      <w:r>
        <w:t xml:space="preserve"> quantify, air, modelling, system, climate, two; EU scope visible. This is a provisional connection, not an outcome finding.</w:t>
      </w:r>
    </w:p>
    <w:p>
      <w:pPr>
        <w:pStyle w:val="SourceNote"/>
      </w:pPr>
      <w:r>
        <w:rPr>
          <w:b/>
        </w:rPr>
        <w:t>Available abstract (not full text):</w:t>
      </w:r>
      <w:r>
        <w:t xml:space="preserve"> Ship engine combustion emits several atmospheric pollutants, such as PM, SOx, and NOx, which can have adverse health effects and are significant contributors to decreased air quality. Due to the distribution of maritime transport activity routes in the EU, a large portion of the population is exposed to shipping emissions throughout Europe. Therefore, in light of the European Commission long-term objective of “zero-waste, zero-emission” for maritime transport, the focus of this study was to quantify the impact of shipping emissions in the present, as well as the future, considering both emissions projection for the shipping sector and a climate change scenario. The WRF-CHIMERE modelling system was used to quantify the impact of shipping in Europe. To obtain the current and future contributions of maritime transport to the total pollutant concentrations, simulations were divided into two present (baseline and without shipping) and three future scenarios (shipping projection, climate change, and shipping projection and climate change). The results indicate that the current and future impacts of shipping emissions on pollutant concentrations are similar in some regions (NO2 for Northern Europe and SO2 for Southern Europe), which is due to the enforcement of emission control areas for those pollutants. However, efforts towards lowering emissions from the shipping sector are negated</w:t>
      </w:r>
    </w:p>
    <w:p>
      <w:pPr/>
      <w:r>
        <w:rPr>
          <w:b/>
        </w:rPr>
        <w:t>POSSIBLE 2023:</w:t>
      </w:r>
      <w:r>
        <w:t xml:space="preserve"> Clean air in Europe for all — https://doi.org/10.1097/ee9.0000000000000245</w:t>
      </w:r>
    </w:p>
    <w:p>
      <w:pPr/>
      <w:r>
        <w:rPr>
          <w:b/>
        </w:rPr>
        <w:t>Shared claim-specific concepts:</w:t>
      </w:r>
      <w:r>
        <w:t xml:space="preserve"> air, pollution, designed, comprehensive, climate;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Science Europe Response Public consultation on Horizon 2020 and Horizon Europe — https://doi.org/10.5281/zenodo.7664436</w:t>
      </w:r>
    </w:p>
    <w:p>
      <w:pPr/>
      <w:r>
        <w:rPr>
          <w:b/>
        </w:rPr>
        <w:t>Shared claim-specific concepts:</w:t>
      </w:r>
      <w:r>
        <w:t xml:space="preserve"> horizon, two, policies; EU scope visible. This is a provisional connection, not an outcome finding.</w:t>
      </w:r>
    </w:p>
    <w:p>
      <w:pPr>
        <w:pStyle w:val="SourceNote"/>
      </w:pPr>
      <w:r>
        <w:rPr>
          <w:b/>
        </w:rPr>
        <w:t>Available abstract (not full text):</w:t>
      </w:r>
      <w:r>
        <w:t xml:space="preserve"> As representative of major public organisations that fund and perform excellent research in Europe, Science Europe welcomes the opportunity to contribute to the reflection on the past, present, and future of the European Framework Programmes for Research and Innovation (R&amp;I). They are crucial instruments to boost European scientific excellence, facilitate collaboration among the European R&amp;I communities, and further develop the European Research Area (ERA). Despite a steady increase over the past decades, the budget of the programmes remains insufficient, and a majority of positively evaluated projects remain unfunded. The R&amp;I community must continue to advocate an increase of the budget, and to oppose any reductions over its lifetime, either during the yearly budget negotiations, or when new EU programmes are created and need funding. In this respect, it is crucial that citizens understand the importance of R&amp;I and support it. The main objective of the Framework Programmes has shifted since the preparation of Horizon 2020. A bigger focus was placed on a utilitarian purpose of scientific outputs for rapid (economic) impact. Additionally, political agendas became stronger drivers of R&amp;I strategies. Science Europe advocates a stronger focus on the generation of knowledge for its own intrinsic value, and on the confidence that excellent research and innovation will lead to impact.</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Quantifying the role of the large-scale circulation on European summer precipitation change — https://doi.org/10.1007/s00382-022-06250-z</w:t>
      </w:r>
    </w:p>
    <w:p>
      <w:pPr/>
      <w:r>
        <w:rPr>
          <w:b/>
        </w:rPr>
        <w:t>Shared claim-specific concepts:</w:t>
      </w:r>
      <w:r>
        <w:t xml:space="preserve"> quantify, climate; EU scope visible. This is a provisional connection, not an outcome finding.</w:t>
      </w:r>
    </w:p>
    <w:p>
      <w:pPr>
        <w:pStyle w:val="SourceNote"/>
      </w:pPr>
      <w:r>
        <w:rPr>
          <w:b/>
        </w:rPr>
        <w:t>Available abstract (not full text):</w:t>
      </w:r>
      <w:r>
        <w:t xml:space="preserve">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pPr/>
      <w:r>
        <w:rPr>
          <w:b/>
        </w:rPr>
        <w:t>POSSIBLE 2022:</w:t>
      </w:r>
      <w:r>
        <w:t xml:space="preserve"> Health horizons: Future trends and technologies from the European Medicines Agency’s horizon scanning collaborations — https://doi.org/10.3389/fmed.2022.1064003</w:t>
      </w:r>
    </w:p>
    <w:p>
      <w:pPr/>
      <w:r>
        <w:rPr>
          <w:b/>
        </w:rPr>
        <w:t>Shared claim-specific concepts:</w:t>
      </w:r>
      <w:r>
        <w:t xml:space="preserve"> horizon, relevant; EU scope visible. This is a provisional connection, not an outcome finding.</w:t>
      </w:r>
    </w:p>
    <w:p>
      <w:pPr>
        <w:pStyle w:val="SourceNote"/>
      </w:pPr>
      <w:r>
        <w:rPr>
          <w:b/>
        </w:rPr>
        <w:t>Available abstract (not full text):</w:t>
      </w:r>
      <w:r>
        <w:t xml:space="preserve">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pPr/>
      <w:r>
        <w:rPr>
          <w:b/>
        </w:rPr>
        <w:t>POSSIBLE 2021:</w:t>
      </w:r>
      <w:r>
        <w:t xml:space="preserve"> Air traffic and contrail changes over Europe during COVID-19: a model study — https://doi.org/10.5194/acp-21-7429-2021</w:t>
      </w:r>
    </w:p>
    <w:p>
      <w:pPr/>
      <w:r>
        <w:rPr>
          <w:b/>
        </w:rPr>
        <w:t>Shared claim-specific concepts:</w:t>
      </w:r>
      <w:r>
        <w:t xml:space="preserve"> air, climate, reference; EU scope visible. This is a provisional connection, not an outcome finding.</w:t>
      </w:r>
    </w:p>
    <w:p>
      <w:pPr>
        <w:pStyle w:val="SourceNote"/>
      </w:pPr>
      <w:r>
        <w:rPr>
          <w:b/>
        </w:rPr>
        <w:t>Available abstract (not full text):</w:t>
      </w:r>
      <w:r>
        <w:t xml:space="preserve"> Abstract. The strong reduction of air traffic during the COVID-19 pandemic provides a test case for the relation between air traffic density, contrails, and their radiative forcing of climate change. Air traffic and contrail cirrus changes are quantified for a European domain for March to August 2020 and compared to the same period in 2019. Traffic data show a 72 % reduction in flight distance compared with 2019. This paper investigates the induced contrail changes in a model study. The contrail model results depend on various methodological details tested in parameter studies. In the reference case, the reduced traffic caused an even stronger reduction in contrail length, partly because the weather conditions in 2020 were less favourable for contrail formation than in 2019. Contrail coverage over Europe with an optical depth larger than 0.1 decreased from 4.6 % in 2019 to 1.4 % in 2020; total cirrus cover amount changed from 28 to 25 %. The reduced contrail coverage caused 70 % less longwave and 73 % less shortwave radiative forcing with the consequential reduction of 54 % in the net forcing. The methods include recently developed models for performance parameters and soot emissions. The overall propulsion efficiency of the aircraft is about 20 % smaller than estimated in earlier studies, resulting in 3 % fewer contrails. Considerable sensitivity to soot emissions is found hig</w:t>
      </w:r>
    </w:p>
    <w:p>
      <w:pPr/>
      <w:r>
        <w:rPr>
          <w:b/>
        </w:rPr>
        <w:t>POSSIBLE 2021:</w:t>
      </w:r>
      <w:r>
        <w:t xml:space="preserve"> COVID-19 and Air Pollution: Measuring Pandemic Impact to Air Quality in Five European Countries — https://doi.org/10.3390/atmos12030290</w:t>
      </w:r>
    </w:p>
    <w:p>
      <w:pPr/>
      <w:r>
        <w:rPr>
          <w:b/>
        </w:rPr>
        <w:t>Shared claim-specific concepts:</w:t>
      </w:r>
      <w:r>
        <w:t xml:space="preserve"> air, pollution, policies; EU scope visible. This is a provisional connection, not an outcome finding.</w:t>
      </w:r>
    </w:p>
    <w:p>
      <w:pPr>
        <w:pStyle w:val="SourceNote"/>
      </w:pPr>
      <w:r>
        <w:rPr>
          <w:b/>
        </w:rPr>
        <w:t>Available abstract (not full text):</w:t>
      </w:r>
      <w:r>
        <w:t xml:space="preserve">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pStyle w:val="Heading2"/>
      </w:pPr>
      <w:r>
        <w:t>946.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2023:</w:t>
      </w:r>
      <w:r>
        <w:t xml:space="preserve"> Power of a Feminist Identity on Sense of Self and Purpose — https://doi.org/10.33470/2161-0029.1148</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pPr/>
      <w:r>
        <w:rPr>
          <w:b/>
        </w:rPr>
        <w:t>POSSIBLE 2021:</w:t>
      </w:r>
      <w:r>
        <w:t xml:space="preserve"> Automata, Purpose, and Value — https://doi.org/10.4324/9781003205760-9</w:t>
      </w:r>
    </w:p>
    <w:p>
      <w:pPr/>
      <w:r>
        <w:rPr>
          <w:b/>
        </w:rPr>
        <w:t>Shared claim-specific concepts:</w:t>
      </w:r>
      <w:r>
        <w:t xml:space="preserve"> purpose, aims, context; EU scope not established. This is a provisional connection, not an outcome finding.</w:t>
      </w:r>
    </w:p>
    <w:p>
      <w:pPr>
        <w:pStyle w:val="SourceNote"/>
      </w:pPr>
      <w:r>
        <w:rPr>
          <w:b/>
        </w:rPr>
        <w:t>Available abstract (not full text):</w:t>
      </w:r>
      <w:r>
        <w:t xml:space="preserve"> Goal-seeking or purposive behavior was also one of the functions thought to be denied to automata. This chapter aims to argue that there is, related to purposiveness, one area of essential difference between humans and automata that has not thus far been replicated or simulated, even ‘in principle.’ The problem of the distinction between human beings and sophisticated machines of the robot sort has often been discussed in the context of whether robots can be made to exhibit characteristic behavior of humans or to accomplish all the ‘mental’ tasks that humans can. The metaphorical or analogical extension of such terminology neglects the complex human context in which its meaningfulness has arisen. The fact that most ordinary goals and values are acquired from our social environment does not mean, either, that those that come from society are not deliberate, not autonomous human purposes.</w:t>
      </w:r>
    </w:p>
    <w:p>
      <w:pPr/>
      <w:r>
        <w:rPr>
          <w:b/>
        </w:rPr>
        <w:t>POSSIBLE 2021:</w:t>
      </w:r>
      <w:r>
        <w:t xml:space="preserve"> Health-seeking behaviours of immigrants, asylum seekers and refugees in Europe: a systematic review of peer-reviewed articles — https://doi.org/10.1108/jd-10-2020-0168</w:t>
      </w:r>
    </w:p>
    <w:p>
      <w:pPr/>
      <w:r>
        <w:rPr>
          <w:b/>
        </w:rPr>
        <w:t>Shared claim-specific concepts:</w:t>
      </w:r>
      <w:r>
        <w:t xml:space="preserve"> purpose, used, understand, implications, challenges, context; EU scope visible. This is a provisional connection, not an outcome finding.</w:t>
      </w:r>
    </w:p>
    <w:p>
      <w:pPr>
        <w:pStyle w:val="SourceNote"/>
      </w:pPr>
      <w:r>
        <w:rPr>
          <w:b/>
        </w:rPr>
        <w:t>Available abstract (not full text):</w:t>
      </w:r>
      <w:r>
        <w:t xml:space="preserve"> Purpose Immigrants, asylum seekers and refugees living in Europe face a number of challenges in accessing or using health information and healthcare services available in their host countries. To resolve these issues and deliver the necessary services, providers must take a comprehensive approach to better understand the types of health information and healthcare services that these individuals need, seek and use. Therefore, the purpose of this paper is to develop that comprehensive approach. Design/methodology/approach In this paper, a systematic literature review of peer-reviewed publications was performed, with 3.013 articles collected from various databases. A total of 57 qualifying papers on studies conducted in Europe were included in the review after applying the predefined inclusion and exclusion requirements, screening processes and eliminating duplicates. The information seeking and communication model (ISCM) was used in the analysis. Findings The findings revealed that while many health information and healthcare services are accessible in Europe for immigrants, asylum seekers and refugees, many of these individuals are unaware of their existence or how to access them. While our findings do not specify what health-related information these groups need, use or seek, they do suggest the importance and value of providing mental health, sexual health and HIV, as well as </w:t>
      </w:r>
    </w:p>
    <w:p>
      <w:pPr/>
      <w:r>
        <w:rPr>
          <w:b/>
        </w:rPr>
        <w:t>POSSIBLE 2019:</w:t>
      </w:r>
      <w:r>
        <w:t xml:space="preserve"> Why do people seek knowledge? Tracing factors that affect knowledge seeking intention — https://doi.org/10.1108/vjikms-04-2019-0059</w:t>
      </w:r>
    </w:p>
    <w:p>
      <w:pPr/>
      <w:r>
        <w:rPr>
          <w:b/>
        </w:rPr>
        <w:t>Shared claim-specific concepts:</w:t>
      </w:r>
      <w:r>
        <w:t xml:space="preserve"> purpose, seeks, used, understand, implications; EU scope not established. This is a provisional connection, not an outcome finding.</w:t>
      </w:r>
    </w:p>
    <w:p>
      <w:pPr>
        <w:pStyle w:val="SourceNote"/>
      </w:pPr>
      <w:r>
        <w:rPr>
          <w:b/>
        </w:rPr>
        <w:t>Available abstract (not full text):</w:t>
      </w:r>
      <w:r>
        <w:t xml:space="preserve"> Purpose The purpose of this study is to understand factors that motivate an individual to seek knowledge on knowledge management systems. Specifically, the work seeks to clarify the impact of organizational practices on an individual’s intention to seek knowledge. The overarching theme is to broaden the current understanding of factors that impact individual knowledge seeking behavior and narrow down factors for which interventions can be developed. Design/methodology/approach In-depth interviews were conducted with the members of knowledge management (KM), human resources (HR) and learning and development teams of Robert Bosch Engineering and Business Solutions Private Limited (RBEI) to understand knowledge behaviors of employees. Subsequent to an exploratory analysis, the survey methodology was used to collect data from members of RBEI. A proposed theoretical model was then validated using partial least squares. Findings Empirical findings suggest that to motivate participation, organizational KM practices need to be geared towards promoting curiosity and engaging learners. Results indicate that overt recognition of knowledge seeking behaviors by HR could be counterproductive. Research limitations/implications This study was limited to an MNC engineering organization in one geographic location; one must be cautious when generalizing these results. Replicating this study in mu</w:t>
      </w:r>
    </w:p>
    <w:p>
      <w:pPr/>
      <w:r>
        <w:rPr>
          <w:b/>
        </w:rPr>
        <w:t>POSSIBLE 2019:</w:t>
      </w:r>
      <w:r>
        <w:t xml:space="preserve"> Using the Theory of Planned Behavior to Understand Factors Influencing South Asian Consumers’ Intention to Seek Pharmacist-Provided Medication Therapy Management Services — https://doi.org/10.3390/pharmacy7030088</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The study purpose was to use the theory of planned behavior to understand factors influencing South Asian consumers’ intention to seek pharmacist-provided medication therapy management services (MTMS). Specific objectives were to assess effects of attitude, subjective norm (SN), perceived behavioral control (PBC), and socio-demographics on South Asian consumers’ intention to seek MTMS. Participants who were ≥18 years of age, of South Asian origin, with a previous visit to a pharmacy in the US for a health-related reason, and with ability to read and comprehend English were recruited from independent pharmacies in New York City. Responses were obtained through a self-administered survey. Descriptive statistics were performed, and multiple linear regression analysis was conducted to assess the study objective. SPSS was used for data analyses. Out of 140 responses, 133 were usable. Mean scores (standard deviation) were 4.04 (0.97) for attitude, 3.77 (0.91) for SN, 3.75 (0.93) for PBC, and 3.96 (0.94) for intention. The model explains 80.8% of variance and is a significant predictor of intention, F (14,118) = 35.488, p &lt; 0.05. While attitude (β = 0.723, p &lt; 0.05) and PBC (β = 0.148, p &lt; 0.05) were significant predictors of intention, SN (β = 0.064, p = 0.395) was not. None of the socio-demographics were significant predictors of intention. Strategies to make South Asians seek MTMS </w:t>
      </w:r>
    </w:p>
    <w:p>
      <w:pPr/>
      <w:r>
        <w:rPr>
          <w:b/>
        </w:rPr>
        <w:t>POSSIBLE 2017:</w:t>
      </w:r>
      <w:r>
        <w:t xml:space="preserve"> Purposing: How Purpose Develops Self-Organizing Capacities — https://doi.org/10.5465/ambpp.2017.17754abstract</w:t>
      </w:r>
    </w:p>
    <w:p>
      <w:pPr/>
      <w:r>
        <w:rPr>
          <w:b/>
        </w:rPr>
        <w:t>Shared claim-specific concepts:</w:t>
      </w:r>
      <w:r>
        <w:t xml:space="preserve"> purpose, seeks, understand; EU scope not established. This is a provisional connection, not an outcome finding.</w:t>
      </w:r>
    </w:p>
    <w:p>
      <w:pPr>
        <w:pStyle w:val="SourceNote"/>
      </w:pPr>
      <w:r>
        <w:rPr>
          <w:b/>
        </w:rPr>
        <w:t>Available abstract (not full text):</w:t>
      </w:r>
      <w:r>
        <w:t xml:space="preserve"> Self-organization and organic-like organization are gaining more traction during the last few years with different forms and organizing structures, offering a potential alternative to mainstream traditional bureaucracy. This paper seeks to identify structural commonalities between organizations that claim self-organization and organic structures, in order to understand them and assess the way they foster personal commitment for desired objectives. I interviewed 31 individuals from 6 organizations from diverse sectors. I discovered various forms and practices, not as models of perfection, but as efforts of change to realize wholly different values in the way they unite in making purpose and meaning alive and in turning on the logic of responsible autonomy and peer accountability. The findings highlight the importance of a process that supports (1) basic psychological needs satisfaction of autonomy, competence, and relatedness, (2) the continuous search for meaning and (3) a tolerance for uncertainty to allow safe experimentation; a process that I labeled ‘purposing’. These organizations are serious initiatives to break from the traditional institutional grip of the hierarchical structures of command and control. This paper is important to both academicians and practitioners who seek to understand alternative forms and practices to organize and coordinate human efforts since it s</w:t>
      </w:r>
    </w:p>
    <w:p>
      <w:pPr/>
      <w:r>
        <w:rPr>
          <w:b/>
        </w:rPr>
        <w:t>POSSIBLE 2017:</w:t>
      </w:r>
      <w:r>
        <w:t xml:space="preserve"> Factors that influence the use of the Internet for job-seeking purposes amongst a sample of final-year students in the Eastern Cape province of South Africa — https://doi.org/10.4102/sajhrm.v15i0.790</w:t>
      </w:r>
    </w:p>
    <w:p>
      <w:pPr/>
      <w:r>
        <w:rPr>
          <w:b/>
        </w:rPr>
        <w:t>Shared claim-specific concepts:</w:t>
      </w:r>
      <w:r>
        <w:t xml:space="preserve"> purpose, used, understand, implications; EU scope not established. This is a provisional connection, not an outcome finding.</w:t>
      </w:r>
    </w:p>
    <w:p>
      <w:pPr>
        <w:pStyle w:val="SourceNote"/>
      </w:pPr>
      <w:r>
        <w:rPr>
          <w:b/>
        </w:rPr>
        <w:t>Available abstract (not full text):</w:t>
      </w:r>
      <w:r>
        <w:t xml:space="preserve"> Orientation: Organisations are turning to the Internet in search for talent. A constituency often targeted are those students nearing the end of their tenure of study who are making a transition into the working world. Given this, it is important to understand not only those factors that influence the use of the Internet within the Human Resources (HR) talent search process, but also how such factors relate to actual intent to apply for jobs.Research purpose: Drawing on the Unified Theory of Acceptance and Use of Technology (UTAUT) model, the study investigates factors that influence the adoption of the Internet for purposes of job seeking.Motivation for the study: Calls have been made for research that investigates factors that influence the intention to use the Internet to apply for jobs in developing countries such as South Africa.Research approach, design and method: The study used the quantitative approach (relying on a survey) to test the hypotheses into factors that influence the use of Internet for the purpose of job seeking amongst a sample of 346 prospective job seekers in their final year of study at a South African university.Main findings: Through correlation and regression analysis, findings reveal a positive relationship to exist between (1) performance expectancy with intention to use the Internet to apply for jobs, (2) effort expectancy with intention to use th</w:t>
      </w:r>
    </w:p>
    <w:p>
      <w:pPr/>
      <w:r>
        <w:rPr>
          <w:b/>
        </w:rPr>
        <w:t>POSSIBLE 2016:</w:t>
      </w:r>
      <w:r>
        <w:t xml:space="preserve"> On Purpose: Motivational and Contextual Predictors of Purpose and Positive Engagement Among Urban-Residing, African American Youth. — https://openalex.org/W2753589041</w:t>
      </w:r>
    </w:p>
    <w:p>
      <w:pPr/>
      <w:r>
        <w:rPr>
          <w:b/>
        </w:rPr>
        <w:t>Shared claim-specific concepts:</w:t>
      </w:r>
      <w:r>
        <w:t xml:space="preserve"> purpose, used, context; EU scope not established. This is a provisional connection, not an outcome finding.</w:t>
      </w:r>
    </w:p>
    <w:p>
      <w:pPr>
        <w:pStyle w:val="SourceNote"/>
      </w:pPr>
      <w:r>
        <w:rPr>
          <w:b/>
        </w:rPr>
        <w:t>Available abstract (not full text):</w:t>
      </w:r>
      <w:r>
        <w:t xml:space="preserve"> Popular narratives of African American adolescents in inner city school contexts underscore problems related to low achievement, school disengagement, and delinquency. In reality, many youth in urban high schools experience positive developmental trajectories that inform identity processes and create successful routes through adolescence. Part of the identity-formation process in adolescence includes acquiring a purpose, defined as “a stable and generalized intention to accomplish something that is at once meaningful to the self and of consequence to the world beyond the self” (Damon, Menon, &amp; Bronk, 2003, p. 121). Though studies have highlighted the importance of purpose, few studies have examined purpose in low-income, African American adolescents. This quantitative study used an integrative personality framework to examine purpose and its correlates among urban-residing, African American high school students (N=151, 51% Male). Study 1 explored associations between purpose and personality, motivation, and contextual characteristics. Study 2 sought to identify profiles of purpose in African American students. Study 3 examined the relationships between these profiles of purpose and engagement. At the individual level, highly motivated students and more conscientious students reported higher purpose scores. Related to context, students who felt that they mattered to an adult in </w:t>
      </w:r>
    </w:p>
    <w:p>
      <w:pPr>
        <w:pStyle w:val="Heading2"/>
      </w:pPr>
      <w:r>
        <w:t>947.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2023:</w:t>
      </w:r>
      <w:r>
        <w:t xml:space="preserve"> Drug use and access to drug dependency services for vulnerable migrants who use drugs in the European Union: Consensus statements and recommendations from civil society experts in Europe — https://doi.org/10.1016/j.drugpo.2023.104087</w:t>
      </w:r>
    </w:p>
    <w:p>
      <w:pPr/>
      <w:r>
        <w:rPr>
          <w:b/>
        </w:rPr>
        <w:t>Shared claim-specific concepts:</w:t>
      </w:r>
      <w:r>
        <w:t xml:space="preserve"> drug, experts, four; EU scope visible. This is a provisional connection, not an outcome finding.</w:t>
      </w:r>
    </w:p>
    <w:p>
      <w:pPr>
        <w:pStyle w:val="SourceNote"/>
      </w:pPr>
      <w:r>
        <w:rPr>
          <w:b/>
        </w:rPr>
        <w:t>Available abstract (not full text):</w:t>
      </w:r>
      <w:r>
        <w:t xml:space="preserve"> BACKGROUND: The number of migrants in the European Union (EU) has been growing, including migrants at risk of using drugs. Little information is available on the actual drug use among first-generation migrants who use drugs in the EU, nor on their access to drug dependency services. This study aims to reach consensus among experts in the EU on the current situation regarding vulnerable migrants who use drugs in the EU and to develop a set of actionable recommendations. METHODS: Between April and September 2022, a panel of 57 experts on migration and/or drug use, working in 24 countries, participated in a three-stage Delphi study to develop statements and recommendations about drug use and access to healthcare services for migrants who use drugs in the EU. RESULTS: High levels of agreement were reached on the 20 statements (mean=98.0%) and 15 recommendations (mean=99.7%). The recommendations focus on four main topics; 1) increasing data availability and quality, to inform guidelines; 2) increasing the availability of drug dependency services for migrants, including screening for mental health issues and involving migrants who use drugs in the development of services; 3) eliminating country and service level barriers for accessing these services, as well as providing migrants who use drugs with suitable information, and combating stigma and discrimination; 4) the need for increas</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project, three, international, provide;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Invited Commentary: Drug Checking for Novel Insights Into the Unregulated Drug Supply — https://doi.org/10.17615/s217-j120</w:t>
      </w:r>
    </w:p>
    <w:p>
      <w:pPr/>
      <w:r>
        <w:rPr>
          <w:b/>
        </w:rPr>
        <w:t>Shared claim-specific concepts:</w:t>
      </w:r>
      <w:r>
        <w:t xml:space="preserve"> invited, drug, provide, understanding; EU scope not established. This is a provisional connection, not an outcome finding.</w:t>
      </w:r>
    </w:p>
    <w:p>
      <w:pPr>
        <w:pStyle w:val="SourceNote"/>
      </w:pPr>
      <w:r>
        <w:rPr>
          <w:b/>
        </w:rPr>
        <w:t>Available abstract (not full text):</w:t>
      </w:r>
      <w:r>
        <w:t xml:space="preserve"> Tobias et al. (Am J Epidemiol. 2022;191 (2):241-247) present a novel analysis of time trends in fentanyl concentrations in the unregulated drug supply in British Columbia, Canada. The preexisting knowledge about unregulated drugs had come from law-enforcement seizures and postmortem toxicology. As both of these data sources are subject to selection bias, large-scale drug-checking programs are poised to be a crucial component of the public health response to the unrelenting increase in overdose in North America. As programs expand, we offer 2 guiding principles. First, the primary purpose of these programs is to deliver timely results to people who use drugs to mitigate health risks. Second, innovation is needed to go beyond criminal justice paradigms in laboratory analysis for a more nuanced understanding of health concerns. We provide examples of the role adulterants play in our understanding of drug harms. We also describe the applications and limitations of common laboratory assays, with implications for epidemiologic surveillance. While the research and direct service teams in British Columbia have taken groundbreaking steps, there is still a need to establish best practices for communicating results to sample donors in an approachable yet nonalarmist tone.</w:t>
      </w:r>
    </w:p>
    <w:p>
      <w:pPr/>
      <w:r>
        <w:rPr>
          <w:b/>
        </w:rPr>
        <w:t>POSSIBLE 2021:</w:t>
      </w:r>
      <w:r>
        <w:t xml:space="preserve"> Radiographer tips for gaining European research funding-our experience with the SAFE EUROPE project — https://openalex.org/W3202602997</w:t>
      </w:r>
    </w:p>
    <w:p>
      <w:pPr/>
      <w:r>
        <w:rPr>
          <w:b/>
        </w:rPr>
        <w:t>Shared claim-specific concepts:</w:t>
      </w:r>
      <w:r>
        <w:t xml:space="preserve"> project, invited, three, international, over; EU scope visible. This is a provisional connection, not an outcome finding.</w:t>
      </w:r>
    </w:p>
    <w:p>
      <w:pPr>
        <w:pStyle w:val="SourceNote"/>
      </w:pPr>
      <w:r>
        <w:rPr>
          <w:b/>
        </w:rPr>
        <w:t>Available abstract (not full text):</w:t>
      </w:r>
      <w:r>
        <w:t xml:space="preserve"> Abstract Purpose Research in radiography is expanding rapidly however gaining funding for research activity is getting increasingly difficult. The European Union (EU) is a valuable source of funding and has funding available in many areas e.g. regional development, employment or research. The aim of this paper is to share our experience of a successful funding application for radiography research. Methodology A application was made to the EU Sector Skills Alliance grant funding in 2017 to develop research on education and curriculum development for therapy radiographers. The proposed research project was aligned with the requisites of the EU funding call i.e. cooperation for innovation and the exchange of good practices. Seven international partners across Europe were invited to join the consortium to perform specific tasks for the application with one partner identified as the Principal Investigator. A re-submission was made in 2018 using the feedback provided by the evaluation panel in 2017. Results Successful grant of 499,736 Euros of research funding was awarded and the SAFE EUROPE project started in January 2019. The project is being led by Ulster University over three years and includes national professional associations, European federation, universities and hospitals. Literature reviews, surveys and interviews with stakeholders are currently underway across Europe. Conc</w:t>
      </w:r>
    </w:p>
    <w:p>
      <w:pPr/>
      <w:r>
        <w:rPr>
          <w:b/>
        </w:rPr>
        <w:t>POSSIBLE 2021:</w:t>
      </w:r>
      <w:r>
        <w:t xml:space="preserve"> Roadmap on digital holography [Invited] — https://doi.org/10.1364/oe.435915</w:t>
      </w:r>
    </w:p>
    <w:p>
      <w:pPr/>
      <w:r>
        <w:rPr>
          <w:b/>
        </w:rPr>
        <w:t>Shared claim-specific concepts:</w:t>
      </w:r>
      <w:r>
        <w:t xml:space="preserve"> invited, experts, vision; EU scope not established. This is a provisional connection, not an outcome finding.</w:t>
      </w:r>
    </w:p>
    <w:p>
      <w:pPr>
        <w:pStyle w:val="SourceNote"/>
      </w:pPr>
      <w:r>
        <w:rPr>
          <w:b/>
        </w:rPr>
        <w:t>Available abstract (not full text):</w:t>
      </w:r>
      <w:r>
        <w:t xml:space="preserve"> This Roadmap article on digital holography provides an overview of a vast array of research activities in the field of digital holography. The paper consists of a series of 25 sections from the prominent experts in digital holography presenting various aspects of the field on sensing, 3D imaging and displays, virtual and augmented reality, microscopy, cell identification, tomography, label-free live cell imaging, and other applications. Each section represents the vision of its author to describe the significant progress, potential impact, important developments, and challenging issues in the field of digital holography.</w:t>
      </w:r>
    </w:p>
    <w:p>
      <w:pPr/>
      <w:r>
        <w:rPr>
          <w:b/>
        </w:rPr>
        <w:t>POSSIBLE 2021:</w:t>
      </w:r>
      <w:r>
        <w:t xml:space="preserve"> Invited Commentary: Drug Checking for Novel Insights Into the Unregulated Drug Supply — https://doi.org/10.1093/aje/kwab233</w:t>
      </w:r>
    </w:p>
    <w:p>
      <w:pPr/>
      <w:r>
        <w:rPr>
          <w:b/>
        </w:rPr>
        <w:t>Shared claim-specific concepts:</w:t>
      </w:r>
      <w:r>
        <w:t xml:space="preserve"> invited, drug, provide, understanding; EU scope not established. This is a provisional connection, not an outcome finding.</w:t>
      </w:r>
    </w:p>
    <w:p>
      <w:pPr>
        <w:pStyle w:val="SourceNote"/>
      </w:pPr>
      <w:r>
        <w:rPr>
          <w:b/>
        </w:rPr>
        <w:t>Available abstract (not full text):</w:t>
      </w:r>
      <w:r>
        <w:t xml:space="preserve"> Tobias et al. (Am J Epidemiol. 2022;191 (2):241-247) present a novel analysis of time trends in fentanyl concentrations in the unregulated drug supply in British Columbia, Canada. The preexisting knowledge about unregulated drugs had come from law-enforcement seizures and postmortem toxicology. As both of these data sources are subject to selection bias, large-scale drug-checking programs are poised to be a crucial component of the public health response to the unrelenting increase in overdose in North America. As programs expand, we offer 2 guiding principles. First, the primary purpose of these programs is to deliver timely results to people who use drugs to mitigate health risks. Second, innovation is needed to go beyond criminal justice paradigms in laboratory analysis for a more nuanced understanding of health concerns. We provide examples of the role adulterants play in our understanding of drug harms. We also describe the applications and limitations of common laboratory assays, with implications for epidemiologic surveillance. While the research and direct service teams in British Columbia have taken groundbreaking steps, there is still a need to establish best practices for communicating results to sample donors in an approachable yet nonalarmist tone.</w:t>
      </w:r>
    </w:p>
    <w:p>
      <w:pPr/>
      <w:r>
        <w:rPr>
          <w:b/>
        </w:rPr>
        <w:t>POSSIBLE 2020:</w:t>
      </w:r>
      <w:r>
        <w:t xml:space="preserve"> European Society of Coloproctology: guidelines for the management of diverticular disease of the colon — https://doi.org/10.1111/codi.15140</w:t>
      </w:r>
    </w:p>
    <w:p>
      <w:pPr/>
      <w:r>
        <w:rPr>
          <w:b/>
        </w:rPr>
        <w:t>Shared claim-specific concepts:</w:t>
      </w:r>
      <w:r>
        <w:t xml:space="preserve"> project, invited, three, international; EU scope visible. This is a provisional connection, not an outcome finding.</w:t>
      </w:r>
    </w:p>
    <w:p>
      <w:pPr>
        <w:pStyle w:val="SourceNote"/>
      </w:pPr>
      <w:r>
        <w:rPr>
          <w:b/>
        </w:rPr>
        <w:t>Available abstract (not full text):</w:t>
      </w:r>
      <w:r>
        <w:t xml:space="preserve"> AIM: The goal of this European Society of Coloproctology (ESCP) guideline project is to give an overview of the existing evidence on the management of diverticular disease, primarily as a guidance to surgeons. METHODS: The guideline was developed during several working phases including three voting rounds and one consensus meeting. The two project leads (JKS and EA) appointed by the ESCP guideline committee together with one member of the guideline committee (WB) agreed on the methodology, decided on six themes for working groups (WGs) and drafted a list of research questions. Senior WG members, mostly colorectal surgeons within the ESCP, were invited based on publication records and geographical aspects. Other specialties were included in the WGs where relevant. In addition, one trainee or PhD fellow was invited in each WG. All six WGs revised the research questions if necessary, did a literature search, created evidence tables where feasible, and drafted supporting text to each research question and statement. The text and statement proposals from each WG were arranged as one document by the first and last authors before online voting by all authors in two rounds. For the second voting ESCP national representatives were also invited. More than 90% agreement was considered a consensus. The final phrasing of the statements with &lt; 90% agreement was discussed in a consensus meeti</w:t>
      </w:r>
    </w:p>
    <w:p>
      <w:pPr/>
      <w:r>
        <w:rPr>
          <w:b/>
        </w:rPr>
        <w:t>POSSIBLE 2019:</w:t>
      </w:r>
      <w:r>
        <w:t xml:space="preserve"> Just Europe — https://doi.org/10.1111/papa.12133</w:t>
      </w:r>
    </w:p>
    <w:p>
      <w:pPr/>
      <w:r>
        <w:rPr>
          <w:b/>
        </w:rPr>
        <w:t>Shared claim-specific concepts:</w:t>
      </w:r>
      <w:r>
        <w:t xml:space="preserve"> project, three, understanding; EU scope visible. This is a provisional connection, not an outcome finding.</w:t>
      </w:r>
    </w:p>
    <w:p>
      <w:pPr>
        <w:pStyle w:val="SourceNote"/>
      </w:pPr>
      <w:r>
        <w:rPr>
          <w:b/>
        </w:rPr>
        <w:t>Available abstract (not full text):</w:t>
      </w:r>
      <w:r>
        <w:t xml:space="preserve"> In a letter written in 1998, John Rawls invites Europeans to give up the project of constructing a federal union that would make Europe more like the United States. This invitation is consistent with the approach to justice he developed in The Law of Peoples. By contrast, both Thomas Nagel’s approach and an understanding of social justice as global justice lead to a more ambitious interpretation of the demands of distributive justice within the European Union that calls for the pursuit of European integration. Further integration of the required sort would need to make European institutions more like those of the United States in three respects: a transfer union, a common electoral space, a shared language. However, given the trap, insightfully anticipated by Friedrich Hayek, in which the European Union finds itself today, even those inclined to adopt Rawls’s approach to justice may be well advised to opt for a similar strategy.</w:t>
      </w:r>
    </w:p>
    <w:p>
      <w:pPr/>
      <w:r>
        <w:rPr>
          <w:b/>
        </w:rPr>
        <w:t>POSSIBLE 2018:</w:t>
      </w:r>
      <w:r>
        <w:t xml:space="preserve"> The Feminist Project under Threat in Europe — https://doi.org/10.17645/pag.v6i3.1736</w:t>
      </w:r>
    </w:p>
    <w:p>
      <w:pPr/>
      <w:r>
        <w:rPr>
          <w:b/>
        </w:rPr>
        <w:t>Shared claim-specific concepts:</w:t>
      </w:r>
      <w:r>
        <w:t xml:space="preserve"> project, three, understanding; EU scope visible. This is a provisional connection, not an outcome finding.</w:t>
      </w:r>
    </w:p>
    <w:p>
      <w:pPr>
        <w:pStyle w:val="SourceNote"/>
      </w:pPr>
      <w:r>
        <w:rPr>
          <w:b/>
        </w:rPr>
        <w:t>Available abstract (not full text):</w:t>
      </w:r>
      <w:r>
        <w:t xml:space="preserve"> Is the feminist project under threat in Europe? This thematic issue addresses the question in both theoretical and empirical ways, focusing on the various ways in which feminist politics are opposed and why, on what the impact of such opposition is, and how to improve our theoretical understanding of this particular manifestation of gender and politics. The issue addresses three major challenges: a need to reflect on the most suited concepts and theories in political and social sciences to understand what is at stake in Europe today; a need to vernacularize existing knowledge while forging global frames of analysis; and a need to avoid the risk of reifying oppositional forces and of reiterating dichotomous frames and categories. The responses to these challenges are: to analyse the threats to the feminist project as parts of larger projects against social justice and equality; to contrast macro narratives by engaging with the microlevel of the anti-feminist project, enabling a critique of mainstream scholarship; to analyse the threats to the feminist project as related to processes of changes to democracy, such as democratic backsliding; to give prominent attention to discursive, epistemic and symbolic processes; and finally to include studies on the response of feminist actors to the threats experienced. This collection of articles offers a variety of perspectives on the vario</w:t>
      </w:r>
    </w:p>
    <w:p>
      <w:pPr/>
      <w:r>
        <w:rPr>
          <w:b/>
        </w:rPr>
        <w:t>POSSIBLE 2018:</w:t>
      </w:r>
      <w:r>
        <w:t xml:space="preserve"> Adaptability and reproducibility of a memory disruption rTMS protocol in the PharmaCog IMI European project — https://doi.org/10.1038/s41598-018-27502-1</w:t>
      </w:r>
    </w:p>
    <w:p>
      <w:pPr/>
      <w:r>
        <w:rPr>
          <w:b/>
        </w:rPr>
        <w:t>Shared claim-specific concepts:</w:t>
      </w:r>
      <w:r>
        <w:t xml:space="preserve"> project, invited, three; EU scope visible. This is a provisional connection, not an outcome finding.</w:t>
      </w:r>
    </w:p>
    <w:p>
      <w:pPr>
        <w:pStyle w:val="SourceNote"/>
      </w:pPr>
      <w:r>
        <w:rPr>
          <w:b/>
        </w:rPr>
        <w:t>Available abstract (not full text):</w:t>
      </w:r>
      <w:r>
        <w:t xml:space="preserve"> Transcranial magnetic stimulation (TMS) can interfere with cognitive processes, such as transiently impairing memory. As part of a multi-center European project, we investigated the adaptability and reproducibility of a previously published TMS memory interfering protocol in two centers using EEG or fMRI scenarios. Participants were invited to attend three experimental sessions on different days, with sham repetitive TMS (rTMS) applied on day 1 and real rTMS on days 2 and 3. Sixty-eight healthy young men were included. On each experimental day, volunteers were instructed to remember visual pictures while receiving neuronavigated rTMS trains (20 Hz, 900 ms) during picture encoding at the left dorsolateral prefrontal cortex (L-DLPFC) and the vertex. Mixed ANOVA model analyses were performed. rTMS to the L-DLPFC significantly disrupted recognition memory on experimental day 2. No differences were found between centers or between fMRI and EEG recordings. Subjects with lower baseline memory performances were more susceptible to TMS disruption. No stability of TMS-induced memory interference could be demonstrated on day 3. Our data suggests that adapted cognitive rTMS protocols can be implemented in multi-center studies incorporating standardized experimental procedures. However, our center and modality effects analyses lacked sufficient statistical power, hence highlighting the need</w:t>
      </w:r>
    </w:p>
    <w:p>
      <w:pPr>
        <w:pStyle w:val="Heading2"/>
      </w:pPr>
      <w:r>
        <w:t>948.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2023:</w:t>
      </w:r>
      <w:r>
        <w:t xml:space="preserve"> Interaction of subjects of the educational Process with the help of a Foresight Project — https://doi.org/10.7256/2454-0676.2023.2.38619</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pPr/>
      <w:r>
        <w:rPr>
          <w:b/>
        </w:rPr>
        <w:t>POSSIBLE 2022:</w:t>
      </w:r>
      <w:r>
        <w:t xml:space="preserve"> Disaster Risk Financing systems for fluvial flood risk in Democratic Republic of Congo and Pakistan — https://doi.org/10.5194/egusphere-egu22-8204</w:t>
      </w:r>
    </w:p>
    <w:p>
      <w:pPr/>
      <w:r>
        <w:rPr>
          <w:b/>
        </w:rPr>
        <w:t>Shared claim-specific concepts:</w:t>
      </w:r>
      <w:r>
        <w:t xml:space="preserve"> foresight, flooding, flood, national, assessment; EU scope not established. This is a provisional connection, not an outcome finding.</w:t>
      </w:r>
    </w:p>
    <w:p>
      <w:pPr>
        <w:pStyle w:val="SourceNote"/>
      </w:pPr>
      <w:r>
        <w:rPr>
          <w:b/>
        </w:rPr>
        <w:t>Available abstract (not full text):</w:t>
      </w:r>
      <w:r>
        <w:t xml:space="preserve"> Flood Foresight is JBA’s strategic flood forecasting system, providing flood inundation and depth estimates at 30m resolution up to 10-days ahead of fluvial flood events. The system is globally scalable and recent projects have seen the Forecasting module provide forecast flood footprints in Democratic Republic of Congo, Myanmar and the Indus River basin in Pakistan. Data produced by these systems are being used for a variety of purposes including informing humanitarian anticipatory actions, parametric insurance and disaster risk financing. This presentation will explore the use of Flood Foresight in Democratic Republic of Congo and Pakistan for the purposes of humanitarian disaster risk financing and demonstrate the benefits to this user community in otherwise data sparse regions. Disaster Risk Financing (DRF) programmes are being developed for the Democratic Republic of Congo and Pakistan and are designed to allow civil society actors in country to proactively manage disaster risks. By quantifying risks in advance of disasters, pre-positioning funds, and releasing them according to pre-agreed plans, the user community are better placed to enable early disaster relief actions to help reduce the human and economic costs of disasters. In both Democratic Republic of Congo and Pakistan, JBA were tasked with developing an operational fluvial flood forecasting model which can, at le</w:t>
      </w:r>
    </w:p>
    <w:p>
      <w:pPr/>
      <w:r>
        <w:rPr>
          <w:b/>
        </w:rPr>
        <w:t>POSSIBLE 2022:</w:t>
      </w:r>
      <w:r>
        <w:t xml:space="preserve"> Foresight Research as а Strategic Planning Component — https://doi.org/10.37491/unz.85-86.15</w:t>
      </w:r>
    </w:p>
    <w:p>
      <w:pPr/>
      <w:r>
        <w:rPr>
          <w:b/>
        </w:rPr>
        <w:t>Shared claim-specific concepts:</w:t>
      </w:r>
      <w:r>
        <w:t xml:space="preserve"> purpose, foresight, national; EU scope not established. This is a provisional connection, not an outcome finding.</w:t>
      </w:r>
    </w:p>
    <w:p>
      <w:pPr>
        <w:pStyle w:val="SourceNote"/>
      </w:pPr>
      <w:r>
        <w:rPr>
          <w:b/>
        </w:rPr>
        <w:t>Available abstract (not full text):</w:t>
      </w:r>
      <w:r>
        <w:t xml:space="preserve"> An important component of the state organizational and economic mechanism to promote high-tech production is the presence of a well-established system of strategic planning, which helps to determine the trajectory of long-term changes in technological competitiveness. Creating an effective policy framework in the field of science, technology and innovation (STI), its planning is an important element of a sustainable policy system. Roadmaps, on the basis of which development strategies and plans for achieving the set goals are developed, are a modern tool of strategic planning, in particular in the field of STI. From the point of view of economic and social management, the technological foresight, as an element of the roadmap, provides the basis for the decision-making process on science and innovation by identifying key long-term prospects for science, technology, innovation and long-term investment in STI. Foresight outlines future priorities for science and innovation, focusing on various aspects of projected change. Prediction is not the same as forecasting. While forecasting tries to predict a single «correct» version of the future, Forsythe uses several alternative plausible futures based on their usefulness to develop sound, forward-looking policies. The object of research of this work is the roadmap of science, technology, innovation (STI), as a tool for strategic planni</w:t>
      </w:r>
    </w:p>
    <w:p>
      <w:pPr/>
      <w:r>
        <w:rPr>
          <w:b/>
        </w:rPr>
        <w:t>POSSIBLE 2020:</w:t>
      </w:r>
      <w:r>
        <w:t xml:space="preserve"> Marine Foresight Study — https://openalex.org/W3147024838</w:t>
      </w:r>
    </w:p>
    <w:p>
      <w:pPr/>
      <w:r>
        <w:rPr>
          <w:b/>
        </w:rPr>
        <w:t>Shared claim-specific concepts:</w:t>
      </w:r>
      <w:r>
        <w:t xml:space="preserve"> foresight, government, national; EU scope visible. This is a provisional connection, not an outcome finding.</w:t>
      </w:r>
    </w:p>
    <w:p>
      <w:pPr>
        <w:pStyle w:val="SourceNote"/>
      </w:pPr>
      <w:r>
        <w:rPr>
          <w:b/>
        </w:rPr>
        <w:t>Available abstract (not full text):</w:t>
      </w:r>
      <w:r>
        <w:t xml:space="preserve"> Ireland is experiencing a period of major change in terms of the legal and policy framework for marine decision-making, the political and socio-economic context for marine activities, the influence of technological change on marine activities and resultant societal impacts.Furthermore, increased awareness of the marine environment by the general public, owed to increased education and increased access to resources, as envisaged by the previous Integrated Marine Plan for Ireland, Harnessing Our Ocean Wealth (HOOW), continues to provide increased engagement with marine issues.Ireland is beginning the process of developing a successor to HOOW, and this foresight study seeks to support that process.The study has reviewed existing information, both in relation to past and current trends and potential future changes, in seeking to identify the key drivers of change across social, technological, economic, environmental and political topics.The results of the study are captured in an Evidence Database and summary report.This report was initially prepared while government formation talks were ongoing.It has been updated to reflect the Programme for Government (PfG) (Government of Ireland, 2020) which sets out a new vision for Ireland, incorporating a strategy for recovery and rebuilding in the period during and after the COVID-19 emergency.This includes many elements which relate to mar</w:t>
      </w:r>
    </w:p>
    <w:p>
      <w:pPr/>
      <w:r>
        <w:rPr>
          <w:b/>
        </w:rPr>
        <w:t>POSSIBLE 2019:</w:t>
      </w:r>
      <w:r>
        <w:t xml:space="preserve"> Horizon Scanning in Foresight – Why Horizon Scanning is only a part of the game — https://doi.org/10.1002/ffo2.23</w:t>
      </w:r>
    </w:p>
    <w:p>
      <w:pPr/>
      <w:r>
        <w:rPr>
          <w:b/>
        </w:rPr>
        <w:t>Shared claim-specific concepts:</w:t>
      </w:r>
      <w:r>
        <w:t xml:space="preserve"> foresight, national, backed; EU scope visible. This is a provisional connection, not an outcome finding.</w:t>
      </w:r>
    </w:p>
    <w:p>
      <w:pPr>
        <w:pStyle w:val="SourceNote"/>
      </w:pPr>
      <w:r>
        <w:rPr>
          <w:b/>
        </w:rPr>
        <w:t>Available abstract (not full text):</w:t>
      </w:r>
      <w:r>
        <w:t xml:space="preserve">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pPr/>
      <w:r>
        <w:rPr>
          <w:b/>
        </w:rPr>
        <w:t>POSSIBLE 2016:</w:t>
      </w:r>
      <w:r>
        <w:t xml:space="preserve"> NCRR - New Foresight Research Method — https://openalex.org/W2555381373</w:t>
      </w:r>
    </w:p>
    <w:p>
      <w:pPr/>
      <w:r>
        <w:rPr>
          <w:b/>
        </w:rPr>
        <w:t>Shared claim-specific concepts:</w:t>
      </w:r>
      <w:r>
        <w:t xml:space="preserve"> purpose, foresight, project, qualitative; EU scope not established. This is a provisional connection, not an outcome finding.</w:t>
      </w:r>
    </w:p>
    <w:p>
      <w:pPr>
        <w:pStyle w:val="SourceNote"/>
      </w:pPr>
      <w:r>
        <w:rPr>
          <w:b/>
        </w:rPr>
        <w:t>Available abstract (not full text):</w:t>
      </w:r>
      <w:r>
        <w:t xml:space="preserve"> Purpose of the article: Foresight constitutes a tool for building the alternative visions of the future of a studied area. The foresight research projects use both the quantitative and qualitative methods. Despite their broad spectrum, they still lack \nmethods focused on identifying the actions designed to achieve the developed vision of development of the research area. The scientific problem is therefore to determine how and with the use of what tools it is possible to identify priority actions \nultimately enabling the implementation of scenarios of development of the studied area. \nScientific aim: The scientific goal is the development and verification of a new research method allowing for the identification and classification of activities making it possible to achieve the desired visions of the future of the resear area. The verification the new method of research will be conducted on the example of the most probable scenario of the development of tourism in the Podlaskie voivodship in the perspective of the year 2030, developed by a wide circle of experts and stakeholders within the framework of the implementation of the research project Foresight as a tool for improving the management of tourism in the region. \nMethodology/methods: The methods used to achieve the scientific objective involve desk research and the method of logic structure and analysis. The pilot stud</w:t>
      </w:r>
    </w:p>
    <w:p>
      <w:pPr/>
      <w:r>
        <w:rPr>
          <w:b/>
        </w:rPr>
        <w:t>POSSIBLE 2016:</w:t>
      </w:r>
      <w:r>
        <w:t xml:space="preserve"> THE APPLICATION OF FORESIGHT PROJECTS IN FORMATION OF TECHNOLOGICAL COMPANIES’ INNOVATION DEVELOPMENT STRATEGY — https://doi.org/10.18184/2079-4665.2016.7.4.108.114</w:t>
      </w:r>
    </w:p>
    <w:p>
      <w:pPr/>
      <w:r>
        <w:rPr>
          <w:b/>
        </w:rPr>
        <w:t>Shared claim-specific concepts:</w:t>
      </w:r>
      <w:r>
        <w:t xml:space="preserve"> purpose, foresight, project, national, scientists; EU scope not established. This is a provisional connection, not an outcome finding.</w:t>
      </w:r>
    </w:p>
    <w:p>
      <w:pPr>
        <w:pStyle w:val="SourceNote"/>
      </w:pPr>
      <w:r>
        <w:rPr>
          <w:b/>
        </w:rPr>
        <w:t>Available abstract (not full text):</w:t>
      </w:r>
      <w:r>
        <w:t xml:space="preserve"> In the article is considered the possibility of application of methodology of foresight to the formation of strategy of innovative development of technological companies. The application of existing approaches to defining targets and goals of innovation development does not meet the requirements of the nonlinearity of the modern processes of technological companies’ innovation development. The goals and objectives. The purpose of this article is to study the possibilities of application of methods of foresight in forming of technological companies’ innovation development strategy. To achieve the goal, the author has solved the following problems: considered the interrelationship and interdependence between corporate strategy and technological companies’ innovation development strategy; defined the main problems of formation technological companies’ innovation development strategies; revealed the concept of "foresight" and diff erence in methodology of foresight and traditional forecasting techniques; defined the basic principles of foresight; presents the main stages of the foresight project implementation in technological companies. Research methods. The theoretical basis of the study are the publications of Russian and foreign scientists in the field of formation and development of innovation strategies through the application of foresight methods at the level of national inn</w:t>
      </w:r>
    </w:p>
    <w:p>
      <w:pPr/>
      <w:r>
        <w:rPr>
          <w:b/>
        </w:rPr>
        <w:t>POSSIBLE 2016:</w:t>
      </w:r>
      <w:r>
        <w:t xml:space="preserve"> Foresight Project “Psychological and Pedagogical Educational Platform for Teachers of Professional School” — https://openalex.org/W7139567451</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relevance of the research problem is determined by the need of modernisation of the preparation of teachers for continuing education system and expanding their professional activities. One way to solve this problem the authors see in the development of innovative psychological and pedagogical Platform for educational programs for teachers of vocational and further education. The purpose of this article is to develop a foresight project of variable modular psycho-pedagogical Platform for the implementation of educational programmes that meet the requirements of the professional standard. The methodological basis of the design of the Platform became the conceptual states of professional formation of the personality that defined the panorama of the formation of structural-functional model of the Platform. The leading method of research was the integration of network, process and project approaches. The result of the study was the project of structural-functional model of psychological-pedagogical platform. Its thematic core is the informational and educational content, consisting of four modular substructures: block (invariable), profession-oriented, functional-alternative and instrumental. The Platform model aims to integrate the content of psychologicalpedagogical modules for its implementation by educational technologies, ensuring the formation of interdisciplinary (multi-d</w:t>
      </w:r>
    </w:p>
    <w:p>
      <w:pPr/>
      <w:r>
        <w:rPr>
          <w:b/>
        </w:rPr>
        <w:t>POSSIBLE 2015:</w:t>
      </w:r>
      <w:r>
        <w:t xml:space="preserve"> Wild Cards in Polish Foresight Practice — https://doi.org/10.1016/j.sbspro.2015.11.510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main purpose of the article is to introduce a new methodology for improved intelligence on wild cards (low- predictability, high impact events) identification. The research process embraced such research methods as literature review, survey research, the method of critical analysis and construction identification, and a case study which served as an example of a practical application of the designed methodology A detailed characteristic of the new methodology implementation is presented on the basis of a technology foresight project titled NT FOR Podlaskie 2020. Regional strategy of nanotechnology development. In the course of this project, eight wild cards have been finally indicated (out of 53 suggested by the experts). Their originality, importance, pace of change, range of impact, uncertainty of result and time of occurrence have been evaluated and recommendations for science, business and administration have been made. The methodology may be used as a benchmark of wild cards identification in the strategic management practice.</w:t>
      </w:r>
    </w:p>
    <w:p>
      <w:pPr>
        <w:pStyle w:val="Heading2"/>
      </w:pPr>
      <w:r>
        <w:t>949.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2014:</w:t>
      </w:r>
      <w:r>
        <w:t xml:space="preserve"> Brazil’s Immigrant Song — https://doi.org/10.1177/0740277514564953</w:t>
      </w:r>
    </w:p>
    <w:p>
      <w:pPr/>
      <w:r>
        <w:rPr>
          <w:b/>
        </w:rPr>
        <w:t>Shared claim-specific concepts:</w:t>
      </w:r>
      <w:r>
        <w:t xml:space="preserve"> immigrants; EU scope visible. This is a provisional connection, not an outcome finding.</w:t>
      </w:r>
    </w:p>
    <w:p>
      <w:pPr>
        <w:pStyle w:val="SourceNote"/>
      </w:pPr>
      <w:r>
        <w:rPr>
          <w:b/>
        </w:rPr>
        <w:t>Available abstract (not full text):</w:t>
      </w:r>
      <w:r>
        <w:t xml:space="preserve"> Brasília, Brazil—Sulemana Adamu, 27, was born and lived most of his life in Accra, the capital of Ghana and the 11th largest city in Africa. He used to spend most of his days fixing computers as an IT technician and playing with friends in a drums quartet. Sensing no real opportunity in his country’s decaying economy, Sulemana saved for 18 months, planning a long trip to seek his fortune somewhere else.Shakir Hussain, 29, was born and lived most of his life in Sylhet, a district of Bangladesh surrounded by tea estates with a population of 500,000 inhabitants—a number that scarcely registers in one of the most populous countries on earth. For a while Shakir worked at a phone company, then dropped out to help his father and brother with their small construction business. But money was scarce and when the Bangladesh Awami League arrived in power, political persecution started as well. At the age of 24, Shakir spoke to his parents and, with their financial help, packed his bags for Latin America.Cosme Sousa, 33, was born and lived most of his life in São João do Carú, a town with barely 15,000 inhabitants in Maranhão, one of the poorest states in Brazil, located at its northeastern tip. For eight years he taught geography and history at the local elementary school. The money was never sufficient to support his two children and his wife. With the chance of earning a better income cu</w:t>
      </w:r>
    </w:p>
    <w:p>
      <w:pPr>
        <w:pStyle w:val="Heading2"/>
      </w:pPr>
      <w:r>
        <w:t>950.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2021:</w:t>
      </w:r>
      <w:r>
        <w:t xml:space="preserve"> Who Called Team Europe? The European Union’s Development Policy Response During the First Wave of COVID-19 — https://doi.org/10.1057/s41287-021-00428-7</w:t>
      </w:r>
    </w:p>
    <w:p>
      <w:pPr/>
      <w:r>
        <w:rPr>
          <w:b/>
        </w:rPr>
        <w:t>Shared claim-specific concepts:</w:t>
      </w:r>
      <w:r>
        <w:t xml:space="preserve"> first, context; EU scope visible. This is a provisional connection, not an outcome finding.</w:t>
      </w:r>
    </w:p>
    <w:p>
      <w:pPr>
        <w:pStyle w:val="SourceNote"/>
      </w:pPr>
      <w:r>
        <w:rPr>
          <w:b/>
        </w:rPr>
        <w:t>Available abstract (not full text):</w:t>
      </w:r>
      <w:r>
        <w:t xml:space="preserve"> The COVID-19 pandemic is a critical juncture for global development. Under the label of "Team Europe", the EU has sought to mobilize rapid development assistance to support partners in addressing the impacts of the crisis, while promoting joined-up approaches among European actors to assert itself in a changing and competitive geopolitical context. This article assesses how substantive and process-oriented EU development policy norms are reflected in the Union's global COVID-19 response. Focusing on the EU's response during the first wave of the COVID-19 pandemic in the first half of 2020, the article shows that the EU's response to this extraordinary crisis consisted of a deepening of EU integration. In so doing, the EU emphasized process-oriented over substantive norms in its development policy.</w:t>
      </w:r>
    </w:p>
    <w:p>
      <w:pPr/>
      <w:r>
        <w:rPr>
          <w:b/>
        </w:rPr>
        <w:t>POSSIBLE 2020:</w:t>
      </w:r>
      <w:r>
        <w:t xml:space="preserve"> The issue of so-called hate speech in the context of freedom of speech — https://openalex.org/W7135460664</w:t>
      </w:r>
    </w:p>
    <w:p>
      <w:pPr/>
      <w:r>
        <w:rPr>
          <w:b/>
        </w:rPr>
        <w:t>Shared claim-specific concepts:</w:t>
      </w:r>
      <w:r>
        <w:t xml:space="preserve"> first, so-called, context, describe, relevant, provide; EU scope visible. This is a provisional connection, not an outcome finding.</w:t>
      </w:r>
    </w:p>
    <w:p>
      <w:pPr>
        <w:pStyle w:val="SourceNote"/>
      </w:pPr>
      <w:r>
        <w:rPr>
          <w:b/>
        </w:rPr>
        <w:t>Available abstract (not full text):</w:t>
      </w:r>
      <w:r>
        <w:t xml:space="preserve"> The issue of so called hate speech in the context of freedom of speech Abstract This thesis titled The issue of so-called hate speech in the context of freedom of speech deals with the legal regulation of hate speech at the international and national level. The thesis contains a comprehensive analysis of legal instruments regulating hate speech in civil, anti-discrimination, administrative and criminal law. This thesis combines the theoretical basis of hate speech regulation with practical knowledge about the applicability of individual legal norms and is supplemented by relevant case law of the Czech courts and the European Court of Human Rights. The aim of this work is to describe the phenomenon of hate speech, provide an analysis of legal instruments regulating hate speech and also to analyse legal arguments for hate speech regulation. The thesis attempts to find the boundary between protected speech and speech that is unprotected by the international and constitutional framework of freedom of speech protection, by means of an analysis of individual court decisions. The thesis also contains a critical reflection of the current legal framework of hate speech regulation and suggests possible variants of legislative changes in the future. The thesis is structured into five chapters. The first part...</w:t>
      </w:r>
    </w:p>
    <w:p>
      <w:pPr/>
      <w:r>
        <w:rPr>
          <w:b/>
        </w:rPr>
        <w:t>POSSIBLE 2020:</w:t>
      </w:r>
      <w:r>
        <w:t xml:space="preserve"> Awareness of Spitzenkandidaten in the 2019 European elections: The effects of news exposure in domestic campaign contexts — https://doi.org/10.1177/2053168020915332</w:t>
      </w:r>
    </w:p>
    <w:p>
      <w:pPr/>
      <w:r>
        <w:rPr>
          <w:b/>
        </w:rPr>
        <w:t>Shared claim-specific concepts:</w:t>
      </w:r>
      <w:r>
        <w:t xml:space="preserve"> first, so-called, context, relevant, but; EU scope visible. This is a provisional connection, not an outcome finding.</w:t>
      </w:r>
    </w:p>
    <w:p>
      <w:pPr>
        <w:pStyle w:val="SourceNote"/>
      </w:pPr>
      <w:r>
        <w:rPr>
          <w:b/>
        </w:rPr>
        <w:t>Available abstract (not full text):</w:t>
      </w:r>
      <w:r>
        <w:t xml:space="preserve"> With the introduction of the so-called Spitzenkandidaten procedure, by which European party families nominate lead candidates for the post of President of the European Commission for European elections, the European Parliament (EP) sought to raise voter awareness and engagement by personalizing the campaigns. This article studies candidate recognition with respect to Spitzenkandidaten, which is an important prerequisite in the study of personalization effects on voter behaviour. We use novel survey data collected in 10 European countries in the 2019 EP election campaign ( n = 17,027). The article focuses on the role of voters’ news exposure in various media and argues that news exposure is crucial for candidate recognition, but its effect is contingent upon the domestic campaign context. The article is the first to show that the campaign context matters to the extent that news exposure is particularly relevant in those domestic contexts in which Spitzenkandidaten were not previously present. In other campaign contexts additional news exposure adds little to the effect of news exposure on candidate recognition. The results have important implications for understanding EP election campaigns.</w:t>
      </w:r>
    </w:p>
    <w:p>
      <w:pPr/>
      <w:r>
        <w:rPr>
          <w:b/>
        </w:rPr>
        <w:t>POSSIBLE 2020:</w:t>
      </w:r>
      <w:r>
        <w:t xml:space="preserve"> Problem of so-called social dumping in EU law — https://openalex.org/W7135789766</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Problem of so-called social dumping in EU law Abstract Social dumping in EU law is becoming an increasingly pressing problem. Due to the creation of the EU internal market and the accession of the new Member States, in particular southern and eastern Europe, social dumping is occurring in many forms in the European Union. Is it possible to prevent social dumping, or by what means can it be minimized? This diploma thesis in its first chapter deals with the definition of social dumping in EU law in general, focusing on social dumping in the form of so-called regulatory arbitrage, both theoretically and practically. In the second chapter, the author presents the development of social policy in the context of the EU internal market, since the interaction between the economic and social objectives of European integration is crucial for the existence of social dumping. This chapter is followed by the case law of the Court of Justice of the European Union in Rush Portuguesa, Viking Line, Laval, Rüffert and Commission v. Luxembourg, which concerns a conflict of fundamental freedoms and fundamental social rights. This chapter discusses how the Court of Justice of the European Union decides in the event of a conflict of these rights. Furthermore, that case-law has a considerable impact on the interpretation of the...</w:t>
      </w:r>
    </w:p>
    <w:p>
      <w:pPr/>
      <w:r>
        <w:rPr>
          <w:b/>
        </w:rPr>
        <w:t>POSSIBLE 2019:</w:t>
      </w:r>
      <w:r>
        <w:t xml:space="preserve"> Social enterprises and their ecosystems in Europe — https://doi.org/10.2767/330252</w:t>
      </w:r>
    </w:p>
    <w:p>
      <w:pPr/>
      <w:r>
        <w:rPr>
          <w:b/>
        </w:rPr>
        <w:t>Shared claim-specific concepts:</w:t>
      </w:r>
      <w:r>
        <w:t xml:space="preserve"> context, but;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2018:</w:t>
      </w:r>
      <w:r>
        <w:t xml:space="preserve"> East Central Europe in the First Globalization (1850-1914) — https://doi.org/10.2478/sho-2018-0004</w:t>
      </w:r>
    </w:p>
    <w:p>
      <w:pPr/>
      <w:r>
        <w:rPr>
          <w:b/>
        </w:rPr>
        <w:t>Shared claim-specific concepts:</w:t>
      </w:r>
      <w:r>
        <w:t xml:space="preserve"> first, so-called, context, different, developments, but; EU scope visible. This is a provisional connection, not an outcome finding.</w:t>
      </w:r>
    </w:p>
    <w:p>
      <w:pPr>
        <w:pStyle w:val="SourceNote"/>
      </w:pPr>
      <w:r>
        <w:rPr>
          <w:b/>
        </w:rPr>
        <w:t>Available abstract (not full text):</w:t>
      </w:r>
      <w:r>
        <w:t xml:space="preserve"> Summary The article analyzes the position and the positioning strategy of East Central Europe in the so-called “first globalization (1850-1914)”. The focus is on foreign trade and the transfer of the two most important production factors, i.e. capital and labor. East Central Europe included in this period the territories of the Habsburg Monarchy, the Kingdom of Poland as a part of the Russian Empire, and the eastern provinces of the Kingdom of Prussia which were from 1871 onwards part of the German Reich. The article combines the theories and methods of economic history and transnational history. It sees itself as a contribution to a trans-regional history of East Central Europe by analyzing first the main “flows” and then the influence of “controls”. The article analyzes to what extent and in what way East Central Europe was involved in the globalization processes of the late 19 th century. It discusses whether East Central Europe was only the object of global developments or even shaped them. In this context it asks about the role of the empires (Habsburg monarchy, German Reich, Russia) for the position of East Central European economies in the world economy. It shows that the economic elites in the centers but also on the edges of the empires developed different strategies for how to respond to the challenges of globalization.</w:t>
      </w:r>
    </w:p>
    <w:p>
      <w:pPr/>
      <w:r>
        <w:rPr>
          <w:b/>
        </w:rPr>
        <w:t>POSSIBLE 2018:</w:t>
      </w:r>
      <w:r>
        <w:t xml:space="preserve"> Administrative Justice in the CSR in the Years 1918 - 1938 within European context — https://openalex.org/W7135476898</w:t>
      </w:r>
    </w:p>
    <w:p>
      <w:pPr/>
      <w:r>
        <w:rPr>
          <w:b/>
        </w:rPr>
        <w:t>Shared claim-specific concepts:</w:t>
      </w:r>
      <w:r>
        <w:t xml:space="preserve"> first, so-called, context, but; EU scope visible. This is a provisional connection, not an outcome finding.</w:t>
      </w:r>
    </w:p>
    <w:p>
      <w:pPr>
        <w:pStyle w:val="SourceNote"/>
      </w:pPr>
      <w:r>
        <w:rPr>
          <w:b/>
        </w:rPr>
        <w:t>Available abstract (not full text):</w:t>
      </w:r>
      <w:r>
        <w:t xml:space="preserve"> Administrative Justice in the CSR in the Years 1918 - 1938 within European context. For my thesis I chose as a topic 'Administrative Justice in the CSR in the Years 1918 - 1938 within European Context', as administrative justice including the protection against illegal interventions of executive power is topical for any democratic state at any time. The purpose of administrative justice is reviewing administrative acts of public administration namely by independent courts. I decided to target my thesis on the period of so-called first republic thus on the period from 28 October 1918 i.e. from establishing the independent Czechoslovak state to 30 September 1938, i.e. the signing of the Munich agreement. After establishing the independent Czechoslovak state The Act on the Supreme Administrative Court and on Solving Competence Litigations was one of the first acts passed by the National Czechoslovak Committee. This year i.e. in 2018 it has been 100 years since constituting administrative justice in the Czechoslovak Republic. However, when the Czechoslovak Republic came into being administrative justice was not formed from scratch, but by the above mentioned Act on Administrative Justice and Solving Competence Litigations Austrian administrative justice was adopted. During the first republic, however,...</w:t>
      </w:r>
    </w:p>
    <w:p>
      <w:pPr/>
      <w:r>
        <w:rPr>
          <w:b/>
        </w:rPr>
        <w:t>POSSIBLE 2018:</w:t>
      </w:r>
      <w:r>
        <w:t xml:space="preserve"> Drivers of Irrational Use of Antibiotics in Europe — https://doi.org/10.3390/ijerph16010027</w:t>
      </w:r>
    </w:p>
    <w:p>
      <w:pPr/>
      <w:r>
        <w:rPr>
          <w:b/>
        </w:rPr>
        <w:t>Shared claim-specific concepts:</w:t>
      </w:r>
      <w:r>
        <w:t xml:space="preserve"> describe, relevant, provide; EU scope visible. This is a provisional connection, not an outcome finding.</w:t>
      </w:r>
    </w:p>
    <w:p>
      <w:pPr>
        <w:pStyle w:val="SourceNote"/>
      </w:pPr>
      <w:r>
        <w:rPr>
          <w:b/>
        </w:rPr>
        <w:t>Available abstract (not full text):</w:t>
      </w:r>
      <w:r>
        <w:t xml:space="preserve"> The unnecessary use of antibiotics and concomitant rapid growth of antibiotic resistance (ABR) is a widely acknowledged threat to global health, development, and sustainability. While the underlying cause of ABR is undoubtedly the overall volume of antibiotic use in general, irrational antibiotic use, which is influenced by several interrelated factors, is a major contributory factor. Here, we aimed to present and describe selected main drivers of irrational use of antibiotics in Europe. We performed a broad search of the current literature in databases such as PubMed, Google Scholar, Cochrane, as well as various institutional websites (World Health Organization, European Observatory, European Commission) to provide a new perspective on selected drivers of irrational antibiotic use in Europe. We also searched for relevant literature using snowballing, i.e., using reference lists of papers to identify additional papers. In this narrative review, we present that major factors among the general public driving antibiotic resistance are lack of public knowledge and awareness, access to antibiotics without prescription and leftover antibiotics, and knowledge attitude and perception of prescribers and dispensers, inadequate medical training, pharmaceutical promotion, lack of rapid and sufficient diagnostic tests, and patient⁻doctor interaction as major factors among healthcare provide</w:t>
      </w:r>
    </w:p>
    <w:p>
      <w:pPr/>
      <w:r>
        <w:rPr>
          <w:b/>
        </w:rPr>
        <w:t>POSSIBLE 2016:</w:t>
      </w:r>
      <w:r>
        <w:t xml:space="preserve"> Partnership Patterns in the United States and across Europe: The Role of Education and Country Context — https://doi.org/10.1093/sf/sow054</w:t>
      </w:r>
    </w:p>
    <w:p>
      <w:pPr/>
      <w:r>
        <w:rPr>
          <w:b/>
        </w:rPr>
        <w:t>Shared claim-specific concepts:</w:t>
      </w:r>
      <w:r>
        <w:t xml:space="preserve"> context, developments, but; EU scope visible. This is a provisional connection, not an outcome finding.</w:t>
      </w:r>
    </w:p>
    <w:p>
      <w:pPr>
        <w:pStyle w:val="SourceNote"/>
      </w:pPr>
      <w:r>
        <w:rPr>
          <w:b/>
        </w:rPr>
        <w:t>Available abstract (not full text):</w:t>
      </w:r>
      <w:r>
        <w:t xml:space="preserve"> Patterns of partnership formation and dissolution are changing dramatically across the Western world. Some scholars have argued that women's trajectories of union formation and dissolution are diverging by education, with the higher educated postponing but eventually marrying and the lower educated more likely to cohabit or divorce if they do marry. At the same time, the variation in partnership behavior has also increased across countries, suggesting that country context plays an important role. Here, we use latent class growth models to compare the educational gradient of partnership trajectories in the United States and 14 countries in Europe and investigate the role of education and country context. Our results indicate a consistent positive educational gradient for partnership patterns showing the postponement of marriage, regardless of whether marriage was preceded by cohabitation, but a less consistent gradient for patterns reflecting long-term cohabitation and union dissolution. Although the US results show evidence of an educational divergence in marriage and union dissolution, the evidence from the other countries is weak. In addition, country context explains more of the variation in class membership than education, with context becoming more important over time. The divergence in behaviors across country contexts suggests that social, cultural, political, and econom</w:t>
      </w:r>
    </w:p>
    <w:p>
      <w:pPr>
        <w:pStyle w:val="Heading2"/>
      </w:pPr>
      <w:r>
        <w:t>951.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r>
        <w:rPr>
          <w:b/>
        </w:rPr>
        <w:t>POSSIBLE 2019:</w:t>
      </w:r>
      <w:r>
        <w:t xml:space="preserve"> Heatwaves, droughts, and fires: Exploring compound and cascading dry hazards at the pan-European scale — https://doi.org/10.1016/j.envint.2019.105276</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pPr/>
      <w:r>
        <w:rPr>
          <w:b/>
        </w:rPr>
        <w:t>POSSIBLE 2017:</w:t>
      </w:r>
      <w:r>
        <w:t xml:space="preserve"> Comparison of four inverse modelling systems applied to the estimation of HFC-125, HFC-134a, and SF 6 emissions over Europe — https://doi.org/10.5194/acp-17-10651-2017</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Abstract. Hydrofluorocarbons (HFCs) are used in a range of industrial applications and have largely replaced previously used gases (CFCs and HCFCs). HFCs are not ozone depleting but have large global warming potentials and are, therefore, reported to the United Nations Framework Convention on Climate Change (UNFCCC). Here, we use four independent inverse models to estimate European emissions of the two HFCs contributing the most to global warming (HFC-134a and HFC-125) and of SF6 for the year 2011. Using an ensemble of inverse models offers the possibility to better understand systematic uncertainties in inversions. All systems relied on the same measurement time series from Jungfraujoch (Switzerland), Mace Head (Ireland), and Monte Cimone (Italy), and the same a priori emissions, but differed in terms of Lagrangian transport model (FLEXPART, NAME), inversion method (Bayesian, Extended Kalman Filter), treatment of background mole fractions, spatial gridding, and a priori uncertainties. The model systems were compared with respect to the ability to reproduce the measurement time series, the spatial distribution of the posterior emissions, uncertainty reductions, and total emissions estimated for selected countries. All systems were able to reproduce the measurement time series very well with prior correlations between 0.5 and 0.9 and posterior correlations being higher by 0.05 t</w:t>
      </w:r>
    </w:p>
    <w:p>
      <w:pPr/>
      <w:r>
        <w:rPr>
          <w:b/>
        </w:rPr>
        <w:t>POSSIBLE 2017:</w:t>
      </w:r>
      <w:r>
        <w:t xml:space="preserve"> BECOMING GENDERED IN EUROPEAN PREHISTORY: WAS NEOLITHIC GENDER FUNDAMENTALLY DIFFERENT? — https://doi.org/10.1017/aaq.2017.54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It is notable how little gender archaeology has been written for the European Neolithic, in contrast to the following Bronze Age. We cannot blame this absence on a lack of empirical data or on archaeologists’ theoretical naïveté. Instead, we argue that this absence reflects the fact that gender in this period was qualitatively different in form from the types of gender that emerged in Europe from about 3000 cal BC onwards; the latter still form the norm in European and American contexts today, and our standard theories and methodologies are designed to uncover this specific form of gender. In Bronze Age gender systems, gender was mostly binary, associated with stable, lifelong identities expressed in recurrent complexes of gendered symbolism. In contrast, Neolithic gender appears to have been less firmly associated with personal identity and more contextually relevant; it slips easily through our methodological nets. In proposing this “contextual gender” model for Neolithic gender, we both open up new understandings of gender in the past and present and pose significant questions for our models of gender more widely.</w:t>
      </w:r>
    </w:p>
    <w:p>
      <w:pPr/>
      <w:r>
        <w:rPr>
          <w:b/>
        </w:rPr>
        <w:t>POSSIBLE 2016:</w:t>
      </w:r>
      <w:r>
        <w:t xml:space="preserve"> Evaluation of European air quality modelled by CAMx including the volatility basis set scheme — https://doi.org/10.5194/acp-16-10313-2016</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pPr/>
      <w:r>
        <w:rPr>
          <w:b/>
        </w:rPr>
        <w:t>POSSIBLE 2016:</w:t>
      </w:r>
      <w:r>
        <w:t xml:space="preserve"> Hepatitis E Seroprevalence in Europe: A Meta-Analysis — https://doi.org/10.3390/v8080211</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UNLABELLED: There have been large numbers of studies on anti-HEV IgG seroprevalence in Europe, however, the results of these studies have produced high variability of seroprevalence rates, making interpretation increasingly problematic. Therefore, the aim of this study was to develop a clearer understanding of anti-HEV IgG seroprevalence in Europe and identify risk groups for HEV exposure by a meta-analysis of published studies. METHODS: All European HEV-seroprevalence studies from 2003 to 2015 were reviewed. Data were stratified by assay, geographical location, and patient cohort (general population, patients with HIV, solid-organ transplant recipients, chronic liver disease patients, and individuals in contact with swine/wild animals). Data were pooled using a mixed-effects model. RESULTS: Four hundred thirty-two studies were initially identified, of which 73 studies were included in the analysis. Seroprevalence estimates ranged from 0.6% to 52.5%, increased with age, but were unrelated to gender. General population seroprevalence varied depending on assays: Wantai (WT): 17%, Mikrogen (MG): 10%, MP-diagnostics (MP): 7%, DiaPro: 4%, Abbott 2%. The WT assay reported significantly higher seroprevalence rates across all cohorts (p &lt; 0.001). Individuals in contact with swine/wild animals had significantly higher seroprevalence rates than the general population, irrespective of ass</w:t>
      </w:r>
    </w:p>
    <w:p>
      <w:pPr>
        <w:pStyle w:val="Heading2"/>
      </w:pPr>
      <w:r>
        <w:t>952.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r>
        <w:rPr>
          <w:b/>
        </w:rPr>
        <w:t>POSSIBLE 2022:</w:t>
      </w:r>
      <w:r>
        <w:t xml:space="preserve"> Retreat of Major European Tree Species Distribution under Climate Change—Minor Natives to the Rescue? — https://doi.org/10.3390/su14095213</w:t>
      </w:r>
    </w:p>
    <w:p>
      <w:pPr/>
      <w:r>
        <w:rPr>
          <w:b/>
        </w:rPr>
        <w:t>Shared claim-specific concepts:</w:t>
      </w:r>
      <w:r>
        <w:t xml:space="preserve"> minor, climate, use; EU scope visible. This is a provisional connection, not an outcome finding.</w:t>
      </w:r>
    </w:p>
    <w:p>
      <w:pPr>
        <w:pStyle w:val="SourceNote"/>
      </w:pPr>
      <w:r>
        <w:rPr>
          <w:b/>
        </w:rPr>
        <w:t>Available abstract (not full text):</w:t>
      </w:r>
      <w:r>
        <w:t xml:space="preserve"> Climate change is projected to trigger strong declines in the potential distribution of major tree species in Europe. While minor natives have moved into the spotlight as alternatives, their ecology is often poorly understood. We use an ensemble species distribution modelling approach on a set of promising native tree species to gain insights into their distribution potential under different climate change scenarios. Moreover, we identify the urgency and potential of altered species distributions in favor of minor natives by comparing the niche dynamics of five major native tree species with the set of six minor natives in a case study. Our models project stark range contractions and range shifts among major tree species, strongly amplified under high emission scenarios. Abies alba, Picea abies and Fagus sylvatica are affected the strongest. While also experiencing range shifts, the minor European natives Castanea sativa, Sorbus torminalis, and Ulmus laevis all considerably expand their range potential across climate change scenarios. Accompanied by Carpinus betulus, with a stable range size, they hold the potential to substantially contribute to sustainably adapting European forest to climate change.</w:t>
      </w:r>
    </w:p>
    <w:p>
      <w:pPr/>
      <w:r>
        <w:rPr>
          <w:b/>
        </w:rPr>
        <w:t>POSSIBLE 2022:</w:t>
      </w:r>
      <w:r>
        <w:t xml:space="preserve"> Modelling site response at regional scale for the 2020 European Seismic Risk Model (ESRM20) — https://doi.org/10.1007/s10518-022-01526-5</w:t>
      </w:r>
    </w:p>
    <w:p>
      <w:pPr/>
      <w:r>
        <w:rPr>
          <w:b/>
        </w:rPr>
        <w:t>Shared claim-specific concepts:</w:t>
      </w:r>
      <w:r>
        <w:t xml:space="preserve"> compared, order, determine; EU scope visible. This is a provisional connection, not an outcome finding.</w:t>
      </w:r>
    </w:p>
    <w:p>
      <w:pPr>
        <w:pStyle w:val="SourceNote"/>
      </w:pPr>
      <w:r>
        <w:rPr>
          <w:b/>
        </w:rPr>
        <w:t>Available abstract (not full text):</w:t>
      </w:r>
      <w:r>
        <w:t xml:space="preserve"> Abstract Quantitative estimation of seismic risk over a region requires both an underlying probabilistic seismic hazard model and a means to characterise shallow site response over a large scale. The 2020 European Seismic Risk Model (ESRM20) builds on the 2020 European Seismic Hazard Model (ESHM20), requiring additional information to firstly parameterise the local site condition across all of Europe, and subsequently determine its influence on the prediction of seismic ground motion. Initially, a harmonised digital geological database for Europe is compiled, alongside a model of topographic/bathymetric elevation and a database of 30 m averaged shearwave velocity measurements ( $$V_{S30}$$ VS30 ), in order to produce separate 30 arc-second maps of inferred $$V_{S30}$$ VS30 based on topography and on geology. We then capitalise on a large database of seismic recording stations in Europe for which site-to-site ground motion residuals ( $$\delta S2S_{S}$$ δS2SS ) have been determined with respect to the shallow crustal ground motion model used in the ESHM20. These residuals allow us to incorporate site amplification functions into the European GMM calibrated upon either observed or inferred $$V_{S30}$$ VS30 , or on the European geology and topography models. We present the resulting pan-European seismic site amplification model and assess its impact on seismic hazard and risk comp</w:t>
      </w:r>
    </w:p>
    <w:p>
      <w:pPr/>
      <w:r>
        <w:rPr>
          <w:b/>
        </w:rPr>
        <w:t>POSSIBLE 2022:</w:t>
      </w:r>
      <w:r>
        <w:t xml:space="preserve"> Modeling and Simulation of Household Appliances Power Consumption — https://doi.org/10.3390/app12073689</w:t>
      </w:r>
    </w:p>
    <w:p>
      <w:pPr/>
      <w:r>
        <w:rPr>
          <w:b/>
        </w:rPr>
        <w:t>Shared claim-specific concepts:</w:t>
      </w:r>
      <w:r>
        <w:t xml:space="preserve"> increase, power, consumption, compared, levels, electricity; EU scope not established. This is a provisional connection, not an outcome finding.</w:t>
      </w:r>
    </w:p>
    <w:p>
      <w:pPr>
        <w:pStyle w:val="SourceNote"/>
      </w:pPr>
      <w:r>
        <w:rPr>
          <w:b/>
        </w:rPr>
        <w:t>Available abstract (not full text):</w:t>
      </w:r>
      <w:r>
        <w:t xml:space="preserve"> The consumption of household appliances tends to increase. Therefore, the application of energy efficiency measurements is urgently needed to reduce the levels of power consumption. Over the last years, various methods have been used to predict household electricity consumption. As a novelty, this paper proposed a method of predicting the consumption of household appliances by evaluating statistical distributions (Kolmogorov–Smirnov Test and Pearson’s X2 test). To test the veracity of the evaluations, first, a set of random values was simulated for each hour, and their respective averages were calculated. These were compared with the averages of the real values for each hour. With the exception of HVAC during working days, great results were obtained. For the refrigerator, the maximum error was 3.91%, while for the lighting, it was 4.27%. At the point of consumption, the accuracy was even higher, with an error of 1.17% for the dryer while for the washing machine and dishwasher, their minimum errors were less than 1%. The error results confirm that the applied methodology is perfectly acceptable for modeling household appliance consumption and consequently predicting it. However, these consumptions can be only extrapolated to dwellings with similar surface areas and habitats.</w:t>
      </w:r>
    </w:p>
    <w:p>
      <w:pPr/>
      <w:r>
        <w:rPr>
          <w:b/>
        </w:rPr>
        <w:t>POSSIBLE 2022:</w:t>
      </w:r>
      <w:r>
        <w:t xml:space="preserve"> Dynamic Process Modeling of Topside Systems for Evaluating Power Consumption and Possibilities of Using Wind Power — https://doi.org/10.3390/en15249482</w:t>
      </w:r>
    </w:p>
    <w:p>
      <w:pPr/>
      <w:r>
        <w:rPr>
          <w:b/>
        </w:rPr>
        <w:t>Shared claim-specific concepts:</w:t>
      </w:r>
      <w:r>
        <w:t xml:space="preserve"> power, consumption, use; EU scope not established. This is a provisional connection, not an outcome finding.</w:t>
      </w:r>
    </w:p>
    <w:p>
      <w:pPr>
        <w:pStyle w:val="SourceNote"/>
      </w:pPr>
      <w:r>
        <w:rPr>
          <w:b/>
        </w:rPr>
        <w:t>Available abstract (not full text):</w:t>
      </w:r>
      <w:r>
        <w:t xml:space="preserve"> Norwegian offshore wind farms may be able to supply power to offshore oil and gas platforms in the near future thanks to the expeditious development of offshore wind technology. This would result in a reduction in CO2 emissions from oil and gas offshore installations, which are currently powered predominantly by gas turbines. The challenge with using wind power is that offshore oil and gas installations require a fairly constant and stable source of power, whereas wind power typically exhibits significant fluctuations over time. The purpose of this study is to perform a technical feasibility evaluation of using wind power to supply an offshore oil and gas installation on the basis of dynamic process simulations. Throughout the study, only the topside processing system is considered, since it is the most energy-intensive part of an oil and gas facility. An offshore field on the Norwegian Continental Shelf is used as a case study. The results indicate that, when the processing system operates in steady-state conditions, it cannot be powered solely by wind energy, and another power source is required to compensate for low wind power generation intervals. An alternative would be to store wind energy during periods of high generation (e.g., by producing hydrogen or ammonia) and use it during periods of low generation. Utilizing energy storage methods, wind energy can be continuously</w:t>
      </w:r>
    </w:p>
    <w:p>
      <w:pPr/>
      <w:r>
        <w:rPr>
          <w:b/>
        </w:rPr>
        <w:t>POSSIBLE 2021:</w:t>
      </w:r>
      <w:r>
        <w:t xml:space="preserve"> Current and projected regional economic impacts of heatwaves in Europe — https://doi.org/10.1038/s41467-021-26050-z</w:t>
      </w:r>
    </w:p>
    <w:p>
      <w:pPr/>
      <w:r>
        <w:rPr>
          <w:b/>
        </w:rPr>
        <w:t>Shared claim-specific concepts:</w:t>
      </w:r>
      <w:r>
        <w:t xml:space="preserve"> increase, current, compared;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2021:</w:t>
      </w:r>
      <w:r>
        <w:t xml:space="preserve"> Climate model projections from the Scenario Model Intercomparison Project (ScenarioMIP) of CMIP6 — https://doi.org/10.5194/esd-12-253-2021</w:t>
      </w:r>
    </w:p>
    <w:p>
      <w:pPr/>
      <w:r>
        <w:rPr>
          <w:b/>
        </w:rPr>
        <w:t>Shared claim-specific concepts:</w:t>
      </w:r>
      <w:r>
        <w:t xml:space="preserve"> current, climate, compared; EU scope not established. This is a provisional connection, not an outcome finding.</w:t>
      </w:r>
    </w:p>
    <w:p>
      <w:pPr>
        <w:pStyle w:val="SourceNote"/>
      </w:pPr>
      <w:r>
        <w:rPr>
          <w:b/>
        </w:rPr>
        <w:t>Available abstract (not full text):</w:t>
      </w:r>
      <w:r>
        <w:t xml:space="preserve"> Abstract. The Scenario Model Intercomparison Project (ScenarioMIP) defines and coordinates the primary future climate projections within the Coupled Model Intercomparison Project Phase 6 (CMIP6). This paper presents a range of its outcomes by synthesizing results from the participating global coupled Earth system models for concentration driven simulations. We limit our scope to the analysis of strictly geophysical outcomes: mainly global averages and spatial patterns of change for surface air temperature and precipitation. We also compare CMIP6 projections to CMIP5 results, especially for those scenarios that were designed to provide continuity across the CMIP phases, at the same time highlighting important differences in forcing composition, as well as in results. The range of future temperature and precipitation changes by the end of the century encompassing the Tier 1 experiments (SSP1-2.6, SSP2-4.5, SSP3-7.0 and SSP5-8.5) and SSP1-1.9 spans a larger range of outcomes compared to CMIP5, due to higher warming (by 1.15 °C) reached at the upper end of the 5–95 % envelope of the highest scenario, SSP5-8.5. This is due to both the wider range of radiative forcing that the new scenarios cover and to higher climate sensitivities in some of the new models compared to their CMIP5 predecessors. Spatial patterns of change for temperature and precipitation averaged over models and scen</w:t>
      </w:r>
    </w:p>
    <w:p>
      <w:pPr/>
      <w:r>
        <w:rPr>
          <w:b/>
        </w:rPr>
        <w:t>POSSIBLE 2021:</w:t>
      </w:r>
      <w:r>
        <w:t xml:space="preserve"> The European Electricity Market Model EMMA - Model Description — https://openalex.org/W3212963869</w:t>
      </w:r>
    </w:p>
    <w:p>
      <w:pPr/>
      <w:r>
        <w:rPr>
          <w:b/>
        </w:rPr>
        <w:t>Shared claim-specific concepts:</w:t>
      </w:r>
      <w:r>
        <w:t xml:space="preserve"> projects, power, consumption, partial, equilibrium, electricity; EU scope visible. This is a provisional connection, not an outcome finding.</w:t>
      </w:r>
    </w:p>
    <w:p>
      <w:pPr>
        <w:pStyle w:val="SourceNote"/>
      </w:pPr>
      <w:r>
        <w:rPr>
          <w:b/>
        </w:rPr>
        <w:t>Available abstract (not full text):</w:t>
      </w:r>
      <w:r>
        <w:t xml:space="preserve"> The Electricity Market Model EMMA is a techno-economic model of the integrated European power system. It simulates investment, dispatch, and trade, minimizing total costs subject to a large set of technical constraints. In economics terms, it is a partial equilibrium model of the wholesale electricity market. It calculates scenario-based or green-field optima (equilibria) and estimates the corresponding capacity mix as well as hourly prices, generation, storage dispatch, flexible consumption, and cross-border trade for each market area. Technically, EMMA is a linear program, written in GAMS and solved by CPLEX on a desktop computer in about two hours. EMMA has been used for a number of peer-reviewed publications as well as in consulting projects. EMMA is open-source: the model code and input data are freely available under the MIT Software License and the Create Commons BY-SA 4.0 License, respectively, and can be downloaded from https://github.com/emma-model</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pStyle w:val="Heading2"/>
      </w:pPr>
      <w:r>
        <w:t>953.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2023:</w:t>
      </w:r>
      <w:r>
        <w:t xml:space="preserve"> The overlooked contribution of trees outside forests to tree cover and woody biomass across Europe — https://doi.org/10.1126/sciadv.adh4097</w:t>
      </w:r>
    </w:p>
    <w:p>
      <w:pPr/>
      <w:r>
        <w:rPr>
          <w:b/>
        </w:rPr>
        <w:t>Shared claim-specific concepts:</w:t>
      </w:r>
      <w:r>
        <w:t xml:space="preserve"> biomass, stock, high, forests; EU scope visible. This is a provisional connection, not an outcome finding.</w:t>
      </w:r>
    </w:p>
    <w:p>
      <w:pPr>
        <w:pStyle w:val="SourceNote"/>
      </w:pPr>
      <w:r>
        <w:rPr>
          <w:b/>
        </w:rPr>
        <w:t>Available abstract (not full text):</w:t>
      </w:r>
      <w:r>
        <w:t xml:space="preserve"> Abstract Trees are an integral part of almost all European landscapes, but only forest resources are systematically assessed by national inventories, and the extent to which trees in urban and agricultural areas contribute to biomass and carbon stocks at the national level remains largely unknown. Here we make use of nanosatellite imagery to generate canopy cover, height, and above-ground biomass maps for the entire European continent from 3-m resolution imagery. Our country-scale biomass estimates have a systematic bias of only 7.6% (overestimation; R = 0.98) when compared to national inventories of 30 countries, and our new dataset is sufficiently highly resolved spatially to support the inclusion of tree biomass outside forests, which we quantify to 0.8 Pg. Although this represents only 2% of the total European tree biomass on average, large variations between countries are found (for example 10% for UK) and trees in urban areas contribute substantially to national carbon stocks (for example 8% for the Netherlands). The good agreement with national inventory data, the scalability, and the high level of detail across landscapes, including trees outside forests, make our approach attractive for operational implementation to support national carbon stock inventory schemes.</w:t>
      </w:r>
    </w:p>
    <w:p>
      <w:pPr/>
      <w:r>
        <w:rPr>
          <w:b/>
        </w:rPr>
        <w:t>POSSIBLE 2023:</w:t>
      </w:r>
      <w:r>
        <w:t xml:space="preserve"> Global increase in biomass carbon stock dominated by growth of northern young forests over past decade — https://doi.org/10.1038/s41561-023-01274-4</w:t>
      </w:r>
    </w:p>
    <w:p>
      <w:pPr/>
      <w:r>
        <w:rPr>
          <w:b/>
        </w:rPr>
        <w:t>Shared claim-specific concepts:</w:t>
      </w:r>
      <w:r>
        <w:t xml:space="preserve"> biomass, stock, forests, increase;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Allometric relationships between above-ground biomass increment and stand characteristics for crimean pine in Taşköprü, Turkey — https://doi.org/10.1590/01047760202329013169</w:t>
      </w:r>
    </w:p>
    <w:p>
      <w:pPr/>
      <w:r>
        <w:rPr>
          <w:b/>
        </w:rPr>
        <w:t>Shared claim-specific concepts:</w:t>
      </w:r>
      <w:r>
        <w:t xml:space="preserve"> investigated, biomass, increments, one, high, increment; EU scope not established. This is a provisional connection, not an outcome finding.</w:t>
      </w:r>
    </w:p>
    <w:p>
      <w:pPr>
        <w:pStyle w:val="SourceNote"/>
      </w:pPr>
      <w:r>
        <w:rPr>
          <w:b/>
        </w:rPr>
        <w:t>Available abstract (not full text):</w:t>
      </w:r>
      <w:r>
        <w:t xml:space="preserve"> Background: Biomass increment, one of the main components of net primary production (NPP) in forest ecosystems, plays an important role as well as total biomass in the global carbon cycle. In this study, the changes of increments of the above-ground total, stem and branch biomasses depending on stand characteristics (i.e., stand age, stand density, and site index) were investigated, and these relations were modeled for Crimean pine (Pinus nigra J.F.Arnold subsp. pallasiana (Lamb.) Holmboe) stands in Taşköprü region of Türkiye. Data were obtained from 109 sample trees within 74 sample plots representing the wide range of possible stand characteristics. Results: The equations developed for above-ground total, stem and branch biomass increments have quite high coefficients of determination (R 2 =0.784, 0.684 and 0.780, respectively), whereas low root mean square errors (RMSE=0.749, 0.692 and 0.116, respectively). The results indicated that the biomass increment estimates from the allometric equations developed were decreasing with stand age and increasing with stand density and site index and also stand density is the strongest stand characteristic on biomass increment. Conclusion: The estimates are also consistent with the growth patterns, so the equations can be used for biomass increment estimations and also for carbon storage and NPP projections for Crimean pine stands of the </w:t>
      </w:r>
    </w:p>
    <w:p>
      <w:pPr/>
      <w:r>
        <w:rPr>
          <w:b/>
        </w:rPr>
        <w:t>POSSIBLE 2022:</w:t>
      </w:r>
      <w:r>
        <w:t xml:space="preserve"> Biomass allocation and carbon stock in Douglas fir and Norway spruce at the tree and stand level — https://doi.org/10.2478/forj-2022-0005</w:t>
      </w:r>
    </w:p>
    <w:p>
      <w:pPr/>
      <w:r>
        <w:rPr>
          <w:b/>
        </w:rPr>
        <w:t>Shared claim-specific concepts:</w:t>
      </w:r>
      <w:r>
        <w:t xml:space="preserve"> investigated, biomass, stock, high, forests, wood; EU scope visible. This is a provisional connection, not an outcome finding.</w:t>
      </w:r>
    </w:p>
    <w:p>
      <w:pPr>
        <w:pStyle w:val="SourceNote"/>
      </w:pPr>
      <w:r>
        <w:rPr>
          <w:b/>
        </w:rPr>
        <w:t>Available abstract (not full text):</w:t>
      </w:r>
      <w:r>
        <w:t xml:space="preserve"> Abstract The effect of changing tree species composition in favor of a greater representation of Douglas fir at the expense of Norway spruce on the carbon pool of Central European forests has not yet been investigated. Here, we compare the allocation of aboveground biomass and carbon stock in Douglas fir and spruce at the tree and stand level. At the tree level, Douglas fir accumulated, on average, 16.9% more aboveground biomass than Norway spruce. A greater amount of biomass was allocated mainly in the wood and bark of Douglas fir stem. For these biomass compartments, the difference between Douglas fir and Norway spruce was 21.1% and 60.3%, respectively. Spruce allocated more biomass in the crown, where the difference was 25.6% compared to Douglas fir. In needle biomass, Norway spruce exceeded Douglas fir by 84%. At the stand level, the analysis of model stands revealed that pure Norway spruce stands accumulated more carbon in the high and medium quality sites. As the site quality decreased, so did the differences in the amount of stored carbon. The higher carbon sink in Norway spruce stands was also confirmed in the analysis of real Norway spruce and Douglas fir stands. The difference in the carbon stock of young, medium-aged, and mature stands was 11.5%, 14.8%, and 1%, respectively. The positive balance in favor of spruce is mainly due to significantly higher numbers of tree</w:t>
      </w:r>
    </w:p>
    <w:p>
      <w:pPr/>
      <w:r>
        <w:rPr>
          <w:b/>
        </w:rPr>
        <w:t>POSSIBLE 2022:</w:t>
      </w:r>
      <w:r>
        <w:t xml:space="preserve"> Wall-to-Wall Mapping of Forest Biomass and Wood Volume Increment in Italy — https://doi.org/10.3390/f13121989</w:t>
      </w:r>
    </w:p>
    <w:p>
      <w:pPr/>
      <w:r>
        <w:rPr>
          <w:b/>
        </w:rPr>
        <w:t>Shared claim-specific concepts:</w:t>
      </w:r>
      <w:r>
        <w:t xml:space="preserve"> biomass, develop, climate, two, management, store; EU scope visible. This is a provisional connection, not an outcome finding.</w:t>
      </w:r>
    </w:p>
    <w:p>
      <w:pPr>
        <w:pStyle w:val="SourceNote"/>
      </w:pPr>
      <w:r>
        <w:rPr>
          <w:b/>
        </w:rPr>
        <w:t>Available abstract (not full text):</w:t>
      </w:r>
      <w:r>
        <w:t xml:space="preserve"> Several political initiatives aim to achieve net-zero emissions by the middle of the twenty-first century. In this context, forests are crucial as a carbon sink to store unavoidable emissions. Assessing the carbon sequestration potential of forest ecosystems is pivotal to the availability of accurate forest variable estimates for supporting international reporting and appropriate forest management strategies. Spatially explicit estimates are even more important for Mediterranean countries such as Italy, where the capacity of forests to act as sinks is decreasing due to climate change. This study aimed to develop a spatial approach to obtain high-resolution maps of Italian forest above-ground biomass (ITA-BIO) and current annual volume increment (ITA-CAI), based on remotely sensed and meteorological data. The ITA-BIO estimates were compared with those obtained with two available biomass maps developed in the framework of two international projects (i.e., the Joint Research Center and the European Space Agency biomass maps, namely, JRC-BIO and ESA-BIO). The estimates from ITA-BIO, JRC-BIO, ESA-BIO, and ITA-CAI were compared with the 2nd Italian NFI (INFC) official estimates at regional level (NUT2). The estimates from ITA-BIO are in good agreement with the INFC estimates (R2 = 0.95, mean difference = 3.8 t ha−1), while for JRC-BIO and ESA-BIO, the estimates show R2 of 0.90 and 0.</w:t>
      </w:r>
    </w:p>
    <w:p>
      <w:pPr/>
      <w:r>
        <w:rPr>
          <w:b/>
        </w:rPr>
        <w:t>POSSIBLE 2021:</w:t>
      </w:r>
      <w:r>
        <w:t xml:space="preserve"> Assessment of Carbon Stock in Forest Biomass and Emission Reduction Potential in Malaysia — https://doi.org/10.3390/f12101294</w:t>
      </w:r>
    </w:p>
    <w:p>
      <w:pPr/>
      <w:r>
        <w:rPr>
          <w:b/>
        </w:rPr>
        <w:t>Shared claim-specific concepts:</w:t>
      </w:r>
      <w:r>
        <w:t xml:space="preserve"> biomass, stock, climate, management, forests, other; EU scope not established. This is a provisional connection, not an outcome finding.</w:t>
      </w:r>
    </w:p>
    <w:p>
      <w:pPr>
        <w:pStyle w:val="SourceNote"/>
      </w:pPr>
      <w:r>
        <w:rPr>
          <w:b/>
        </w:rPr>
        <w:t>Available abstract (not full text):</w:t>
      </w:r>
      <w:r>
        <w:t xml:space="preserve"> Malaysia has a large extent of forest cover that plays a crucial role in storing biomass carbon and enhancing carbon sink (carbon sequestration) and reducing atmospheric greenhouse gas emissions, which helps to reduce the negative impacts of global climate change. This article estimates the economic value of forest carbon stock and carbon value per hectare of forested area based on the price of removing per ton CO2eq in USD from 1990 to 2050. The economic value of biomass carbon stored in the forests is estimated at nearly USD 51 billion in 2020 and approximately USD 41 billion in 2050, whereas carbon value per hectare forest area is estimated at USD 2885 in 2020 and USD 2388 in 2050. If the BAU scenario of forest loss (converting forests to other land use) continues, the projected estimation of carbon stock and its economic value might fall until 2050 unless further initiatives on proper planning of forest management and ambitious policy implementation are taken. Instead, Malaysia’s CO2 emission growth started to fall after 2010 due to rising forest carbon sink of 282 million tons between 2011 and 2016, indicating a huge potential of Malaysian forests for future climate change mitigation. The estimated and projected value of carbon stock in Malaysian forest biomass, annual growth of forest carbon, forest carbon density and carbon sink would be useful for the better understandi</w:t>
      </w:r>
    </w:p>
    <w:p>
      <w:pPr/>
      <w:r>
        <w:rPr>
          <w:b/>
        </w:rPr>
        <w:t>POSSIBLE 2021:</w:t>
      </w:r>
      <w:r>
        <w:t xml:space="preserve"> Impact of Ex-Closure in above and below Ground Carbon Stock Biomass — https://doi.org/10.3390/f12020130</w:t>
      </w:r>
    </w:p>
    <w:p>
      <w:pPr/>
      <w:r>
        <w:rPr>
          <w:b/>
        </w:rPr>
        <w:t>Shared claim-specific concepts:</w:t>
      </w:r>
      <w:r>
        <w:t xml:space="preserve"> biomass, stock, different, climate, high, forests; EU scope not established. This is a provisional connection, not an outcome finding.</w:t>
      </w:r>
    </w:p>
    <w:p>
      <w:pPr>
        <w:pStyle w:val="SourceNote"/>
      </w:pPr>
      <w:r>
        <w:rPr>
          <w:b/>
        </w:rPr>
        <w:t>Available abstract (not full text):</w:t>
      </w:r>
      <w:r>
        <w:t xml:space="preserve"> Globally, there is a serious issue in carbon stock due to high deforestation and the loss of land, limited carbon storage pools in aboveground and underground forests in different regions, and increased carbon emissions to the atmosphere. This review paper highlights the impact of exclosures on above and below ground carbon stocks in biomass as a solution to globally curb carbon emissions. The data has been analyzed dependent on the Intergovernmental Panel on Climate Change (IPCC) guidelines, the Food and Agriculture Organization (FAO) Forest Resource Assessment report (FRA, 2020), and scientific journal publications mostly from the last decade, to show the research results of carbon stock and the impact of exclosures, particularly the challenges of deforestation and erosion of land and opportunities of area exclosures to provide a general outlook for policymakers. Overall, the world’s forest regions are declining, and although the forest loss rate has slowed, it has still not stopped sufficiently because the knowledge and practice of exclosures are limited. The global forest loss and carbon stock have decreased from 7.8 million ha/yr to 4.7 million ha/yr and from 668 gigatons to 662 gigatons respectively due to multiple factors that differ across the regions. However, a move toward natural rehabilitation and exclosures to reduce the emissions of Greenhouse Gas (GHGs) is needed</w:t>
      </w:r>
    </w:p>
    <w:p>
      <w:pPr>
        <w:pStyle w:val="Heading2"/>
      </w:pPr>
      <w:r>
        <w:t>954.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2024:</w:t>
      </w:r>
      <w:r>
        <w:t xml:space="preserve"> VECTOCLIM PROJECT. Assessing the impact of climate change on two vector-pathogen pairs: Aedes albopictus &amp; Culicoides midges in Occitania, France and Europe — https://openalex.org/W7206472643</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The VECTOCLIM project aims at assessing the impact of recent and future climate change on the risk related to major vector-borne diseases for the European temperate ecosystem. The project will focus on two vectors of interest for public and animal health: the invasive tiger mosquito, Aedes albopictus, vector of viruses to humans, and Culicoides biting midges, vectors of viruses to livestock. Through the use of mathematical modelling and large scale and longitudinal entomological data, we will evaluate the influence of global warming on the geographic and seasonal distribution of these vectors according to different IPCC scenarios. Medium and long-term projections of vector distribution will be produced and compared. Epidemiological modelling will be used to assess risk factors, identify levers of control, and produce dynamic risk maps of the studied areas for three arboviruses (dengue, chikungunya and Zika viruses) and two orbiviruses (bluetongue and epizootic haemorrhagic disease viruses).Four reference research institutes in the fields of infectious diseases and climate sciences collaborate in the implementation of this study: the University of Montpellier, CIRAD, IRD and ICTP. Regular consultations will be organised with public and veterinary health professionals in order to guide research objectives and provide the best possible support to the current and future challenges </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r>
        <w:rPr>
          <w:b/>
        </w:rPr>
        <w:t>POSSIBLE 2021:</w:t>
      </w:r>
      <w:r>
        <w:t xml:space="preserve"> Current Status of the Algae Production Industry in Europe: An Emerging Sector of the Blue Bioeconomy — https://doi.org/10.3389/fmars.2020.626389</w:t>
      </w:r>
    </w:p>
    <w:p>
      <w:pPr/>
      <w:r>
        <w:rPr>
          <w:b/>
        </w:rPr>
        <w:t>Shared claim-specific concepts:</w:t>
      </w:r>
      <w:r>
        <w:t xml:space="preserve"> blue, dimension, strategy, yet; EU scope visible. This is a provisional connection, not an outcome finding.</w:t>
      </w:r>
    </w:p>
    <w:p>
      <w:pPr>
        <w:pStyle w:val="SourceNote"/>
      </w:pPr>
      <w:r>
        <w:rPr>
          <w:b/>
        </w:rPr>
        <w:t>Available abstract (not full text):</w:t>
      </w:r>
      <w:r>
        <w:t xml:space="preserve">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pPr/>
      <w:r>
        <w:rPr>
          <w:b/>
        </w:rPr>
        <w:t>POSSIBLE 2021:</w:t>
      </w:r>
      <w:r>
        <w:t xml:space="preserve"> Ocean resource use: building the coastal blue economy — https://doi.org/10.1007/s11160-021-09636-0</w:t>
      </w:r>
    </w:p>
    <w:p>
      <w:pPr/>
      <w:r>
        <w:rPr>
          <w:b/>
        </w:rPr>
        <w:t>Shared claim-specific concepts:</w:t>
      </w:r>
      <w:r>
        <w:t xml:space="preserve"> use, blue; EU scope not established. This is a provisional connection, not an outcome finding.</w:t>
      </w:r>
    </w:p>
    <w:p>
      <w:pPr>
        <w:pStyle w:val="SourceNote"/>
      </w:pPr>
      <w:r>
        <w:rPr>
          <w:b/>
        </w:rPr>
        <w:t>Available abstract (not full text):</w:t>
      </w:r>
      <w:r>
        <w:t xml:space="preserve">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pPr/>
      <w:r>
        <w:rPr>
          <w:b/>
        </w:rPr>
        <w:t>POSSIBLE 2021:</w:t>
      </w:r>
      <w:r>
        <w:t xml:space="preserve"> 6G Vision, Value, Use Cases and Technologies From European 6G Flagship Project Hexa-X — https://doi.org/10.1109/access.2021.3130030</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While 5G is being deployed and the economy and society begin to reap the associated benefits, the research and development community starts to focus on the next, 6th Generation (6G) of wireless communications. Although there are papers available in the literature on visions, requirements and technical enablers for 6G from various academic perspectives, there is a lack of joint industry and academic work towards 6G. In this paper a consolidated view on vision, values, use cases and key enabling technologies from leading industry stakeholders and academia is presented. The authors represent the mobile communications ecosystem with competences spanning hardware, link layer and networking aspects, as well as standardization and regulation. The second contribution of the paper is revisiting and analyzing the key concurrent initiatives on 6G. A third contribution of the paper is the identification and justification of six key 6G research challenges: (i) “connecting”, in the sense of empowering, exploiting and governing, intelligence; (ii) realizing a network of networks, i.e., leveraging on existing networks and investments, while reinventing roles and protocols where needed; (iii) delivering extreme experiences, when/where needed; (iv) (environmental, economic, social) sustainability to address the major challenges of current societies; (v) trustworthiness as an ingrained fundamenta</w:t>
      </w:r>
    </w:p>
    <w:p>
      <w:pPr/>
      <w:r>
        <w:rPr>
          <w:b/>
        </w:rPr>
        <w:t>POSSIBLE 2021:</w:t>
      </w:r>
      <w:r>
        <w:t xml:space="preserve"> Large variability in response to projected climate and land‐use changes among European bumblebee species — https://doi.org/10.1111/gcb.15780</w:t>
      </w:r>
    </w:p>
    <w:p>
      <w:pPr/>
      <w:r>
        <w:rPr>
          <w:b/>
        </w:rPr>
        <w:t>Shared claim-specific concepts:</w:t>
      </w:r>
      <w:r>
        <w:t xml:space="preserve"> use, project, direct; EU scope visible. This is a provisional connection, not an outcome finding.</w:t>
      </w:r>
    </w:p>
    <w:p>
      <w:pPr>
        <w:pStyle w:val="SourceNote"/>
      </w:pPr>
      <w:r>
        <w:rPr>
          <w:b/>
        </w:rPr>
        <w:t>Available abstract (not full text):</w:t>
      </w:r>
      <w:r>
        <w:t xml:space="preserve"> Bumblebees (Bombus ssp.) are among the most important wild pollinators, but many species have suffered from range declines. Land-use change, agricultural intensification, and the associated loss of habitat have been identified as drivers of the observed dynamics, amplifying pressures from a changing climate. However, these drivers are still underrepresented in continental-scale species distribution modeling. Here, we project the potential distribution of 47 European bumblebee species in 2050 and 2080 from existing European-scale distribution maps, based on a set of climate and land-use futures simulated through a regional integrated assessment model and consistent with the RCP-SSP scenario framework. We compare projections including (1) dynamic climate and constant land use (CLIM); (2) constant climate and dynamic land use (LU); and (3) dynamic climate and dynamic land use (COMB) to disentangle the effects of land use and climate change on future habitat suitability, providing the first rigorous continental-scale assessment of linked climate-land-use futures for bumblebees. We find that direct climate impacts, although variable across species, dominate responses for most species, especially under high-end climate change scenarios (up to 99% range loss). Land-use impacts are highly variable across species and scenarios, ranging from severe losses (up to 75% loss) to considerable</w:t>
      </w:r>
    </w:p>
    <w:p>
      <w:pPr/>
      <w:r>
        <w:rPr>
          <w:b/>
        </w:rPr>
        <w:t>POSSIBLE 2020:</w:t>
      </w:r>
      <w:r>
        <w:t xml:space="preserve"> The Blue Map of Europe: Conservative Parliamentarians and European Integration — https://doi.org/10.1201/9781315037691-4</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This article uses the results of the authors’ 1994 ESRC survey of Conservative MPs, MEPs and candidates in the European Parliament election to measure the extent of Conservative divisions over European integration in relation to a range of policy issues. It discusses whether the party’s European parliamentarians are becoming more Euro-sceptical, whether Thatcher’s cohorts of new MPs are more sceptical than their predecessors, and how sceptical John Major’s backbenchers really are. The problem of party management is demonstrated by the size of minorities on both wings of the European debate, and the centrality and divisiveness of the issue of national sovereignty is illustrated.</w:t>
      </w:r>
    </w:p>
    <w:p>
      <w:pPr/>
      <w:r>
        <w:rPr>
          <w:b/>
        </w:rPr>
        <w:t>POSSIBLE 2020:</w:t>
      </w:r>
      <w:r>
        <w:t xml:space="preserve"> The Blue Fix: What's driving blue growth? — https://doi.org/10.1007/s11625-019-00777-7</w:t>
      </w:r>
    </w:p>
    <w:p>
      <w:pPr/>
      <w:r>
        <w:rPr>
          <w:b/>
        </w:rPr>
        <w:t>Shared claim-specific concepts:</w:t>
      </w:r>
      <w:r>
        <w:t xml:space="preserve"> blue, dimension; EU scope not established. This is a provisional connection, not an outcome finding.</w:t>
      </w:r>
    </w:p>
    <w:p>
      <w:pPr>
        <w:pStyle w:val="SourceNote"/>
      </w:pPr>
      <w:r>
        <w:rPr>
          <w:b/>
        </w:rPr>
        <w:t>Available abstract (not full text):</w:t>
      </w:r>
      <w:r>
        <w:t xml:space="preserve"> This article explores the politics behind the promise of ‘blue growth’. Reframing it as a ‘blue fix’, we argue that the blue growth discourse facilitates new opportunities for capital accumulation, while claiming that this accumulation is compatible with social and ecological aims as well. The blue fix is made up of three underlying sub-fixes. First of all, the conservation fix quenches the social thirst for action in the face of climate change. Here we see how protecting marine areas can be an important part of mitigating climate change, but in practice, gains at the national level are overshadowed by the ongoing expansion of offshore drilling for oil and gas. Second, the protein fix satisfies the growing global demand for healthy food and nutrition through the expansion of capital-intensive large-scale aquaculture, while ignoring the negative socio-ecological impacts, which effectively squeeze small-scale capture fishing out, while industrial capture fishing remains well positioned to expand into as well as supply industrial aquaculture with fish feed from pelagic fish. And third, an energy fix offers a burst of wind energy and a splash of new deep-sea minerals without disturbing the familiar and persistent foundation of oil and gas. This dimension of the blue fix emphasizes the transition to wind and solar energy, but meanwhile the deep sea mining for minerals required by th</w:t>
      </w:r>
    </w:p>
    <w:p>
      <w:pPr/>
      <w:r>
        <w:rPr>
          <w:b/>
        </w:rPr>
        <w:t>POSSIBLE 2020:</w:t>
      </w:r>
      <w:r>
        <w:t xml:space="preserve"> Current practice in project appraisal in Europe — https://doi.org/10.5278/ojs.td.v12i1.5126</w:t>
      </w:r>
    </w:p>
    <w:p>
      <w:pPr/>
      <w:r>
        <w:rPr>
          <w:b/>
        </w:rPr>
        <w:t>Shared claim-specific concepts:</w:t>
      </w:r>
      <w:r>
        <w:t xml:space="preserve"> use, project, dimension, general; EU scope visible. This is a provisional connection, not an outcome finding.</w:t>
      </w:r>
    </w:p>
    <w:p>
      <w:pPr>
        <w:pStyle w:val="SourceNote"/>
      </w:pPr>
      <w:r>
        <w:rPr>
          <w:b/>
        </w:rPr>
        <w:t>Available abstract (not full text):</w:t>
      </w:r>
      <w:r>
        <w:t xml:space="preserve"> Trans European Network transport infrastructure projects and regulations pose a significant problem in the area of appraisal. Whereas previously national appraisal guidelines have been used for the appraisal of such projects there is an increased demand for consistency of approach where projects cross country boundaries or have some other international dimension. With the EU expanding to 25 countries in 2004 this has become an even more pertinent issue. The purpose of the 6th framework HEATCO project (from which this paper is derived) is to develop a set of harmonised guidelines for project assessment and transport costing at an EU level. This paper will present the approaches, methods and values currently used for project appraisal and then review their comparability and consistency across the 25 member states. It is the first general attempt to include the current appraisal practice of the 10 new member states in a review. The review is based on the results from a country based proforma, which was designed to elicit the extent to which the different elements of infrastructure appraisal are harmonised and highlight what potential barriers to harmonisation may exist. In doing this it builds on the previous survey undertaken as part of the EUNET project (Grant-Muller, Mackie, Nellthorp and Pearman, 1998), updating it to account for the changes in practice that have occurred over</w:t>
      </w:r>
    </w:p>
    <w:p>
      <w:pPr/>
      <w:r>
        <w:rPr>
          <w:b/>
        </w:rPr>
        <w:t>POSSIBLE 2018:</w:t>
      </w:r>
      <w:r>
        <w:t xml:space="preserve"> Basilicata and Blue Economy — https://doi.org/10.1432/91440</w:t>
      </w:r>
    </w:p>
    <w:p>
      <w:pPr/>
      <w:r>
        <w:rPr>
          <w:b/>
        </w:rPr>
        <w:t>Shared claim-specific concepts:</w:t>
      </w:r>
      <w:r>
        <w:t xml:space="preserve"> use, blue, maritime; EU scope visible. This is a provisional connection, not an outcome finding.</w:t>
      </w:r>
    </w:p>
    <w:p>
      <w:pPr>
        <w:pStyle w:val="SourceNote"/>
      </w:pPr>
      <w:r>
        <w:rPr>
          <w:b/>
        </w:rPr>
        <w:t>Available abstract (not full text):</w:t>
      </w:r>
      <w:r>
        <w:t xml:space="preserve"> Given the growing importance to the sea and its wealth, this paper aims to tackle the theme of the maritime economy in Basilicata, with the purpose of enhancing the region through such economy. Currently, although it is centrally located and equidistant from the surrounding seas, it does not make use of its favourable position. This work draws attention to the initiative of the European Commission and to «Blue Growth»; it highlights the interest in aquaculture and fisheries, respecting the natural environment and human health; furthermore, it takes into account the statistical results among Italian regions. Attention is also paid to the Operational Programme for Fisheries and Aquaculture in Basilicata, and the topic of «Blue Economy» in Southern Italy is discussed, with particular regard to the contribution offered by the region analysed. Finally, it highlights that Basilicata, precisely through its limits, can be a positive example of the application of Community measures and the objectives of the Common Fisheries Policy (CFP) without altering their carrying capacity.</w:t>
      </w:r>
    </w:p>
    <w:p>
      <w:pPr/>
      <w:r>
        <w:rPr>
          <w:b/>
        </w:rPr>
        <w:t>POSSIBLE 2018:</w:t>
      </w:r>
      <w:r>
        <w:t xml:space="preserve"> Blue care: a systematic review of blue space interventions for health and wellbeing — https://doi.org/10.1093/heapro/day103</w:t>
      </w:r>
    </w:p>
    <w:p>
      <w:pPr/>
      <w:r>
        <w:rPr>
          <w:b/>
        </w:rPr>
        <w:t>Shared claim-specific concepts:</w:t>
      </w:r>
      <w:r>
        <w:t xml:space="preserve"> use, blue, direct; EU scope not established. This is a provisional connection, not an outcome finding.</w:t>
      </w:r>
    </w:p>
    <w:p>
      <w:pPr>
        <w:pStyle w:val="SourceNote"/>
      </w:pPr>
      <w:r>
        <w:rPr>
          <w:b/>
        </w:rPr>
        <w:t>Available abstract (not full text):</w:t>
      </w:r>
      <w:r>
        <w:t xml:space="preserve"> There is increasing interest in the potential use of outdoor water environments, or blue space, in the promotion of human health and wellbeing. However, therapeutic nature-based practices are currently outpacing policy and the evidence base for health or wellbeing benefits of therapeutic interventions within blue space has not been systematically assessed. This systematic review aims to address the gap in understanding the impacts of blue space within existing interventions for targeted individuals. A systematic review was carried out, searching Google Scholar, SCOPUS, PubMed, etc. through to August 2017. Only blue space interventions were included that were specifically designed and structured with a therapeutic purpose for individuals with a defined need and did not include nature-based promotion projects or casual recreation in the outdoors. Thirty-three studies met the inclusion criteria and were assessed. Overall, the studies suggest that blue care can have direct benefit for health, especially mental health and psycho-social wellbeing. The majority of papers found a positive or weak association between blue care and health and wellbeing indicators. There was also some evidence for greater social connectedness during and after interventions, but results were inconsistent and mixed across studies with very few findings for physical health. This is the first systematic revie</w:t>
      </w:r>
    </w:p>
    <w:p>
      <w:pPr>
        <w:pStyle w:val="Heading2"/>
      </w:pPr>
      <w:r>
        <w:t>955.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2018:</w:t>
      </w:r>
      <w:r>
        <w:t xml:space="preserve"> Food safety challenges and One Health within Europe — https://doi.org/10.1186/s13028-017-0355-3</w:t>
      </w:r>
    </w:p>
    <w:p>
      <w:pPr/>
      <w:r>
        <w:rPr>
          <w:b/>
        </w:rPr>
        <w:t>Shared claim-specific concepts:</w:t>
      </w:r>
      <w:r>
        <w:t xml:space="preserve"> challenges, industry, based; EU scope visible. This is a provisional connection, not an outcome finding.</w:t>
      </w:r>
    </w:p>
    <w:p>
      <w:pPr>
        <w:pStyle w:val="SourceNote"/>
      </w:pPr>
      <w:r>
        <w:rPr>
          <w:b/>
        </w:rPr>
        <w:t>Available abstract (not full text):</w:t>
      </w:r>
      <w:r>
        <w:t xml:space="preserve"> This review discusses food safety aspects of importance from a One Health perspective, focusing on Europe. Using examples of food pathogen/food commodity combinations, spread of antimicrobial resistance in the food web and the risk of transmission of zoonotic pathogens in a circular system, it demonstrates how different perspectives are interconnected. The chosen examples all show the complexity of the food system and the necessity of using a One Health approach. Food safety resources should be allocated where they contribute most One Health benefits. Data on occurrence and disease burden and knowledge of source attribution are crucial in assessing costs and benefits of control measures. Future achievements in food safety, public health and welfare will largely be based on how well politicians, researchers, industry, national agencies and other stakeholders manage to collaborate using the One Health approach. It can be concluded that closer cooperation between different disciplines is necessary to avoid silo thinking when addressing important food safety challenges. The importance of this is often mentioned, but more proof of concept is needed by the research community.</w:t>
      </w:r>
    </w:p>
    <w:p>
      <w:pPr>
        <w:pStyle w:val="Heading2"/>
      </w:pPr>
      <w:r>
        <w:t>956.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957.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2023:</w:t>
      </w:r>
      <w:r>
        <w:t xml:space="preserve"> Incidence of Lyme Borreliosis in Europe from National Surveillance Systems (2005–2020) — https://doi.org/10.1089/vbz.2022.0071</w:t>
      </w:r>
    </w:p>
    <w:p>
      <w:pPr/>
      <w:r>
        <w:rPr>
          <w:b/>
        </w:rPr>
        <w:t>Shared claim-specific concepts:</w:t>
      </w:r>
      <w:r>
        <w:t xml:space="preserve"> national, poland, within, number; EU scope visible. This is a provisional connection, not an outcome finding.</w:t>
      </w:r>
    </w:p>
    <w:p>
      <w:pPr>
        <w:pStyle w:val="SourceNote"/>
      </w:pPr>
      <w:r>
        <w:rPr>
          <w:b/>
        </w:rPr>
        <w:t>Available abstract (not full text):</w:t>
      </w:r>
      <w:r>
        <w:t xml:space="preserve"> Background: Lyme borreliosis (LB) is the most common tick-borne disease in Europe. To inform European intervention strategies, including vaccines under development, we conducted a systematic review for LB incidence. Methods: We searched publicly available surveillance data reporting LB incidence in Europe from 2005 to 2020. Population-based incidence was calculated as the number of reported LB cases per 100,000 population per year (PPY), and high LB risk areas (incidence &gt;10/100,00 PPY for 3 consecutive years) were estimated. Results: Estimates of LB incidence were available for 25 countries. There was marked heterogeneity in surveillance systems (passive vs. mandatory and sentinel sites vs. national), case definitions (clinical, laboratory, or both), and testing methods, limiting comparison across countries. Twenty-one countries (84%) had passive surveillance; four (Belgium, France, Germany, and Switzerland) used sentinel surveillance systems. Only four countries (Bulgaria, France, Poland, and Romania) used standardized case definitions recommended by European public health institutions. Among all surveillance systems and considering any case definition for the most recently available years, national LB incidences were highest in Estonia, Lithuania, Slovenia, and Switzerland (&gt;100 cases/100,000 PPY), followed by France and Poland (40–80/100,000 PPY), and Finland and Latvia (20</w:t>
      </w:r>
    </w:p>
    <w:p>
      <w:pPr/>
      <w:r>
        <w:rPr>
          <w:b/>
        </w:rPr>
        <w:t>POSSIBLE 2023:</w:t>
      </w:r>
      <w:r>
        <w:t xml:space="preserve"> Opposition Discourse About National Recovery and Resilience Plans. Poland and Hungary Compared — https://doi.org/10.33067/se.1.2023.2</w:t>
      </w:r>
    </w:p>
    <w:p>
      <w:pPr/>
      <w:r>
        <w:rPr>
          <w:b/>
        </w:rPr>
        <w:t>Shared claim-specific concepts:</w:t>
      </w:r>
      <w:r>
        <w:t xml:space="preserve"> national, poland, within, article, polish; EU scope visible. This is a provisional connection, not an outcome finding.</w:t>
      </w:r>
    </w:p>
    <w:p>
      <w:pPr>
        <w:pStyle w:val="SourceNote"/>
      </w:pPr>
      <w:r>
        <w:rPr>
          <w:b/>
        </w:rPr>
        <w:t>Available abstract (not full text):</w:t>
      </w:r>
      <w:r>
        <w:t xml:space="preserve"> Although the governments of Poland and Hungary seem to similarly contest the conditionality mechanism that requires one to respect the rule of law when using EU funds, there are differences between these countries. They become visible in the framing of political communication as regards the opposition parties. This article seeks to identify the grounds of the competition from parliamentary opposition of the governments in relation to the EU Recovery and Resilience Fund. An analysis of 2021’s parliamentary debates on national recovery and resilience plans revealed three communication frameworks: the financial frame (the policy dimension), the quality of governance frame (the politics dimension), and the European integration frame which shaped domestic political rivalry (the polity dimension). Differences within these framings between the narrative of the Polish and Hungarian opposition resulted from different institutional and structural contexts. The study confirms the importance of national opposition parties for the analysis of the process of European integration. The existence of a liberal opposition may promote the salience of the topic of European integration in domestic political debate.</w:t>
      </w:r>
    </w:p>
    <w:p>
      <w:pPr/>
      <w:r>
        <w:rPr>
          <w:b/>
        </w:rPr>
        <w:t>POSSIBLE 2022:</w:t>
      </w:r>
      <w:r>
        <w:t xml:space="preserve"> Building National Open Science Cloud Initiatives (NOSCIs) in Southeast Europe — https://doi.org/10.15291/pubmet.3952</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The National Initiatives for Open Science in Europe (NI4OS Europe) project supports the development of the European Open Science Cloud (EOSC) by contributing to its portfolio of services, by involving national and regional research communities in the EOSC governance, by strengthening open science (OS) practices, and by promoting the FAIR principles (Macan et al., 2020; Garavelli et al., 2021) to help build the infrastructure and create a favourable environment for open and intensive scholarly communication.The main instrument in achieving this is the network of 15 national Open Science Cloud Initiatives (NOSCIs) established in the partner countries as national-level coalitions of Open Science stakeholders that have a prominent role and interest in the EOSC. The concept of NOSCI has been developed in response to the specific traits and challenges in the targeted region, based on complex and multilayered analyses of stakeholders, policies, and local contexts (Toli et al., 2020). Inclusive by nature, NOSCIs connect stakeholders from across the research lifecycle at the national level and provide not only a testbed for the formulation of OS policies but also a forum for knowledge dissemination and sharing.Drawing on a secondary analysis of the abundant data collected and materials produced during the project, this presentation focuses on the challenges identified as the NOSCIs were</w:t>
      </w:r>
    </w:p>
    <w:p>
      <w:pPr/>
      <w:r>
        <w:rPr>
          <w:b/>
        </w:rPr>
        <w:t>POSSIBLE 2021:</w:t>
      </w:r>
      <w:r>
        <w:t xml:space="preserve"> Effectiveness of research grants funded by European Research Council and Polish National Science Centre — https://doi.org/10.1016/j.joi.2021.101243</w:t>
      </w:r>
    </w:p>
    <w:p>
      <w:pPr/>
      <w:r>
        <w:rPr>
          <w:b/>
        </w:rPr>
        <w:t>Shared claim-specific concepts:</w:t>
      </w:r>
      <w:r>
        <w:t xml:space="preserve"> funded, national, science, centre, poland, project; EU scope visible. This is a provisional connection, not an outcome finding.</w:t>
      </w:r>
    </w:p>
    <w:p>
      <w:pPr>
        <w:pStyle w:val="SourceNote"/>
      </w:pPr>
      <w:r>
        <w:rPr>
          <w:b/>
        </w:rPr>
        <w:t>Available abstract (not full text):</w:t>
      </w:r>
      <w:r>
        <w:t xml:space="preserve"> We propose WEIG – Wroclaw Effectiveness Indicator for Grants. This new scientometric measure is an aggregated quality measure of scientific papers published with the grant support divided by its budget. Several WEIG variations have been considered with respect to journal quality indicators like Impact Factor (IF), Article Influence Score (AIS), and Average Journal Impact Factor Percentile (IF%). Projects from two public agencies were analysed utilising the WEIG measures: European Research Council (ERC) and National Science Centre, Poland (NSC). The studies revealed that NSC grants are overall more effective than ERC ones, constantly 2–3 times more for Physical Sciences and Engineering (PE). There are four NSC panels distinctively more efficient than their counterparts in ERC: Mathematics (PE1), Fundamental Constituents of Matter (PE2), Computer Science and Informatics (PE6) and Universe Sciences (PE9). The most efficient NSC funding schemes are Etiuda, Preludium, and Harmonia. The higher average effectiveness of programmes aimed at young scientists has been observed: the ERC Starting Grants have greater effectiveness than Advanced Grants. Both agencies manage to keep overall efficiency regardless of increasing their budget over the years. Limitations of the proposed approach to assess project effectiveness, especially for Social Sciences and Humanities, are also discussed.</w:t>
      </w:r>
    </w:p>
    <w:p>
      <w:pPr/>
      <w:r>
        <w:rPr>
          <w:b/>
        </w:rPr>
        <w:t>POSSIBLE 2021:</w:t>
      </w:r>
      <w:r>
        <w:t xml:space="preserve"> Science funding under an authoritarian regime: Portugal's National Education Board and the European ‘academic landscape’ in the interwar period — https://doi.org/10.1098/rsnr.2021.0037</w:t>
      </w:r>
    </w:p>
    <w:p>
      <w:pPr/>
      <w:r>
        <w:rPr>
          <w:b/>
        </w:rPr>
        <w:t>Shared claim-specific concepts:</w:t>
      </w:r>
      <w:r>
        <w:t xml:space="preserve"> national, science, number, article; EU scope visible. This is a provisional connection, not an outcome finding.</w:t>
      </w:r>
    </w:p>
    <w:p>
      <w:pPr>
        <w:pStyle w:val="SourceNote"/>
      </w:pPr>
      <w:r>
        <w:rPr>
          <w:b/>
        </w:rPr>
        <w:t>Available abstract (not full text):</w:t>
      </w:r>
      <w:r>
        <w:t xml:space="preserve"> This article enables an understanding of scientific practice and funding in a peripheral country ruled by a dictatorship in the interwar period, and thus provides the basis for comparison with studies of other non-democratic regimes. We examine the work of Portugal's Junta de Educação Nacional (National Education Board), which administered and provided funding for science from 1929 to 1936. Our findings show that this public body encouraged the participation of the Portuguese academic community in international science networks. This scenario contrasts with the dominant historiographical thesis that between the wars the Portuguese academic community did not play a role in international networks, and that it lacked state support. Also in contrast with the dominant historiography, whose ideological bias meant that a simplified picture was portrayed, whereas the reality is shown to be complex, this study demonstrates that the Portuguese dictatorial state sought to foster scientific progress through the Junta, but that resentment among academics and the resistance of universities to innovation meant that this objective was only partially achieved. Finally, the memory of a number of scientists has been rescued from oblivion, as we show how their political stance during the dictatorship led to their being ignored by historiographers when democracy prevailed.</w:t>
      </w:r>
    </w:p>
    <w:p>
      <w:pPr/>
      <w:r>
        <w:rPr>
          <w:b/>
        </w:rPr>
        <w:t>POSSIBLE 2021:</w:t>
      </w:r>
      <w:r>
        <w:t xml:space="preserve"> Current Wildland Fire Patterns and Challenges in Europe: A Synthesis of National Perspectives — https://doi.org/10.1177/11786221211028185</w:t>
      </w:r>
    </w:p>
    <w:p>
      <w:pPr/>
      <w:r>
        <w:rPr>
          <w:b/>
        </w:rPr>
        <w:t>Shared claim-specific concepts:</w:t>
      </w:r>
      <w:r>
        <w:t xml:space="preserve"> funded, national, science, within, aim, article; EU scope visible. This is a provisional connection, not an outcome finding.</w:t>
      </w:r>
    </w:p>
    <w:p>
      <w:pPr>
        <w:pStyle w:val="SourceNote"/>
      </w:pPr>
      <w:r>
        <w:rPr>
          <w:b/>
        </w:rPr>
        <w:t>Available abstract (not full text):</w:t>
      </w:r>
      <w:r>
        <w:t xml:space="preserve"> Changes in climate, land use, and land management impact the occurrence and severity of wildland fires in many parts of the world. This is particularly evident in Europe, where ongoing changes in land use have strongly modified fire patterns over the last decades. Although satellite data by the European Forest Fire Information System provide large-scale wildland fire statistics across European countries, there is still a crucial need to collect and summarize in-depth local analysis and understanding of the wildland fire condition and associated challenges across Europe. This article aims to provide a general overview of the current wildland fire patterns and challenges as perceived by national representatives, supplemented by national fire statistics (2009–2018) across Europe. For each of the 31 countries included, we present a perspective authored by scientists or practitioners from each respective country, representing a wide range of disciplines and cultural backgrounds. The authors were selected from members of the COST Action “Fire and the Earth System: Science &amp; Society” funded by the European Commission with the aim to share knowledge and improve communication about wildland fire. Where relevant, a brief overview of key studies, particular wildland fire challenges a country is facing, and an overview of notable recent fire events are also presented. Key perceived challen</w:t>
      </w:r>
    </w:p>
    <w:p>
      <w:pPr/>
      <w:r>
        <w:rPr>
          <w:b/>
        </w:rPr>
        <w:t>POSSIBLE 2020:</w:t>
      </w:r>
      <w:r>
        <w:t xml:space="preserve"> Thematic variations and auctorial foresights: The French National Funding Agency (Agence Nationale de la Recherche - ANR) (Biennial Conference of the European Society for the History of Science, London, UK, 14/09/2018-17/09/2018) — https://openalex.org/W3096754253</w:t>
      </w:r>
    </w:p>
    <w:p>
      <w:pPr/>
      <w:r>
        <w:rPr>
          <w:b/>
        </w:rPr>
        <w:t>Shared claim-specific concepts:</w:t>
      </w:r>
      <w:r>
        <w:t xml:space="preserve"> national, science, shaping; EU scope visible. This is a provisional connection, not an outcome finding.</w:t>
      </w:r>
    </w:p>
    <w:p>
      <w:pPr>
        <w:pStyle w:val="SourceNote"/>
      </w:pPr>
      <w:r>
        <w:rPr>
          <w:b/>
        </w:rPr>
        <w:t>Available abstract (not full text):</w:t>
      </w:r>
      <w:r>
        <w:t xml:space="preserve"> The French national funding agency (Agence Nationale de la Recherche - ANR) represents since 2005 the “delegation authority” of the public science system. As being the principal national funding agency, ANR influence regarding research communities is a mix of huge prestige, when getting a grant, and a collective satiric humour shared on Twitter (Agence Nationale de l'Excellence Scientifique, @Excelleagence). In between, the fact and the fears that ANR role in shaping and reconfiguring French research priorities is regularly debated. Based on the analysis of ANR data (2006 to 2016), recently released, our proposition aims to observe how and to what extent, ANR research priorities are impacting French communities research agenda. From a comparison between ANR thematic, grants thematic and research prospective expressed then realised by researchers themselves, the analysis will provide elements to depict the way researchers are adapting to the ANR authority. Our approach is both quantitative and qualitative and takes into account the longitudinal dimension to observe the variations occurred during 2006-2016 period.</w:t>
      </w:r>
    </w:p>
    <w:p>
      <w:pPr/>
      <w:r>
        <w:rPr>
          <w:b/>
        </w:rPr>
        <w:t>POSSIBLE 2019:</w:t>
      </w:r>
      <w:r>
        <w:t xml:space="preserve"> Funders in Europe and incentivizing Open Science — https://doi.org/10.7557/5.4919</w:t>
      </w:r>
    </w:p>
    <w:p>
      <w:pPr/>
      <w:r>
        <w:rPr>
          <w:b/>
        </w:rPr>
        <w:t>Shared claim-specific concepts:</w:t>
      </w:r>
      <w:r>
        <w:t xml:space="preserve"> national, science, project, present; EU scope visible. This is a provisional connection, not an outcome finding.</w:t>
      </w:r>
    </w:p>
    <w:p>
      <w:pPr>
        <w:pStyle w:val="SourceNote"/>
      </w:pPr>
      <w:r>
        <w:rPr>
          <w:b/>
        </w:rPr>
        <w:t>Available abstract (not full text):</w:t>
      </w:r>
      <w:r>
        <w:t xml:space="preserve"> Watch the VIDEO. Funders across Europe are using scholarly communications to increase the impact of their grant results, thereby incentivizing researchers to share their research more openly. This panel session will start by describing the results of a research study called the RIF Project that gleans insights into the policy, rewards and incentives being employed by European research funders to encourage open access to publications and research data for the research they fund. The panel will then respond to the findings and will present and share experience on their policies. Funders across Europe are using scholarly communications to increase the impact of their grant results. More than 60 funders responded to a survey that was conducted in early Spring 2019 coming from key international funding bodies, national funding agencies, major charities and foundations, and national academies; from over 25 countries. The study was led by SPARC Europe in consultation with Science Europe, ALLEA and the EFC. Research Consulting conducted the research. The survey is the first of its kind, since it includes national funding agencies, academies, foundations and charities in Europe. What kinds of policy choices have funders made to influence how grantees increase open access to their research results with as few restrictions as possible? How can funders contribute to changing the research e</w:t>
      </w:r>
    </w:p>
    <w:p>
      <w:pPr/>
      <w:r>
        <w:rPr>
          <w:b/>
        </w:rPr>
        <w:t>POSSIBLE 2019:</w:t>
      </w:r>
      <w:r>
        <w:t xml:space="preserve"> Insights into European research funder Open policies and practices — https://doi.org/10.5281/zenodo.3401277</w:t>
      </w:r>
    </w:p>
    <w:p>
      <w:pPr/>
      <w:r>
        <w:rPr>
          <w:b/>
        </w:rPr>
        <w:t>Shared claim-specific concepts:</w:t>
      </w:r>
      <w:r>
        <w:t xml:space="preserve"> national, science, centre; EU scope visible. This is a provisional connection, not an outcome finding.</w:t>
      </w:r>
    </w:p>
    <w:p>
      <w:pPr>
        <w:pStyle w:val="SourceNote"/>
      </w:pPr>
      <w:r>
        <w:rPr>
          <w:b/>
        </w:rPr>
        <w:t>Available abstract (not full text):</w:t>
      </w:r>
      <w:r>
        <w:t xml:space="preserve"> This report summarises the results of a survey of European research funders on Open Access (OA) and Research Data (RD) policies, commissioned by SPARC Europe, in consultation with representatives from the following organisations: ALLEA, the European Foundation Centre and Science Europe and a wider advisory group. Launched in the spring of 2019, the survey, which targeted about 400 funders, garnered just over 60 responses from 29 countries. The cohort includes important national funding agencies (almost 50%), pan-European funders, national and regional academies, foundations and philanthropic organisations and research charities.</w:t>
      </w:r>
    </w:p>
    <w:p>
      <w:pPr/>
      <w:r>
        <w:rPr>
          <w:b/>
        </w:rPr>
        <w:t>POSSIBLE 2019:</w:t>
      </w:r>
      <w:r>
        <w:t xml:space="preserve"> Funding cardiovascular research in Europe — https://doi.org/10.1093/eurheartj/ehy817</w:t>
      </w:r>
    </w:p>
    <w:p>
      <w:pPr/>
      <w:r>
        <w:rPr>
          <w:b/>
        </w:rPr>
        <w:t>Shared claim-specific concepts:</w:t>
      </w:r>
      <w:r>
        <w:t xml:space="preserve"> funded, national, poland, within, project, number; EU scope visible. This is a provisional connection, not an outcome finding.</w:t>
      </w:r>
    </w:p>
    <w:p>
      <w:pPr>
        <w:pStyle w:val="SourceNote"/>
      </w:pPr>
      <w:r>
        <w:rPr>
          <w:b/>
        </w:rPr>
        <w:t>Available abstract (not full text):</w:t>
      </w:r>
      <w:r>
        <w:t xml:space="preserve"> The second of a two-part article1 examining funding for cardiovascular research on both sides of the Atlantic Ocean, Mark Nicholls speaks to Professor Axel Pries about the current position within Europe Advances in cardiovascular research are being made at a steadily increasing rate across Europe, but this critical work is underpinned with consistent, reliable, and regular funding to ensure that studies, research and clinical trials can continue to be conducted at a high level. There is an array of sources for funding, and while that can vary from one country to another and there are differences in the way it is distributed, it is all directed towards a common goal: of improving and extending knowledge of cardiovascular disease (CVD) and facilitate world-class research to reduce and treat CVD to deliver better outcomes for patients and reduce mortality. Cardiovascular disease remains a prime source of death, killing over four million people a year in the WHO European Region and 1.9 million in the European Union (EU). It is also estimated to cost the EU economy €196 billion every year. Professor Axel Pries, who is President of the Alliance for Biomedical Research in Europe (BioMed Alliance)—which represents the main European societies in the biomedical field and was co-founded by the ESC—explained that most of the funding for cardiovascular research in the EU comes from governme</w:t>
      </w:r>
    </w:p>
    <w:p>
      <w:pPr>
        <w:pStyle w:val="Heading2"/>
      </w:pPr>
      <w:r>
        <w:t>958.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2022:</w:t>
      </w:r>
      <w:r>
        <w:t xml:space="preserve"> The clean development mechanism in Eastern Europe: an in-depth exploration — https://doi.org/10.1007/s11356-022-20988-3</w:t>
      </w:r>
    </w:p>
    <w:p>
      <w:pPr/>
      <w:r>
        <w:rPr>
          <w:b/>
        </w:rPr>
        <w:t>Shared claim-specific concepts:</w:t>
      </w:r>
      <w:r>
        <w:t xml:space="preserve"> cdm, clean, mechanism, there, countries, carry; EU scope visible. This is a provisional connection, not an outcome finding.</w:t>
      </w:r>
    </w:p>
    <w:p>
      <w:pPr>
        <w:pStyle w:val="SourceNote"/>
      </w:pPr>
      <w:r>
        <w:rPr>
          <w:b/>
        </w:rPr>
        <w:t>Available abstract (not full text):</w:t>
      </w:r>
      <w:r>
        <w:t xml:space="preserve"> The Clean Development Mechanism (CDM), a partnership tool founded under the Kyoto Protocol, grants potential opportunities to help developing countries achieve sustainable development. The present research examines the CDM projects in Eastern Europe (Moldova, Serbia, Bosnia and Herzegovina, Montenegro, and Albania). Although there were far fewer projects in this region than, for instance, China or India, it has some specific features that make it worth studying. Major findings are that most CDM projects in Eastern Europe involved a changing combination of two or more sources of financing, and the distribution of projects in the region was uneven. Moreover, although there was a small number of projects overall, they were all cost-effective, long-term and large-scale. The findings of the research call for improvements to be made to the governance of the CDM, by strengthening the international and national regulation of projects and by aggregating the scales of decision-making and actions so that real multi-scalar transnational governance - from the global level down to the local level - is implemented in a coherent manner. It is also recommended to carry out ex-post project evaluations, following which readjustments could be made.</w:t>
      </w:r>
    </w:p>
    <w:p>
      <w:pPr/>
      <w:r>
        <w:rPr>
          <w:b/>
        </w:rPr>
        <w:t>POSSIBLE 2020:</w:t>
      </w:r>
      <w:r>
        <w:t xml:space="preserve"> Preventing Harmful Internet Use-Related Addiction Problems in Europe: A Literature Review and Policy Options — https://doi.org/10.3390/ijerph17113797</w:t>
      </w:r>
    </w:p>
    <w:p>
      <w:pPr/>
      <w:r>
        <w:rPr>
          <w:b/>
        </w:rPr>
        <w:t>Shared claim-specific concepts:</w:t>
      </w:r>
      <w:r>
        <w:t xml:space="preserve"> countries, detailed; EU scope visible. This is a provisional connection, not an outcome finding.</w:t>
      </w:r>
    </w:p>
    <w:p>
      <w:pPr>
        <w:pStyle w:val="SourceNote"/>
      </w:pPr>
      <w:r>
        <w:rPr>
          <w:b/>
        </w:rPr>
        <w:t>Available abstract (not full text):</w:t>
      </w:r>
      <w:r>
        <w:t xml:space="preserve"> Internet use-related addiction problems are increasingly being recognized on a European scale due to international health organizations considering gaming addiction. In April 2013, the American Psychiatric Association recognized Internet Gaming Disorder in the fifth Diagnostic and Statistical Manual of Mental Disorders, and in April 2018, the World Health Organization included Gaming Disorder in the eleventh International Classification of Diseases. However, findings on these problems within this period are lacking in Europe, and a preventive approach is missing globally. A detailed critical literature review was conducted using PsycINFO and Web of Science in this five-year period. A total of 19 studies were reviewed and problems identified were: generalized Internet addiction and online gaming and gambling addictions across seven European countries (i.e., Spain, Germany, France, Italy, Greece, The Netherlands, and Denmark). The individuals with problematic use were found to be educated adolescents, usually young males with comorbid disorders, and gaming and gambling disorders were implicated in the most severe cases. Cognitive behavioral therapy was the main treatment, sometimes combined with a systemic approach for adolescents. Prevalence, high-risk populations, and factors contributing to these addiction problems are discussed, and a set of policy options are developed for t</w:t>
      </w:r>
    </w:p>
    <w:p>
      <w:pPr/>
      <w:r>
        <w:rPr>
          <w:b/>
        </w:rPr>
        <w:t>POSSIBLE 2020:</w:t>
      </w:r>
      <w:r>
        <w:t xml:space="preserve"> The demographic challenge of Eastern Europe and potential policy options — https://doi.org/10.4337/9781839109508.00028</w:t>
      </w:r>
    </w:p>
    <w:p>
      <w:pPr/>
      <w:r>
        <w:rPr>
          <w:b/>
        </w:rPr>
        <w:t>Shared claim-specific concepts:</w:t>
      </w:r>
      <w:r>
        <w:t xml:space="preserve"> include, countries; EU scope visible. This is a provisional connection, not an outcome finding.</w:t>
      </w:r>
    </w:p>
    <w:p>
      <w:pPr>
        <w:pStyle w:val="SourceNote"/>
      </w:pPr>
      <w:r>
        <w:rPr>
          <w:b/>
        </w:rPr>
        <w:t>Available abstract (not full text):</w:t>
      </w:r>
      <w:r>
        <w:t xml:space="preserve"> Eastern Europe’s economic convergence toward the West has come at a high cost. Outward migration to Western Europe was a key driver, and negative demographic trends are increasingly becoming a major socioeconomic challenge. Population projections foresee a drop in the number of inhabitants of Eastern European countries of about 5 per cent to 15 per cent over the next three decades. The available policy options to counter these demographic trends include: increasing productivity, scaling up immigration, raising activity rates or elevating fertility rates. However, the room for more female employment is rather limited in the region; the level of labour-saving robotization is still quite low, when compared to Western Europe; and most countries in the region are not well prepared for the digital economy. Successfully implementing new policies to counter adverse demographic trends also depends on the functioning of institutions. Unfortunately, recent years have seen a rise of authoritarianism and state capture in Eastern Europe, with an anti-immigration stance and negative implications for institutional quality.</w:t>
      </w:r>
    </w:p>
    <w:p>
      <w:pPr/>
      <w:r>
        <w:rPr>
          <w:b/>
        </w:rPr>
        <w:t>POSSIBLE 2015:</w:t>
      </w:r>
      <w:r>
        <w:t xml:space="preserve"> Residential heating with wood and coal: health impacts and policy options in Europe and North America — https://openalex.org/W2240014870</w:t>
      </w:r>
    </w:p>
    <w:p>
      <w:pPr/>
      <w:r>
        <w:rPr>
          <w:b/>
        </w:rPr>
        <w:t>Shared claim-specific concepts:</w:t>
      </w:r>
      <w:r>
        <w:t xml:space="preserve"> without, emissions; EU scope visible. This is a provisional connection, not an outcome finding.</w:t>
      </w:r>
    </w:p>
    <w:p>
      <w:pPr>
        <w:pStyle w:val="SourceNote"/>
      </w:pPr>
      <w:r>
        <w:rPr>
          <w:b/>
        </w:rPr>
        <w:t>Available abstract (not full text):</w:t>
      </w:r>
      <w:r>
        <w:t xml:space="preserve"> Residential heating with wood and coal is an important source of ambient (outdoor) air pollution; it can also cause substantial indoor air pollution through either direct exposure or infiltration from outside.Evidence links emissions from wood and coal heating to serious health effects such as respiratory and cardiovascular mortality and morbidity.Wood and coal burning also emit carcinogenic compounds.The results presented in the report indicate that it will be difficult to tackle outdoor air pollution problems in many parts of the world without addressing this source sector.A better understanding of the role of wood biomass heating as a major source of globally harmful outdoor air pollutants (especially fine particles) is needed among national, regional and local administrations, politicians and the public at large.</w:t>
      </w:r>
    </w:p>
    <w:p>
      <w:pPr/>
      <w:r>
        <w:rPr>
          <w:b/>
        </w:rPr>
        <w:t>POSSIBLE 2014:</w:t>
      </w:r>
      <w:r>
        <w:t xml:space="preserve"> POLICY OPTIONS FOR THE COMPETITIVENESS OF THE CONSTRUCTION SECTOR IN THE EUROPEAN UNION — https://openalex.org/W2175025550</w:t>
      </w:r>
    </w:p>
    <w:p>
      <w:pPr/>
      <w:r>
        <w:rPr>
          <w:b/>
        </w:rPr>
        <w:t>Shared claim-specific concepts:</w:t>
      </w:r>
      <w:r>
        <w:t xml:space="preserve"> include, general; EU scope visible. This is a provisional connection, not an outcome finding.</w:t>
      </w:r>
    </w:p>
    <w:p>
      <w:pPr>
        <w:pStyle w:val="SourceNote"/>
      </w:pPr>
      <w:r>
        <w:rPr>
          <w:b/>
        </w:rPr>
        <w:t>Available abstract (not full text):</w:t>
      </w:r>
      <w:r>
        <w:t xml:space="preserve"> The paper presents, from general macroeconomic context and trends of the global economy in the medium and long term, the main policy options for the EU construction sector competitiveness. These include: creation of favorable conditions to stimulate investment, human capital measures affecting the construction sector, improve resource efficiency and environmental performance of buildings, strengthening the internal market and the global competitive position of EU construction firms. The policy options presented are intended to achieve and maintain sustainable competitive advantages in the long term globally.</w:t>
      </w:r>
    </w:p>
    <w:p>
      <w:pPr/>
      <w:r>
        <w:rPr>
          <w:b/>
        </w:rPr>
        <w:t>POSSIBLE 2014:</w:t>
      </w:r>
      <w:r>
        <w:t xml:space="preserve"> 2014 European guideline on the management of syphilis — https://doi.org/10.1111/jdv.12734</w:t>
      </w:r>
    </w:p>
    <w:p>
      <w:pPr/>
      <w:r>
        <w:rPr>
          <w:b/>
        </w:rPr>
        <w:t>Shared claim-specific concepts:</w:t>
      </w:r>
      <w:r>
        <w:t xml:space="preserve"> option, include, countries; EU scope visible. This is a provisional connection, not an outcome finding.</w:t>
      </w:r>
    </w:p>
    <w:p>
      <w:pPr>
        <w:pStyle w:val="SourceNote"/>
      </w:pPr>
      <w:r>
        <w:rPr>
          <w:b/>
        </w:rPr>
        <w:t>Available abstract (not full text):</w:t>
      </w:r>
      <w:r>
        <w:t xml:space="preserve"> BACKGROUND: Syphilis remains a major public health problem in Europe (both in Eastern Europe since the 1990's and in Western Europe since the re-emergence of the disease in the late 1990's-early 2000's). METHODS: This guideline is an update of the IUSTI: 2008 European guideline on the management of syphilis and is produced by the European Guideline Editorial Board (http://www.iusti.org/regions/Europe/pdf/2013/Editorial_Board.pdf) and EDF Guideline Committee. RESULTS: It provides recommendations concerning the diagnosis and management of syphilis in Europe. Major advances include (1) broader use of PCR, immunohistochemistry, subtyping of the etiological agent Treponema pallidum subspecies pallidum, new treponemal tests, and rapid-point-of-care (POC) tests detecting both treponemal and non-treponemal antibodies, (2) more flexible options for screening (TT-treponemal test- first or NTT -non treponemal test- first or both TT and NTT), and (3) procaine penicillin is no longer the first line therapy option in any phase of the disease, i.e. long acting penicillin G (i.e. benzathine penicillin G-BPG) is the only first line therapy regimen in early syphilis and in late latent syphilis. CONCLUSIONS: Syphilis is a disease that is relatively easy to detect by appropriate serological tests, however, all laboratory results should be considered together with clinical data and sexual risk anam</w:t>
      </w:r>
    </w:p>
    <w:p>
      <w:pPr/>
      <w:r>
        <w:rPr>
          <w:b/>
        </w:rPr>
        <w:t>POSSIBLE 2014:</w:t>
      </w:r>
      <w:r>
        <w:t xml:space="preserve"> Carbon Emission Option Pricing Calculation and Clean Development Mechanism Strategy of Jiangsu:Based on the Pricing Analysis of B-S Model — https://openalex.org/W2372091501</w:t>
      </w:r>
    </w:p>
    <w:p>
      <w:pPr/>
      <w:r>
        <w:rPr>
          <w:b/>
        </w:rPr>
        <w:t>Shared claim-specific concepts:</w:t>
      </w:r>
      <w:r>
        <w:t xml:space="preserve"> option, cdm, clean, mechanism, emissions; EU scope visible. This is a provisional connection, not an outcome finding.</w:t>
      </w:r>
    </w:p>
    <w:p>
      <w:pPr>
        <w:pStyle w:val="SourceNote"/>
      </w:pPr>
      <w:r>
        <w:rPr>
          <w:b/>
        </w:rPr>
        <w:t>Available abstract (not full text):</w:t>
      </w:r>
      <w:r>
        <w:t xml:space="preserve"> It is a tendency to develop low-carbon economy and lift the ability of carbon trade and clean development.Through potential analysis of CDM project progress,economy foundation and resource endowment to developing the carbon trade market of Jiangsu companies,we can find that this district possesses huge space for energy conservation and emissions reduction.Besides,we have introduced real option theory to study of the carbon trading mechanism of empirical research,by using the B-S pricing model and European carbon option trade market data,constructed a carbon option pricing model,then based on the similarity economy comparison between European Union and Jiangsu province,obtained the discounted carbon trading market price of Jiangsu area.at last,around technology,management and policies levels to putting forward some relevant suggestions and measures on CDM mechanism provided beneficial basis and references to Jiangsu companies in stepwise development of carbon trading market under CDM mechanism.</w:t>
      </w:r>
    </w:p>
    <w:p>
      <w:pPr>
        <w:pStyle w:val="Heading2"/>
      </w:pPr>
      <w:r>
        <w:t>959.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2022:</w:t>
      </w:r>
      <w:r>
        <w:t xml:space="preserve"> European Economic impacts of cutting energy imports from Russia: A computable general equilibrium analysis — https://doi.org/10.1016/j.esr.2022.101006</w:t>
      </w:r>
    </w:p>
    <w:p>
      <w:pPr/>
      <w:r>
        <w:rPr>
          <w:b/>
        </w:rPr>
        <w:t>Shared claim-specific concepts:</w:t>
      </w:r>
      <w:r>
        <w:t xml:space="preserve"> current, import, gas, strong, russian, especially; EU scope visible. This is a provisional connection, not an outcome finding.</w:t>
      </w:r>
    </w:p>
    <w:p>
      <w:pPr>
        <w:pStyle w:val="SourceNote"/>
      </w:pPr>
      <w:r>
        <w:rPr>
          <w:b/>
        </w:rPr>
        <w:t>Available abstract (not full text):</w:t>
      </w:r>
      <w:r>
        <w:t xml:space="preserve"> The recent economic sanctions against Russia can jeopardize the sustainability of the European Union’s (EU) energy supply. Despite the EU’s strong commitment to stringent abatement targets, fossil fuels still play a significant role in the EU energy policy. And high dependency on Russian energy supplies underlines the vulnerability of the EU energy security. Using a global computable general equilibrium model, we prove that the current EU embargo on coal and oil imported from Russia will have adverse supply effects, substantially increasing energy prices and welfare costs for the EU resident. Although it reduces emissions, extending the embargo to include natural gas doubles this welfare cost. The use of coal is likely to increase, especially in EU electricity generation, given the current constraints of additional import capacities from non-Russian producers. For Russia, a more substantial depreciation of the ruble because of the cut in natural gas exports to the EU could stimulate higher exports outside the EU, potentially easing its welfare loss.</w:t>
      </w:r>
    </w:p>
    <w:p>
      <w:pPr/>
      <w:r>
        <w:rPr>
          <w:b/>
        </w:rPr>
        <w:t>POSSIBLE 2020:</w:t>
      </w:r>
      <w:r>
        <w:t xml:space="preserve"> Methane emissions from natural gas and LNG imports: An increasingly urgent issue for the future of gas in Europe — https://openalex.org/W3129629820</w:t>
      </w:r>
    </w:p>
    <w:p>
      <w:pPr/>
      <w:r>
        <w:rPr>
          <w:b/>
        </w:rPr>
        <w:t>Shared claim-specific concepts:</w:t>
      </w:r>
      <w:r>
        <w:t xml:space="preserve"> import, gas, already, there, countries; EU scope visible. This is a provisional connection, not an outcome finding.</w:t>
      </w:r>
    </w:p>
    <w:p>
      <w:pPr>
        <w:pStyle w:val="SourceNote"/>
      </w:pPr>
      <w:r>
        <w:rPr>
          <w:b/>
        </w:rPr>
        <w:t>Available abstract (not full text):</w:t>
      </w:r>
      <w:r>
        <w:t xml:space="preserve"> Pressure is mounting on the natural gas and LNG community to reduce methane emissions and this is most urgent in EU countries following the adoption of much tougher greenhouse gas reduction targets of 2030 and the publication of the European Commission's Methane Strategy. With rapidly declining indigenous EU production and therefore rising import dependence, there are increasing calls for emissions from imported pipeline gas and LNG to be quantified and based on actual measurements, as opposed to standard emission factors. The Methane Strategy promises to be a significant milestone in that process. Companies which are supplying (or intending to supply) natural gas to the EU - the largest global import market for pipeline gas and a very significant market for LNG - would be well advised to pay close attention to how the regulation of methane emissions is unfolding, and to make an immediate and positive response. Failure to do so could accelerate the demise of natural gas in European energy balances faster than would otherwise have been the case, and shorten the time available for transition to decarbonised gases - specifically hydrogen - using existing natural gas infrastructure. This EU initiative will (and arguably already has) attracted attention from non-EU governments and companies involved in global gas and LNG trade. We have already seen deliveries of 'carbon neutral' LNG</w:t>
      </w:r>
    </w:p>
    <w:p>
      <w:pPr/>
      <w:r>
        <w:rPr>
          <w:b/>
        </w:rPr>
        <w:t>POSSIBLE 2020:</w:t>
      </w:r>
      <w:r>
        <w:t xml:space="preserve"> The dilemma of gas importing and exporting countries — https://doi.org/10.26889/9781784671624</w:t>
      </w:r>
    </w:p>
    <w:p>
      <w:pPr/>
      <w:r>
        <w:rPr>
          <w:b/>
        </w:rPr>
        <w:t>Shared claim-specific concepts:</w:t>
      </w:r>
      <w:r>
        <w:t xml:space="preserve"> gas, there, especially, countries; EU scope not established. This is a provisional connection, not an outcome finding.</w:t>
      </w:r>
    </w:p>
    <w:p>
      <w:pPr>
        <w:pStyle w:val="SourceNote"/>
      </w:pPr>
      <w:r>
        <w:rPr>
          <w:b/>
        </w:rPr>
        <w:t>Available abstract (not full text):</w:t>
      </w:r>
      <w:r>
        <w:t xml:space="preserve"> At a time of low prices and an apparent surplus of supply in the global gas market it is important to try and identify new sources of demand, especially for LNG. In this respect, one interesting theme is how some countries are switching from their traditional role as LNG exporters to becoming importers of gas as their indigenous demand grows. Ieda Gomes explores this concept using the case studies of Malaysia and Indonesia, and she attempts to identify the key drivers behind the shifts in the gas economies of both countries. Significantly, though, there are also a few countries where gas has an existing role in the domestic energy economy, and which have historically imported gas, which have now found new gas resources and are starting to export. A prime example of this is Argentina, where the discovery of large shale gas resources has led to a gas surplus and the opportunity to generate export revenues. This paper analyses this example as a contrast to the first two and examines whether it is a sustainable situation. Overall, we believe that this paper can provide some important insights into the factors which can influence the position of gas in a country’s energy balance, especially if the prevalence of hydrocarbons has created a dependency via subsidies prices or other politically-driven strategies. There are a number of other examples around the world where the demands of </w:t>
      </w:r>
    </w:p>
    <w:p>
      <w:pPr/>
      <w:r>
        <w:rPr>
          <w:b/>
        </w:rPr>
        <w:t>POSSIBLE 2019:</w:t>
      </w:r>
      <w:r>
        <w:t xml:space="preserve"> Assessment of IMERG Precipitation Estimates over Europe — https://doi.org/10.3390/rs11212470</w:t>
      </w:r>
    </w:p>
    <w:p>
      <w:pPr/>
      <w:r>
        <w:rPr>
          <w:b/>
        </w:rPr>
        <w:t>Shared claim-specific concepts:</w:t>
      </w:r>
      <w:r>
        <w:t xml:space="preserve"> estimates, there, eastern; EU scope visible. This is a provisional connection, not an outcome finding.</w:t>
      </w:r>
    </w:p>
    <w:p>
      <w:pPr>
        <w:pStyle w:val="SourceNote"/>
      </w:pPr>
      <w:r>
        <w:rPr>
          <w:b/>
        </w:rPr>
        <w:t>Available abstract (not full text):</w:t>
      </w:r>
      <w:r>
        <w:t xml:space="preserve"> This paper evaluates Integrated Multi-Satellite Retrievals from GPM (IMERG-F) over Europe for the period 2014–2018 in order to evaluate application of the retrievals to hydrology. IMERG-F is compared with a large pan-European precipitation dataset built on rain gauge stations, i.e., the ENSEMBLES OBServation (E-OBS) gridded dataset. Although there is overall agreement in the spatial distribution of mean precipitation (R2 = 0.8), important discrepancies are revealed in mountainous regions, specifically the Alps, Pyrenees, west coast of the British Isles, Scandinavia, the Iberian and Italian peninsulas, and the Adriatic coastline. The results show that the strongest contributors to poor performance are pixels where IMERG-F has no gauges available for adjustment. If rain gauges are available, IMERG-F yields results similar to those of the surface observations, although the performance varies by region. However, even accounting for gauge adjustment, IMERG-F systematically underestimates precipitation in the Alps and Scandinavian mountains. Conversely, IMERG-F overestimates precipitation in the British Isles, Italian Peninsula, Adriatic coastline, and eastern European plains. Additionally, the research shows that gauge adjustment worsens the spatial gradient of precipitation because of the coarse resolution of Global Precipitation Climatology Centre data.</w:t>
      </w:r>
    </w:p>
    <w:p>
      <w:pPr/>
      <w:r>
        <w:rPr>
          <w:b/>
        </w:rPr>
        <w:t>POSSIBLE 2018:</w:t>
      </w:r>
      <w:r>
        <w:t xml:space="preserve"> Predicting Medical Students’ Current Attitudes Toward Psychiatry, Interest in Psychiatry, and Estimated Likelihood of Working in Psychiatry: A Cross-Sectional Study in Four European Countries — https://doi.org/10.3389/fpsyt.2018.00049</w:t>
      </w:r>
    </w:p>
    <w:p>
      <w:pPr/>
      <w:r>
        <w:rPr>
          <w:b/>
        </w:rPr>
        <w:t>Shared claim-specific concepts:</w:t>
      </w:r>
      <w:r>
        <w:t xml:space="preserve"> current, need, there, countries; EU scope visible. This is a provisional connection, not an outcome finding.</w:t>
      </w:r>
    </w:p>
    <w:p>
      <w:pPr>
        <w:pStyle w:val="SourceNote"/>
      </w:pPr>
      <w:r>
        <w:rPr>
          <w:b/>
        </w:rPr>
        <w:t>Available abstract (not full text):</w:t>
      </w:r>
      <w:r>
        <w:t xml:space="preserve"> Psychiatry as a medical discipline is becoming increasingly important due to the high and increasing world-wide burden associated with mental disorders. Surprisingly, however, there is a lack of young academics choosing psychiatry as a career. Previous evidence on medical students’ perspectives is abundant but has methodological shortcomings. Therefore, by attempting to avoid previous shortcomings, we aimed to contribute to a better understanding of the predictors of the following three outcome variables: current medical students’ attitudes towards psychiatry, interest in psychiatry and estimated likelihood of working in psychiatry. The sample consisted of N = 1356 medical students at 45 medical schools in Germany and Austria as well as regions of Switzerland and Hungary with a German language curriculum. We used snowball sampling via Facebook with a link to an online questionnaire as recruitment procedure. Snowball sampling is based on referrals made among people. This questionnaire included a German version of the Attitudes Towards Psychiatry Scale (ATP-30-G) and further variables related to outcomes and potential predictors in terms of sociodemography (e.g. gender) or medical training (e.g. curriculum-related experience with psychiatry). Data were analysed by linear mixed models and further regression models. On average, students had a positive attitude to and high general i</w:t>
      </w:r>
    </w:p>
    <w:p>
      <w:pPr/>
      <w:r>
        <w:rPr>
          <w:b/>
        </w:rPr>
        <w:t>POSSIBLE 2018:</w:t>
      </w:r>
      <w:r>
        <w:t xml:space="preserve"> Annual number of candidates for transcatheter aortic valve implantation per country: current estimates and future projections — https://doi.org/10.1093/eurheartj/ehy107</w:t>
      </w:r>
    </w:p>
    <w:p>
      <w:pPr/>
      <w:r>
        <w:rPr>
          <w:b/>
        </w:rPr>
        <w:t>Shared claim-specific concepts:</w:t>
      </w:r>
      <w:r>
        <w:t xml:space="preserve"> current, estimates, predict, countries; EU scope visible. This is a provisional connection, not an outcome finding.</w:t>
      </w:r>
    </w:p>
    <w:p>
      <w:pPr>
        <w:pStyle w:val="SourceNote"/>
      </w:pPr>
      <w:r>
        <w:rPr>
          <w:b/>
        </w:rPr>
        <w:t>Available abstract (not full text):</w:t>
      </w:r>
      <w:r>
        <w:t xml:space="preserve"> Aims: The number of transcatheter aortic valve implantation (TAVI) procedures is rapidly increasing. This has a major impact on health care resource planning. However, the annual numbers of TAVI candidates per country are unknown. The aim of this study was to estimate current and future number of annual TAVI candidates in 27 European countries, the USA and Canada. Methods and results: Systematic literature searches and meta-analyses were performed on aortic stenosis (AS) epidemiology and decision-making in severe symptomatic AS. The incidence rate of severe AS was determined. Findings were combined with population statistics and integrated into a model employing Monte Carlo simulations to predict the annual number of TAVI candidates. Various future scenarios and sensitivity analyses were explored. Data from 37 studies (n = 26 402) informed the model. The calculated incidence rate of severe AS was 4.4‰/year [95% confidence interval (95% CI) 3.0-6.1‰] in patients ≥65 years. AS-related symptoms were present in 68.3% (95% CI 60.8-75.9%) of patients with severe AS. Despite having severe symptomatic AS, 41.6% (95% CI 36.9-46.3%) did not undergo surgical aortic valve replacement. Of the non-operated patients, 61.7% (95% CI 42.0-81.7%) received TAVI. The model predicted 114 757 (95% CI 69 380-172 799) European and 58 556 (95% CI 35 631-87 738) Northern-American TAVI candidates annually</w:t>
      </w:r>
    </w:p>
    <w:p>
      <w:pPr/>
      <w:r>
        <w:rPr>
          <w:b/>
        </w:rPr>
        <w:t>POSSIBLE 2018:</w:t>
      </w:r>
      <w:r>
        <w:t xml:space="preserve"> The Influence of Imports and Exports on the Evolution of Greenhouse Gas Emissions: The Case for the European Union — https://doi.org/10.3390/en11071644</w:t>
      </w:r>
    </w:p>
    <w:p>
      <w:pPr/>
      <w:r>
        <w:rPr>
          <w:b/>
        </w:rPr>
        <w:t>Shared claim-specific concepts:</w:t>
      </w:r>
      <w:r>
        <w:t xml:space="preserve"> import, gas, countries; EU scope visible. This is a provisional connection, not an outcome finding.</w:t>
      </w:r>
    </w:p>
    <w:p>
      <w:pPr>
        <w:pStyle w:val="SourceNote"/>
      </w:pPr>
      <w:r>
        <w:rPr>
          <w:b/>
        </w:rPr>
        <w:t>Available abstract (not full text):</w:t>
      </w:r>
      <w:r>
        <w:t xml:space="preserve"> Part of a country’s emissions are caused by producing goods for export to other countries, while a country’s own needs also generate emissions in other parts of the world that are associated with the products they import. Our interest was to evaluate the influence of imports and exports of goods and services on greenhouse gas (GHG) emissions in a data panel composed of 30 countries over 21 years. We included as control variables the gross domestic product per capita, employment, an indicator of the economic crisis and a non-linear trend and inferences were performed using a Bayesian framework. The results showed that it was the exports and imports of goods, rather than services, that were related to CO2-equivalent levels. Exports and imports of goods were very inelastic, albeit less so in the case of the index. In summary, the more a country imports, the higher their GHG emission levels are. However, it is important to point out that when employment rates are higher more energy is consumed and GHG emissions are greater. In richer countries, GDP per capita is the factor that best explains why their emissions are so high.</w:t>
      </w:r>
    </w:p>
    <w:p>
      <w:pPr/>
      <w:r>
        <w:rPr>
          <w:b/>
        </w:rPr>
        <w:t>POSSIBLE 2018:</w:t>
      </w:r>
      <w:r>
        <w:t xml:space="preserve"> Anticipatory strategies for Eastern European natural gas security — https://doi.org/10.15781/t2gh9bt0w</w:t>
      </w:r>
    </w:p>
    <w:p>
      <w:pPr/>
      <w:r>
        <w:rPr>
          <w:b/>
        </w:rPr>
        <w:t>Shared claim-specific concepts:</w:t>
      </w:r>
      <w:r>
        <w:t xml:space="preserve"> import, gas, russian, eastern, countries; EU scope visible. This is a provisional connection, not an outcome finding.</w:t>
      </w:r>
    </w:p>
    <w:p>
      <w:pPr>
        <w:pStyle w:val="SourceNote"/>
      </w:pPr>
      <w:r>
        <w:rPr>
          <w:b/>
        </w:rPr>
        <w:t>Available abstract (not full text):</w:t>
      </w:r>
      <w:r>
        <w:t xml:space="preserve"> Countries asymmetrically dependent on the import of energy resources are potentially vulnerable to coercion from supplier states. Anticipating the potential for coercion, asymmetrically dependent states will make infrastructure improvements to substitute supply if the cost of these improvements is lower than the potential cost of coercion. This thesis provides a pricing framework for members of the European Union to estimate substitution strategies in order to reduce dependence on and the potential for coercion by Russia. Currently, Russia provides roughly 30% of the EU’s natural gas consumption and half of this gas is transported by pipeline through Ukraine in order to secure gas security. In 2006 and 2009, supply disruptions occurred due to a breakdown in negotiations between Russia and Ukraine, and EU members responded by constructing the necessary infrastructure to substitute Russian gas transited through Ukraine. The infrastructure improvements employed by the EU and its member states are examined to provide a pricing framework for countries still asymmetrically dependent. These strategies include LNG import facilities, new pipeline construction, reversing the flow of existing pipelines, and adding natural gas storage. This thesis applies the pricing framework to Finland and Bulgaria to evaluate which strategies would be most effective in terms of cost and the provision of</w:t>
      </w:r>
    </w:p>
    <w:p>
      <w:pPr/>
      <w:r>
        <w:rPr>
          <w:b/>
        </w:rPr>
        <w:t>POSSIBLE 2018:</w:t>
      </w:r>
      <w:r>
        <w:t xml:space="preserve"> Persistence of Oil Prices in Gas Import Prices and the Resilience of the Oil-Indexation Mechanism. The Case of Spanish Gas Import Prices — https://doi.org/10.3390/en11123486</w:t>
      </w:r>
    </w:p>
    <w:p>
      <w:pPr/>
      <w:r>
        <w:rPr>
          <w:b/>
        </w:rPr>
        <w:t>Shared claim-specific concepts:</w:t>
      </w:r>
      <w:r>
        <w:t xml:space="preserve"> import, gas, about; EU scope visible. This is a provisional connection, not an outcome finding.</w:t>
      </w:r>
    </w:p>
    <w:p>
      <w:pPr>
        <w:pStyle w:val="SourceNote"/>
      </w:pPr>
      <w:r>
        <w:rPr>
          <w:b/>
        </w:rPr>
        <w:t>Available abstract (not full text):</w:t>
      </w:r>
      <w:r>
        <w:t xml:space="preserve"> Regardless of the rapid development of national gas centers around the world, oil price indexation remains the prevailing pricing process in Continental Europe and the Far East. The instance of Spain is a genuine case where gas supply conditions may, to some extent, clarify the slower pace of execution of a traded gas hub in the nation. This article seeks to explain the persistence of oil-indexed pricing mechanisms, a price model that differs oddly from that of other major commodities, the price of which is normally discovered on the market. In order to do that, we examine time-varying volatility to find that since 2013 until 2016, just about 33% of gradual volatility clustering rooted within oil Brent prices is reflected in Spanish gas prices. In this sense, our research provides quantitative tools to better understand that market-based approaches such as spot and medium-term supply alternatives seem to be a key driver for success in transforming gas markets. Regular updates on the size of the effects observed should facilitate an exact appraisal of the level of progression of national gas liberalization processes and enhance gas markets transparency, these issues of extraordinary importance for both policymakers and gas market agents.</w:t>
      </w:r>
    </w:p>
    <w:p>
      <w:pPr>
        <w:pStyle w:val="Heading2"/>
      </w:pPr>
      <w:r>
        <w:t>960.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2023:</w:t>
      </w:r>
      <w:r>
        <w:t xml:space="preserve"> Scenario Development Using Foresight Studies — https://doi.org/10.5281/zenodo.7944509</w:t>
      </w:r>
    </w:p>
    <w:p>
      <w:pPr/>
      <w:r>
        <w:rPr>
          <w:b/>
        </w:rPr>
        <w:t>Shared claim-specific concepts:</w:t>
      </w:r>
      <w:r>
        <w:t xml:space="preserve"> foresight, used, across, process, tools; EU scope visible. This is a provisional connection, not an outcome finding.</w:t>
      </w:r>
    </w:p>
    <w:p>
      <w:pPr>
        <w:pStyle w:val="SourceNote"/>
      </w:pPr>
      <w:r>
        <w:rPr>
          <w:b/>
        </w:rPr>
        <w:t>Available abstract (not full text):</w:t>
      </w:r>
      <w:r>
        <w:t xml:space="preserve">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pPr/>
      <w:r>
        <w:rPr>
          <w:b/>
        </w:rPr>
        <w:t>POSSIBLE 2022:</w:t>
      </w:r>
      <w:r>
        <w:t xml:space="preserve"> Surveillance and Foresight Process of the Sustainable City Context: Innovation Potential Niches and Trends at the European Level — https://doi.org/10.3390/su14148795</w:t>
      </w:r>
    </w:p>
    <w:p>
      <w:pPr/>
      <w:r>
        <w:rPr>
          <w:b/>
        </w:rPr>
        <w:t>Shared claim-specific concepts:</w:t>
      </w:r>
      <w:r>
        <w:t xml:space="preserve"> foresight, projects, process, important, also, them; EU scope visible. This is a provisional connection, not an outcome finding.</w:t>
      </w:r>
    </w:p>
    <w:p>
      <w:pPr>
        <w:pStyle w:val="SourceNote"/>
      </w:pPr>
      <w:r>
        <w:rPr>
          <w:b/>
        </w:rPr>
        <w:t>Available abstract (not full text):</w:t>
      </w:r>
      <w:r>
        <w:t xml:space="preserve"> Over the last decades, the environmental situation of the planet has worsened. Much of the pollution and energy consumption is attributed to cities, which are expected to increase in size and population in the coming years. It is therefore necessary to develop systems to make them more sustainable and resilient. In this regard, different agendas, strategies, and regulations have been published, such as the 2030 Agenda. The current research carried out a surveillance and foresight process at the European level in the field of the sustainable city, analyzing actions accomplished, ongoing, or forthcoming from 2014 to the present (2020) and coming years. The objective is to identify the potential niches and opportunities for decision making to develop successful projects in this sector. The study concludes that one of the most promoted themes is related to the environment, highlighting nature and biodiversity in cities to improve environmental quality and achieve the decarbonization necessary to fight climate change. Furthermore, society plays an important role, emphasizing the need to promote the population’s inclusion and empowerment. It also underlines the promotion of urban regeneration, which should include energy transition and digitalization to create smart cities, with local circular economies.</w:t>
      </w:r>
    </w:p>
    <w:p>
      <w:pPr/>
      <w:r>
        <w:rPr>
          <w:b/>
        </w:rPr>
        <w:t>POSSIBLE 2021:</w:t>
      </w:r>
      <w:r>
        <w:t xml:space="preserve"> Foresight Capacity Building — https://doi.org/10.5281/zenodo.6630549</w:t>
      </w:r>
    </w:p>
    <w:p>
      <w:pPr/>
      <w:r>
        <w:rPr>
          <w:b/>
        </w:rPr>
        <w:t>Shared claim-specific concepts:</w:t>
      </w:r>
      <w:r>
        <w:t xml:space="preserve"> foresight, used, specific, also, related; EU scope visible. This is a provisional connection, not an outcome finding.</w:t>
      </w:r>
    </w:p>
    <w:p>
      <w:pPr>
        <w:pStyle w:val="SourceNote"/>
      </w:pPr>
      <w:r>
        <w:rPr>
          <w:b/>
        </w:rPr>
        <w:t>Available abstract (not full text):</w:t>
      </w:r>
      <w:r>
        <w:t xml:space="preserve">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pPr/>
      <w:r>
        <w:rPr>
          <w:b/>
        </w:rPr>
        <w:t>POSSIBLE 2020:</w:t>
      </w:r>
      <w:r>
        <w:t xml:space="preserve"> Project FORESIGHT: A ten-year retrospective — https://doi.org/10.1016/j.fsisyn.2020.08.005</w:t>
      </w:r>
    </w:p>
    <w:p>
      <w:pPr/>
      <w:r>
        <w:rPr>
          <w:b/>
        </w:rPr>
        <w:t>Shared claim-specific concepts:</w:t>
      </w:r>
      <w:r>
        <w:t xml:space="preserve"> foresight, used, process, also; EU scope not established. This is a provisional connection, not an outcome finding.</w:t>
      </w:r>
    </w:p>
    <w:p>
      <w:pPr>
        <w:pStyle w:val="SourceNote"/>
      </w:pPr>
      <w:r>
        <w:rPr>
          <w:b/>
        </w:rPr>
        <w:t>Available abstract (not full text):</w:t>
      </w:r>
      <w:r>
        <w:t xml:space="preserve"> Forensic service providers fulfill a fundamental role in a criminal justice system by providing scientific information that aids investigations and court proceedings. While the focus is often on the science aspect of these organizations, the provision is also of paramount importance. Historically, calls for more and better information about forensic laboratory performance (in essence, benchmarking) have gone unheard. Project FORESIGHT, created in 2008, filled this need through engagement with the forensic management community to build a needs-based process for providing operational data that can be used to enhance a laboratory's performance. With over 10 years of industry data, Project FORESIGHT is the de facto standard for benchmarking forensic service provision.</w:t>
      </w:r>
    </w:p>
    <w:p>
      <w:pPr/>
      <w:r>
        <w:rPr>
          <w:b/>
        </w:rPr>
        <w:t>POSSIBLE 2019:</w:t>
      </w:r>
      <w:r>
        <w:t xml:space="preserve"> Horizon Scanning in Foresight – Why Horizon Scanning is only a part of the game — https://doi.org/10.1002/ffo2.23</w:t>
      </w:r>
    </w:p>
    <w:p>
      <w:pPr/>
      <w:r>
        <w:rPr>
          <w:b/>
        </w:rPr>
        <w:t>Shared claim-specific concepts:</w:t>
      </w:r>
      <w:r>
        <w:t xml:space="preserve"> foresight, projects, used, world, process, also; EU scope visible. This is a provisional connection, not an outcome finding.</w:t>
      </w:r>
    </w:p>
    <w:p>
      <w:pPr>
        <w:pStyle w:val="SourceNote"/>
      </w:pPr>
      <w:r>
        <w:rPr>
          <w:b/>
        </w:rPr>
        <w:t>Available abstract (not full text):</w:t>
      </w:r>
      <w:r>
        <w:t xml:space="preserve">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pPr/>
      <w:r>
        <w:rPr>
          <w:b/>
        </w:rPr>
        <w:t>POSSIBLE 2019:</w:t>
      </w:r>
      <w:r>
        <w:t xml:space="preserve"> European electricity sector decarbonization under different levels of foresight — https://doi.org/10.1016/j.renene.2019.02.099</w:t>
      </w:r>
    </w:p>
    <w:p>
      <w:pPr/>
      <w:r>
        <w:rPr>
          <w:b/>
        </w:rPr>
        <w:t>Shared claim-specific concepts:</w:t>
      </w:r>
      <w:r>
        <w:t xml:space="preserve"> foresight, specific, also; EU scope visible. This is a provisional connection, not an outcome finding.</w:t>
      </w:r>
    </w:p>
    <w:p>
      <w:pPr>
        <w:pStyle w:val="SourceNote"/>
      </w:pPr>
      <w:r>
        <w:rPr>
          <w:b/>
        </w:rPr>
        <w:t>Available abstract (not full text):</w:t>
      </w:r>
      <w:r>
        <w:t xml:space="preserve"> The European Union has set out to reduce the carbon intensity of its electricity generation substantially, as defined in the European Roadmap 2050. This paper analyses the impact of foresight towards decarbonization targets on the investment decisions in the European electricity sector using a specific model developed by the authors called dynELMOD. Incorporating the climate targets makes the investment into any additional fossil capacity uneconomic from 2025 onwards, resulting in a coal and natural gas phase-out in the 2040s. Limited foresight thus results in stranded investments of fossil capacities in the 2020s. Using a CO2 budgetary approach, on the other hand, leads to an even sharper emission reduction in the early periods before 2030, reducing overall costs. We also find that renewables carry the major burden of decarbonization; nuclear power (3rd or 4th generation) is unable to compete with other fuels and will, therefore, be phased out over time.</w:t>
      </w:r>
    </w:p>
    <w:p>
      <w:pPr>
        <w:pStyle w:val="Heading2"/>
      </w:pPr>
      <w:r>
        <w:t>961.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2024:</w:t>
      </w:r>
      <w:r>
        <w:t xml:space="preserve"> USING AN INDICATIVE APPROACH TO ASSESSING THE SECURITY OF ELECTRICITY SUPPLY — https://doi.org/10.15407/srenergy2024.04.132</w:t>
      </w:r>
    </w:p>
    <w:p>
      <w:pPr/>
      <w:r>
        <w:rPr>
          <w:b/>
        </w:rPr>
        <w:t>Shared claim-specific concepts:</w:t>
      </w:r>
      <w:r>
        <w:t xml:space="preserve"> focus, planning, security, further; EU scope visible. This is a provisional connection, not an outcome finding.</w:t>
      </w:r>
    </w:p>
    <w:p>
      <w:pPr>
        <w:pStyle w:val="SourceNote"/>
      </w:pPr>
      <w:r>
        <w:rPr>
          <w:b/>
        </w:rPr>
        <w:t>Available abstract (not full text):</w:t>
      </w:r>
      <w:r>
        <w:t xml:space="preserve">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pPr/>
      <w:r>
        <w:rPr>
          <w:b/>
        </w:rPr>
        <w:t>POSSIBLE 2023:</w:t>
      </w:r>
      <w:r>
        <w:t xml:space="preserve"> European experience in ensuring the financial security of financial institutions — https://doi.org/10.33108/galicianvisnyk_tntu2023.05.092</w:t>
      </w:r>
    </w:p>
    <w:p>
      <w:pPr/>
      <w:r>
        <w:rPr>
          <w:b/>
        </w:rPr>
        <w:t>Shared claim-specific concepts:</w:t>
      </w:r>
      <w:r>
        <w:t xml:space="preserve"> approaches, focus, security, analyzing, environment; EU scope visible. This is a provisional connection, not an outcome finding.</w:t>
      </w:r>
    </w:p>
    <w:p>
      <w:pPr>
        <w:pStyle w:val="SourceNote"/>
      </w:pPr>
      <w:r>
        <w:rPr>
          <w:b/>
        </w:rPr>
        <w:t>Available abstract (not full text):</w:t>
      </w:r>
      <w:r>
        <w:t xml:space="preserve"> The article is dedicated to exploring the essence of financial security for financial institutions in Ukraine in the context of a state of war and providing proposals for its enhancement. In light of international events, particularly the full-scale invasion and aggression by the russian federation, the insufficient level of financial security of Ukrainian financial institutions becomes exceptionally pertinent. Therefore, identifying internal and external threats to the financial security of these institutions during wartime, along with developing a strategy to neutralize these threats and enhance the effectiveness of financial security, emerges as an extremely relevant task. The article substantiates the significance of developing a strategic plan to bolster Ukraine's financial security, with a focus on the control of financial institution activities. The author meticulously examines key aspects and methods of ensuring stability and reliability of financial institutions in the European Union. Additionally, key elements of controlling financial institution activities within the context of Ukraine's financial sector development strategy are studied and compared with methods applied in other countries around the world. The article comprehensively examines practices and strategies for financial stability of institutions in European Union countries such as the Netherlands, Belgium,</w:t>
      </w:r>
    </w:p>
    <w:p>
      <w:pPr/>
      <w:r>
        <w:rPr>
          <w:b/>
        </w:rPr>
        <w:t>POSSIBLE 2023:</w:t>
      </w:r>
      <w:r>
        <w:t xml:space="preserve"> The regulatory security state in Europe — https://doi.org/10.1080/13501763.2023.2172061</w:t>
      </w:r>
    </w:p>
    <w:p>
      <w:pPr/>
      <w:r>
        <w:rPr>
          <w:b/>
        </w:rPr>
        <w:t>Shared claim-specific concepts:</w:t>
      </w:r>
      <w:r>
        <w:t xml:space="preserve"> security, framework, analyzing; EU scope visible. This is a provisional connection, not an outcome finding.</w:t>
      </w:r>
    </w:p>
    <w:p>
      <w:pPr>
        <w:pStyle w:val="SourceNote"/>
      </w:pPr>
      <w:r>
        <w:rPr>
          <w:b/>
        </w:rPr>
        <w:t>Available abstract (not full text):</w:t>
      </w:r>
      <w:r>
        <w:t xml:space="preserve"> The ‘regulatory state’ has prevailed in almost every sector of European public policy. The provision of security, however, is still widely viewed as the domain of the ‘positive state’, which rests on political authority and autonomous capacities. Challenging this presumption, we argue that expertise – as foundation of authority – and rules – as policy instruments – also shape the provision of European security by national and, in particular, supranational ‘regulatory security states’, namely the European Union (EU). We lay out a framework for mapping the uneven and contested rise of European regulatory security states; analyzing drivers and constraints of security state reforms; and grasping the implications of the regulatory security state for the effectiveness and democratic legitimacy of European security policy-making. We advance the research program on the regulatory state and contribute to an innovative understanding of who governs security in Europe’s multi-level polity, by what means, and on what legitimatory grounds.</w:t>
      </w:r>
    </w:p>
    <w:p>
      <w:pPr/>
      <w:r>
        <w:rPr>
          <w:b/>
        </w:rPr>
        <w:t>POSSIBLE 2022:</w:t>
      </w:r>
      <w:r>
        <w:t xml:space="preserve"> Chemical Looping Combustion and Gasification: A Review and a Focus on European Research Projects — https://doi.org/10.1021/acs.iecr.2c02677</w:t>
      </w:r>
    </w:p>
    <w:p>
      <w:pPr/>
      <w:r>
        <w:rPr>
          <w:b/>
        </w:rPr>
        <w:t>Shared claim-specific concepts:</w:t>
      </w:r>
      <w:r>
        <w:t xml:space="preserve"> focus, they, provide; EU scope visible. This is a provisional connection, not an outcome finding.</w:t>
      </w:r>
    </w:p>
    <w:p>
      <w:pPr>
        <w:pStyle w:val="SourceNote"/>
      </w:pPr>
      <w:r>
        <w:rPr>
          <w:b/>
        </w:rPr>
        <w:t>Available abstract (not full text):</w:t>
      </w:r>
      <w:r>
        <w:t xml:space="preserve"> Climate change has driven attention toward promoting sustainable policies and processes to contain global warming below +1.5 &amp; DEG;C. Negative emission technologies (NET)-bioenergy with carbon capture and storage in particular (BECCS)-are expected to contribute to the achievement of that target. Recent research and development concerning NET focused on chemical looping combustion (CLC) and chemical looping gasification (CLG), as they should limit cost-and energy-penalties associated with carbon capture and storage thanks to solid materials known as oxygen carriers (OCs). This review aims to provide an introductory tool about CLC and CLG and their possible role as NET if fed with biomasses to obtain BECCS. A critical overlook is proposed concerning chemical looping reactions, fuels, types of OCs, and reactor systems developed at different scales, focusing on recent and current European research projects and remarks on the subsequent developments.</w:t>
      </w:r>
    </w:p>
    <w:p>
      <w:pPr/>
      <w:r>
        <w:rPr>
          <w:b/>
        </w:rPr>
        <w:t>POSSIBLE 2022:</w:t>
      </w:r>
      <w:r>
        <w:t xml:space="preserve"> Approaches to Implementing National Action Plans on Women, Peace and Security — https://doi.org/10.19088/k4d.2022.049</w:t>
      </w:r>
    </w:p>
    <w:p>
      <w:pPr/>
      <w:r>
        <w:rPr>
          <w:b/>
        </w:rPr>
        <w:t>Shared claim-specific concepts:</w:t>
      </w:r>
      <w:r>
        <w:t xml:space="preserve"> approaches, focus, security, time, support, they; EU scope not established. This is a provisional connection, not an outcome finding.</w:t>
      </w:r>
    </w:p>
    <w:p>
      <w:pPr>
        <w:pStyle w:val="SourceNote"/>
      </w:pPr>
      <w:r>
        <w:rPr>
          <w:b/>
        </w:rPr>
        <w:t>Available abstract (not full text):</w:t>
      </w:r>
      <w:r>
        <w:t xml:space="preserve"> This report aims to identify a selection of programmes and projects undertaken by countries under their respective National Action Plans. It focuses on discrete, large-scale initiatives that specifically target aspects of the WPS agenda and aim to influence change outside the implementing agencies, rather than changing agencies’ own policies and practices. Common themes that appear frequently across these programmes and projects include: supporting global pools of technical capacity on WPS and on peacebuilding generally; training military, police, and other personnel from partner countries, including building women’s professional capacities as well as training personnel in WPS-related good practices; supporting WPS networks and forums to share experience and expertise; extensive use of multilateral mechanisms for channelling funding and for sharing technical capacity; extensive support to and collaboration with civil society organisations; initiatives focusing on combating violent extremism and counter-terrorism; initiatives focusing on preventing sexual exploitation and abuse in peacekeeping and humanitarian contexts; a wide range of commitments to stopping gender-based violence; and support for sexual and reproductive health initiatives. All of the countries discussed in this report also undertake considerable efforts to change policies and practices within their own agencies</w:t>
      </w:r>
    </w:p>
    <w:p>
      <w:pPr/>
      <w:r>
        <w:rPr>
          <w:b/>
        </w:rPr>
        <w:t>POSSIBLE 2021:</w:t>
      </w:r>
      <w:r>
        <w:t xml:space="preserve"> Project FOCUS: an interdisciplinary approach to monitor disturbances in European forest ecosystems — https://doi.org/10.5281/zenodo.5607114</w:t>
      </w:r>
    </w:p>
    <w:p>
      <w:pPr/>
      <w:r>
        <w:rPr>
          <w:b/>
        </w:rPr>
        <w:t>Shared claim-specific concepts:</w:t>
      </w:r>
      <w:r>
        <w:t xml:space="preserve"> focus, project, environment; EU scope visible. This is a provisional connection, not an outcome finding.</w:t>
      </w:r>
    </w:p>
    <w:p>
      <w:pPr>
        <w:pStyle w:val="SourceNote"/>
      </w:pPr>
      <w:r>
        <w:rPr>
          <w:b/>
        </w:rPr>
        <w:t>Available abstract (not full text):</w:t>
      </w:r>
      <w:r>
        <w:t xml:space="preserve"> European forest ecosystems are subject to a complex web of stressors including biotic agents, wildfires, climate change, and regional population shifts. The drivers operate at multiple spatial and temporal scales and across many domains, calling for a truly interdisciplinary approach to understand and manage change. Widespread damage to forests caused by biotic agents creates a singular environment where such dynamics can be tested in a rapidly evolving scenario. A representative case-study is discussed where the threat posed by Pinewood Nematode (PWN) (Bursaphelenchus xylophilus) is assessed. Preliminary results of the development of algorithms relying on Sentinel-2 data to detect infested trees are presented, with a focus on implementing an operational solution in collaboration with a broad network of users. The challenges, obstacles, and opportunities created by the integrated approach are discussed, offering clues for future initiatives addressing similar challenges.</w:t>
      </w:r>
    </w:p>
    <w:p>
      <w:pPr/>
      <w:r>
        <w:rPr>
          <w:b/>
        </w:rPr>
        <w:t>POSSIBLE 2020:</w:t>
      </w:r>
      <w:r>
        <w:t xml:space="preserve"> What Is the Future of European Cyber Security? Three Principles of European Cooperation and the Hybrid Joint Strategy of Cyber Defence — https://doi.org/10.33067/se.2.2020.3</w:t>
      </w:r>
    </w:p>
    <w:p>
      <w:pPr/>
      <w:r>
        <w:rPr>
          <w:b/>
        </w:rPr>
        <w:t>Shared claim-specific concepts:</w:t>
      </w:r>
      <w:r>
        <w:t xml:space="preserve"> focus, security, support, environment; EU scope visible. This is a provisional connection, not an outcome finding.</w:t>
      </w:r>
    </w:p>
    <w:p>
      <w:pPr>
        <w:pStyle w:val="SourceNote"/>
      </w:pPr>
      <w:r>
        <w:rPr>
          <w:b/>
        </w:rPr>
        <w:t>Available abstract (not full text):</w:t>
      </w:r>
      <w:r>
        <w:t xml:space="preserve"> The author argues that EU member states should pursue a joint strategy of cyber security and cyber defence. This claim does not immediately imply support for current EU legislation, in particular for enforcing the NIS Directive or the operation of ENISA in its currently planned capacity. Instead, three principles of European cooperation are discussed and followed by a proposal to centre the joint strategic effort around promoting and explicating the practical and procedural consequences of these principles. A bottom-up approach to joining and uniformization of European cyber defence is presented, aligned with the notion of Europeanization in security policy in the sense of E. Gross and R. Ladrech. This approach requires that European cyber security agencies, including ENISA, focus their efforts on addressing the trust defi cit among the member states through facilitating the environment for safe information exchange, instead of communicating with the member states through the medium of regulations and prescribing security standards. More generally, the author postulates that the European authorities embrace the inherent political character of international trust-building and aspire to the role of mediator, as opposed to presenting themselves as apolitical agents focused on the purely technical aspects of European cyber security.</w:t>
      </w:r>
    </w:p>
    <w:p>
      <w:pPr/>
      <w:r>
        <w:rPr>
          <w:b/>
        </w:rPr>
        <w:t>POSSIBLE 2019:</w:t>
      </w:r>
      <w:r>
        <w:t xml:space="preserve"> Engineering Education for Sustainable Development: The European Project Semester Approach — https://doi.org/10.1109/te.2019.2926944</w:t>
      </w:r>
    </w:p>
    <w:p>
      <w:pPr/>
      <w:r>
        <w:rPr>
          <w:b/>
        </w:rPr>
        <w:t>Shared claim-specific concepts:</w:t>
      </w:r>
      <w:r>
        <w:t xml:space="preserve"> focus, project, framework; EU scope visible. This is a provisional connection, not an outcome finding.</w:t>
      </w:r>
    </w:p>
    <w:p>
      <w:pPr>
        <w:pStyle w:val="SourceNote"/>
      </w:pPr>
      <w:r>
        <w:rPr>
          <w:b/>
        </w:rPr>
        <w:t>Available abstract (not full text):</w:t>
      </w:r>
      <w:r>
        <w:t xml:space="preserve"> Contribution:An analysis of the extent to which sustainability is present in the syllabi, project briefs, report templates, and student final reports of the three Iberian European project semester (EPS) providers, over a five-year period.Background:EPS is a one-semester capstone project framework that adopts project-based learning and multicultural, multidisciplinary teamwork. Educating engineers for sustainable development requires fostering critical and ethical thinking and a desire for equity, solidarity and preservation of natural resources, and cultural and genetic diversity. Existing engineering capstone design programs emphasize solving real world problems, hands-on training, and soft skills, but few focus on sustainability aspects of engineering design. The three Iberian EPS providers adopt project-based learning and teamwork methodologies, promoting the development of transversal skills and addressing sustainability in a multicultural and multidisciplinary background.Intended Outcomes:To show that the three Iberian EPS providers follow these recommendations and contribute to raising students’ awareness of sustainable development.Application Design:The proposed sustainability learning assessment method collects evidence from syllabi, project briefs, report templates, and final reports to extract faculty and student perspectives. The sustainability-related terms collecte</w:t>
      </w:r>
    </w:p>
    <w:p>
      <w:pPr>
        <w:pStyle w:val="Heading2"/>
      </w:pPr>
      <w:r>
        <w:t>962.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r>
        <w:rPr>
          <w:b/>
        </w:rPr>
        <w:t>POSSIBLE 2023:</w:t>
      </w:r>
      <w:r>
        <w:t xml:space="preserve"> The Impacts of a Weakened Atlantic Meridional Overturning Circulation on ENSO in a Warmer Climate — https://doi.org/10.1029/2023gl103025</w:t>
      </w:r>
    </w:p>
    <w:p>
      <w:pPr/>
      <w:r>
        <w:rPr>
          <w:b/>
        </w:rPr>
        <w:t>Shared claim-specific concepts:</w:t>
      </w:r>
      <w:r>
        <w:t xml:space="preserve"> first, impacts, warming, atmospheric, induce; EU scope not established. This is a provisional connection, not an outcome finding.</w:t>
      </w:r>
    </w:p>
    <w:p>
      <w:pPr>
        <w:pStyle w:val="SourceNote"/>
      </w:pPr>
      <w:r>
        <w:rPr>
          <w:b/>
        </w:rPr>
        <w:t>Available abstract (not full text):</w:t>
      </w:r>
      <w:r>
        <w:t xml:space="preserve"> Abstract This study quantifies the impacts of the Atlantic Meridional Overturning Circulation (AMOC) on the El Niño–Southern Oscillation (ENSO) under anthropogenic warming by comparing climate change model simulations with declining and fixed strengths of the overturning. After the 1980s, a weakened AMOC is shown to reduce the strength of the annual cycle of sea surface temperature (SST) in the eastern equatorial Pacific and induce anomalous cross‐equatorial northerly winds there, which strengthens ENSO variability by about 11%. An analysis of the Bjerknes stability index reveals that this intensification of ENSO results mainly from enhanced Ekman upwelling feedback due to amplified atmospheric wind response to SST anomalies and oceanic upwelling response to equatorial wind stress anomalies. The weakened AMOC also promotes the occurrence of Central Pacific El Niño events and reduces ENSO skewness. These AMOC impacts on ENSO magnitude and complexity throughout the twenty‐first century are however smaller than ENSO variations expected from internal climate variability.</w:t>
      </w:r>
    </w:p>
    <w:p>
      <w:pPr/>
      <w:r>
        <w:rPr>
          <w:b/>
        </w:rPr>
        <w:t>POSSIBLE 2022:</w:t>
      </w:r>
      <w:r>
        <w:t xml:space="preserve"> The Details of Limb Brightening Reveal the Structure of the Base of the Jet in M87 for the First Time — https://doi.org/10.3847/1538-4357/ac82f1</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Abstract It has become commonplace in astronomy to describe the transverse coarse structure of jets in loosely defined terms such as “sheath” and “spine” based on discussions of parsec scale properties. But, the applicability, dimension, and prominence of these features on sub-light-year scales has previously been unconstrained by observation. The first direct evidence of jet structure near the source in M87 is extreme limb brightening (a double-rail morphology), 0.3–0.6 mas from the source, which is prominent in observations with high resolution and sensitivity. Intensity crosscuts of these images provide three strong, interdependent constraints on the geometry responsible for the double-rail morphology: the rail to rail separation, the peak to trough intensity ratio, and the rail widths. Analyzing these constraints indicates that half or more of the jet volume resides in a thick-walled, tubular, mildly relativistic, protonic jet only ∼0.25 lt-yr (or ∼300 M, where M is the central black hole mass in geometrized units) from the source. By contrast, the Event Horizon Telescope Collaboration interprets their observations with the aid of general relativistic magnetohydrodynamic simulations that produce an invisible (by construction) jet with a surrounding luminous, thin sheath. Yet, it is shown that synthetic images of simulated jets are center brightened 0.3–0.6 mas from the sour</w:t>
      </w:r>
    </w:p>
    <w:p>
      <w:pPr/>
      <w:r>
        <w:rPr>
          <w:b/>
        </w:rPr>
        <w:t>POSSIBLE 2022:</w:t>
      </w:r>
      <w:r>
        <w:t xml:space="preserve"> Reflections from graduate student instructors on their first time teaching reveal structural and individual challenges — https://doi.org/10.56230/osotl.44</w:t>
      </w:r>
    </w:p>
    <w:p>
      <w:pPr/>
      <w:r>
        <w:rPr>
          <w:b/>
        </w:rPr>
        <w:t>Shared claim-specific concepts:</w:t>
      </w:r>
      <w:r>
        <w:t xml:space="preserve"> reveal, first, time, consistent; EU scope not established. This is a provisional connection, not an outcome finding.</w:t>
      </w:r>
    </w:p>
    <w:p>
      <w:pPr>
        <w:pStyle w:val="SourceNote"/>
      </w:pPr>
      <w:r>
        <w:rPr>
          <w:b/>
        </w:rPr>
        <w:t>Available abstract (not full text):</w:t>
      </w:r>
      <w:r>
        <w:t xml:space="preserve"> Graduate student instructors occupy a unique ‘liminal space’ as trainees in and instructors of their discipline. While research has explored challenges graduate students face while teaching, there is limited exploration of the challenges graduate students face that transcend disciplinary boundaries while preparing for and teaching their first undergraduate class. This qualitative study asked graduate students to reflect on the challenges and surprises they encountered while preparing for and teaching their first undergraduate class. Our findings indicate that consistent with previous literature, most graduate student pedagogical training is not sufficient for preparing graduate student instructors and many of the challenges they encounter are the result of a lack of support and prioritization of pedagogy in graduate training. We anchor these findings in a discussion of structural barriers to effective pedagogical training in graduate school and a brief review of model graduate pedagogical training programs.</w:t>
      </w:r>
    </w:p>
    <w:p>
      <w:pPr/>
      <w:r>
        <w:rPr>
          <w:b/>
        </w:rPr>
        <w:t>POSSIBLE 2022:</w:t>
      </w:r>
      <w:r>
        <w:t xml:space="preserve"> Impacts of Global Climate Warming on Meteorological and Hydrological Droughts and Their Propagations — https://doi.org/10.1029/2021ef002542</w:t>
      </w:r>
    </w:p>
    <w:p>
      <w:pPr/>
      <w:r>
        <w:rPr>
          <w:b/>
        </w:rPr>
        <w:t>Shared claim-specific concepts:</w:t>
      </w:r>
      <w:r>
        <w:t xml:space="preserve"> first, impacts, warming; EU scope not established. This is a provisional connection, not an outcome finding.</w:t>
      </w:r>
    </w:p>
    <w:p>
      <w:pPr>
        <w:pStyle w:val="SourceNote"/>
      </w:pPr>
      <w:r>
        <w:rPr>
          <w:b/>
        </w:rPr>
        <w:t>Available abstract (not full text):</w:t>
      </w:r>
      <w:r>
        <w:t xml:space="preserve"> Abstract Meteorological to hydrological drought propagation has been widely studied to reflect the relationship between these drought categories and better understand drought mechanisms. However, global warming may alter the drought propagation features, which are not fully understood. This study aims to investigate changes in meteorological and hydrological drought conditions, especially their propagation features in 1.5–3.0°C warmer climates for 8,655 watersheds globally. First, the three‐month scale standardized precipitation index and the standardized runoff index are calculated based on the precipitation simulated by the 15 global climate models and the runoff simulated by the four hydrological models, respectively. Drought events are then identified using the run theory, followed by the calculation of drought propagation features (i.e., pooling, lag, and lengthening) for matched meteorological and hydrological droughts. As a result, both meteorological and hydrological drought conditions (i.e., duration and severity) would relieve in warmer climates due to increased precipitation for regions excluding Western North America, South America, the Mediterranean, Southern Africa, East Asia, and Australia. However, the drought conditions would be more severe during drought propagation from meteorological to hydrological droughts over most regions. During drought propagation, the</w:t>
      </w:r>
    </w:p>
    <w:p>
      <w:pPr/>
      <w:r>
        <w:rPr>
          <w:b/>
        </w:rPr>
        <w:t>POSSIBLE 2021:</w:t>
      </w:r>
      <w:r>
        <w:t xml:space="preserve"> Thermal flight performance reveals impact of warming on bumblebee foraging potential — https://doi.org/10.1111/1365-2435.13887</w:t>
      </w:r>
    </w:p>
    <w:p>
      <w:pPr/>
      <w:r>
        <w:rPr>
          <w:b/>
        </w:rPr>
        <w:t>Shared claim-specific concepts:</w:t>
      </w:r>
      <w:r>
        <w:t xml:space="preserve"> warming, species, across; EU scope not established. This is a provisional connection, not an outcome finding.</w:t>
      </w:r>
    </w:p>
    <w:p>
      <w:pPr>
        <w:pStyle w:val="SourceNote"/>
      </w:pPr>
      <w:r>
        <w:rPr>
          <w:b/>
        </w:rPr>
        <w:t>Available abstract (not full text):</w:t>
      </w:r>
      <w:r>
        <w:t xml:space="preserve"> Abstract The effects of environmental temperature on components of insect flight determine life‐history traits, fitness, adaptability and, ultimately, organism ecosystem functional roles. Despite the crucial role of flying insects across landscapes, our understanding of how temperature affects insect flight performance remains limited. Many insect pollinators are considered under threat from climatic warming. Quantifying the relationship between temperature and behavioural performance traits allows us to understand where species are operating in respect to their thermal limits, helping predict responses to projected temperature increases and/or erratic weather events. Using a tethered flight mill, we quantify how flight performance of a widespread bumblebee, Bombus terrestris, varies over a temperature range (12–30℃). Given that body mass constrains insect mobility and behaviour, bumblebees represent a useful system to study temperature‐mediated size dependence of flight performance owing to the large intra‐colony variation in worker body size they exhibit. Workers struggled to fly over a few hundred metres at the lowest tested temperature of 12℃; however, flight endurance increased as temperatures rose, peaking around 25℃ after which it declined. Our findings further revealed variation in flight capacity across the workforce, with larger workers flying further, longer, and fas</w:t>
      </w:r>
    </w:p>
    <w:p>
      <w:pPr/>
      <w:r>
        <w:rPr>
          <w:b/>
        </w:rPr>
        <w:t>POSSIBLE 2020:</w:t>
      </w:r>
      <w:r>
        <w:t xml:space="preserve"> Paleoclimate records reveal elusive ~200-kyr eccentricity cycle for the first time — https://doi.org/10.1016/j.gloplacha.2020.103296</w:t>
      </w:r>
    </w:p>
    <w:p>
      <w:pPr/>
      <w:r>
        <w:rPr>
          <w:b/>
        </w:rPr>
        <w:t>Shared claim-specific concepts:</w:t>
      </w:r>
      <w:r>
        <w:t xml:space="preserve"> reveal, first, time; EU scope visible. This is a provisional connection, not an outcome finding.</w:t>
      </w:r>
    </w:p>
    <w:p>
      <w:pPr>
        <w:pStyle w:val="SourceNote"/>
      </w:pPr>
      <w:r>
        <w:rPr>
          <w:b/>
        </w:rPr>
        <w:t>Available abstract (not full text):</w:t>
      </w:r>
      <w:r>
        <w:t xml:space="preserve"> The main cycles of Earth's eccentricity as recorded in paleoclimate archives signify 2nd order terms, combining two g-frequencies associated with the precession of perihelia of the inner planets and Jupiter. However, many weaker cycles are present and may be documented as well. Here we report on a thus far unnoticed ~200-kyr cycle observed in rhythmically bedded marine marls and limestones of early Paleocene age in NE Spain and adjacent France. This cycle is expressed as alternating distinct and less distinct ~100-kyr CaCO3 maxima and associated magnetic susceptibility (MS) minima, which correspond to successive minima of the short ~100-kyr eccentricity cycle. The most plausible explanation is that this ~200-kyr cycle represents a weak but real cycle in eccentricity. Due to its weakness, this cycle is only expressed as alternatingly strong and weak ~100-kyr minima in eccentricity time series, a pattern that is identical to what we observe in the proxy records and outcrop. Its origin as eccentricity cycle is complex as it is composed of 4 to 6 individual components. A simplified solution solely based on the five leading g-frequencies reveals that most of these components originate from combinations of these 5 frequencies. However, they do not correspond to 2nd order terms, which underlie the principal short and long eccentricity cycles, but to much weaker higher order terms. Thr</w:t>
      </w:r>
    </w:p>
    <w:p>
      <w:pPr/>
      <w:r>
        <w:rPr>
          <w:b/>
        </w:rPr>
        <w:t>POSSIBLE 2020:</w:t>
      </w:r>
      <w:r>
        <w:t xml:space="preserve"> Intraspecific variation in tolerance of warming in fishes — https://doi.org/10.1111/jfb.14620</w:t>
      </w:r>
    </w:p>
    <w:p>
      <w:pPr/>
      <w:r>
        <w:rPr>
          <w:b/>
        </w:rPr>
        <w:t>Shared claim-specific concepts:</w:t>
      </w:r>
      <w:r>
        <w:t xml:space="preserve"> reveal, first, impacts, warming, species, across; EU scope not established. This is a provisional connection, not an outcome finding.</w:t>
      </w:r>
    </w:p>
    <w:p>
      <w:pPr>
        <w:pStyle w:val="SourceNote"/>
      </w:pPr>
      <w:r>
        <w:rPr>
          <w:b/>
        </w:rPr>
        <w:t>Available abstract (not full text):</w:t>
      </w:r>
      <w:r>
        <w:t xml:space="preserve"> Intraspecific variation in key traits such as tolerance of warming can have profound effects on ecological and evolutionary processes, notably responses to climate change. The empirical evidence for three primary elements of intraspecific variation in tolerance of warming in fishes is reviewed. The first is purely mechanistic that tolerance varies across life stages and as fishes become mature. The limited evidence indicates strongly that this is the case, possibly because of universal physiological principles. The second is intraspecific variation that is because of phenotypic plasticity, also a mechanistic phenomenon that buffers individuals' sensitivity to negative impacts of global warming in their lifetime, or to some extent through epigenetic effects over successive generations. Although the evidence for plasticity in tolerance to warming is extensive, more work is required to understand underlying mechanisms and to reveal whether there are general patterns. The third element is intraspecific variation based on heritable genetic differences in tolerance, which underlies local adaptation and may define long-term adaptability of a species in the face of ongoing global change. There is clear evidence of local adaptation and some evidence of heritability of tolerance to warming, but the knowledge base is limited with detailed information for only a few model or emblematic spe</w:t>
      </w:r>
    </w:p>
    <w:p>
      <w:pPr/>
      <w:r>
        <w:rPr>
          <w:b/>
        </w:rPr>
        <w:t>POSSIBLE 2020:</w:t>
      </w:r>
      <w:r>
        <w:t xml:space="preserve"> Intraspecific responses to climate reveal nonintuitive warming impacts on a widespread thermophilic conifer — https://doi.org/10.1111/nph.16656</w:t>
      </w:r>
    </w:p>
    <w:p>
      <w:pPr/>
      <w:r>
        <w:rPr>
          <w:b/>
        </w:rPr>
        <w:t>Shared claim-specific concepts:</w:t>
      </w:r>
      <w:r>
        <w:t xml:space="preserve"> reveal, impacts, warming, species, across; EU scope visible. This is a provisional connection, not an outcome finding.</w:t>
      </w:r>
    </w:p>
    <w:p>
      <w:pPr>
        <w:pStyle w:val="SourceNote"/>
      </w:pPr>
      <w:r>
        <w:rPr>
          <w:b/>
        </w:rPr>
        <w:t>Available abstract (not full text):</w:t>
      </w:r>
      <w:r>
        <w:t xml:space="preserve"> Many ecologically important forest trees from dry areas have been insufficiently investigated for their ability to adapt to the challenges posed by climate change, which hampers the implementation of mitigation policies. We analyzed 14 common-garden experiments across the Mediterranean which studied the widespread thermophilic conifer Pinus halepensis and involved 157 populations categorized into five ecotypes. Ecotype-specific tree height responses to climate were applied to projected climate change (2071-2100 ad), to project potential growth patterns both locally and across the species' range. We found contrasting ecotypic sensitivities to annual precipitation but comparatively uniform responses to mean temperature, while evidence of local adaptation for tree height was limited to mesic ecotypes. We projected intriguing patterns of response range-wide, implying either height inhibition or stimulation of up to 75%, and deduced that the ecotype currently experiencing more favorable (wetter) conditions will show the largest inhibition. Extensive height reductions can be expected for coastal areas of France, Greece, Spain and northern Africa. Our findings underline the fact that intraspecific variations in sensitivity to precipitation must be considered when projecting tree height responses of dry forests to future climate. The ecotype-specific projected performances call for man</w:t>
      </w:r>
    </w:p>
    <w:p>
      <w:pPr/>
      <w:r>
        <w:rPr>
          <w:b/>
        </w:rPr>
        <w:t>POSSIBLE 2020:</w:t>
      </w:r>
      <w:r>
        <w:t xml:space="preserve"> A quantitative framework reveals ecological drivers of grassland microbial community assembly in response to warming — https://doi.org/10.1038/s41467-020-18560-z</w:t>
      </w:r>
    </w:p>
    <w:p>
      <w:pPr/>
      <w:r>
        <w:rPr>
          <w:b/>
        </w:rPr>
        <w:t>Shared claim-specific concepts:</w:t>
      </w:r>
      <w:r>
        <w:t xml:space="preserve"> time, warming, plant, communities, productivity; EU scope not established. This is a provisional connection, not an outcome finding.</w:t>
      </w:r>
    </w:p>
    <w:p>
      <w:pPr>
        <w:pStyle w:val="SourceNote"/>
      </w:pPr>
      <w:r>
        <w:rPr>
          <w:b/>
        </w:rPr>
        <w:t>Available abstract (not full text):</w:t>
      </w:r>
      <w:r>
        <w:t xml:space="preserve"> Unraveling the drivers controlling community assembly is a central issue in ecology. Although it is generally accepted that selection, dispersal, diversification and drift are major community assembly processes, defining their relative importance is very challenging. Here, we present a framework to quantitatively infer community assembly mechanisms by phylogenetic bin-based null model analysis (iCAMP). iCAMP shows high accuracy (0.93-0.99), precision (0.80-0.94), sensitivity (0.82-0.94), and specificity (0.95-0.98) on simulated communities, which are 10-160% higher than those from the entire community-based approach. Application of iCAMP to grassland microbial communities in response to experimental warming reveals dominant roles of homogeneous selection (38%) and 'drift' (59%). Interestingly, warming decreases 'drift' over time, and enhances homogeneous selection which is primarily imposed on Bacillales. In addition, homogeneous selection has higher correlations with drought and plant productivity under warming than control. iCAMP provides an effective and robust tool to quantify microbial assembly processes, and should also be useful for plant and animal ecology.</w:t>
      </w:r>
    </w:p>
    <w:p>
      <w:pPr>
        <w:pStyle w:val="Heading2"/>
      </w:pPr>
      <w:r>
        <w:t>963.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ShapleyFL: Robust Federated Learning Based on Shapley Value — https://doi.org/10.1145/3580305.3599500</w:t>
      </w:r>
    </w:p>
    <w:p>
      <w:pPr/>
      <w:r>
        <w:rPr>
          <w:b/>
        </w:rPr>
        <w:t>Shared claim-specific concepts:</w:t>
      </w:r>
      <w:r>
        <w:t xml:space="preserve"> based, robustness, learning, robust, method; EU scope not established. This is a provisional connection, not an outcome finding.</w:t>
      </w:r>
    </w:p>
    <w:p>
      <w:pPr>
        <w:pStyle w:val="SourceNote"/>
      </w:pPr>
      <w:r>
        <w:rPr>
          <w:b/>
        </w:rPr>
        <w:t>Available abstract (not full text):</w:t>
      </w:r>
      <w:r>
        <w:t xml:space="preserve"> Federated Learning (FL) allows clients to form a consortium to train a global model under the orchestration of a central server while keeping data on the local client without sharing it, thus mitigating data privacy issues. However, training a robust global model is challenging since the local data is invisible to the server. The local data of clients are naturally heterogeneous, while some clients can use corrupted data or send malicious updates to interfere with the training process artificially. Meanwhile, communication and computation costs are inevitable challenges in designing a practical FL algorithm. In this paper, to improve the robustness of FL, we propose a Shapley value-inspired adaptive weighting mechanism, which regards the FL training as sequential cooperative games and adjusts clients' weights according to their contributions. We also develop a client sampling strategy based on importance sampling, which can reduce the communication cost by optimizing the variance of the global updates according to the weights of clients. Furthermore, to diminish the computation cost of the server, we propose a weight calculation method by estimating differences between the Shapley value of clients. Our experimental results on several real data sets demonstrate the effectiveness of our approaches.</w:t>
      </w:r>
    </w:p>
    <w:p>
      <w:pPr/>
      <w:r>
        <w:rPr>
          <w:b/>
        </w:rPr>
        <w:t>POSSIBLE 2023:</w:t>
      </w:r>
      <w:r>
        <w:t xml:space="preserve"> Robustness challenges in Reinforcement Learning based time-critical cloud resource scheduling: A Meta-Learning based solution — https://doi.org/10.1016/j.future.2023.03.029</w:t>
      </w:r>
    </w:p>
    <w:p>
      <w:pPr/>
      <w:r>
        <w:rPr>
          <w:b/>
        </w:rPr>
        <w:t>Shared claim-specific concepts:</w:t>
      </w:r>
      <w:r>
        <w:t xml:space="preserve"> based, robustness, learning, robust; EU scope not established. This is a provisional connection, not an outcome finding.</w:t>
      </w:r>
    </w:p>
    <w:p>
      <w:pPr>
        <w:pStyle w:val="SourceNote"/>
      </w:pPr>
      <w:r>
        <w:rPr>
          <w:b/>
        </w:rPr>
        <w:t>Available abstract (not full text):</w:t>
      </w:r>
      <w:r>
        <w:t xml:space="preserve"> Cloud computing attracts increasing attention in processing dynamic computing tasks and automating the software development and operation pipeline. In many cases, the computing tasks have strict deadlines. The cloud resource manager (e.g., orchestrator) effectively manages the resources and provides tasks Quality of Service (QoS). Cloud task scheduling is tricky due to the dynamic nature of task workload and resource availability. Reinforcement Learning (RL) has attracted lots of research attention in scheduling. However, those RL-based approaches suffer from low scheduling performance robustness when the task workload and resource availability change, particularly when handling time-critical tasks. This paper focuses on both challenges of robustness and deadline guarantee among such RL, specifically Deep RL (DRL)-based scheduling approaches. We quantify the robustness measurements as the retraining time and investigate how to improve both robustness and deadline guarantee of DRL-based scheduling. We propose MLR-TC-DRLS, a practical, robust Meta Deep Reinforcement Learning-based scheduling solution to provide time-critical tasks deadline guarantee and fast adaptation under highly dynamic situations. We comprehensively evaluate MLR-TC-DRLS performance against RL-based and RL advanced variants-based scheduling approaches using real-world and synthetic data. The evaluations valida</w:t>
      </w:r>
    </w:p>
    <w:p>
      <w:pPr/>
      <w:r>
        <w:rPr>
          <w:b/>
        </w:rPr>
        <w:t>POSSIBLE 2023:</w:t>
      </w:r>
      <w:r>
        <w:t xml:space="preserve"> Beyond generalization: a theory of robustness in machine learning — https://doi.org/10.1007/s11229-023-04334-9</w:t>
      </w:r>
    </w:p>
    <w:p>
      <w:pPr/>
      <w:r>
        <w:rPr>
          <w:b/>
        </w:rPr>
        <w:t>Shared claim-specific concepts:</w:t>
      </w:r>
      <w:r>
        <w:t xml:space="preserve"> robustness, learning, uncertainty; EU scope not established. This is a provisional connection, not an outcome finding.</w:t>
      </w:r>
    </w:p>
    <w:p>
      <w:pPr>
        <w:pStyle w:val="SourceNote"/>
      </w:pPr>
      <w:r>
        <w:rPr>
          <w:b/>
        </w:rPr>
        <w:t>Available abstract (not full text):</w:t>
      </w:r>
      <w:r>
        <w:t xml:space="preserve"> Abstract The termrobustnessis ubiquitous in modern Machine Learning (ML). However, its meaning varies depending on context and community. Researchers either focus on narrow technical definitions, such as adversarial robustness, natural distribution shifts, and performativity, or they simply leave open what exactly they mean by robustness. In this paper, we provide a conceptual analysis of the termrobustness, with the aim to develop a common language, that allows us to weave together different strands of robustness research. We define robustness as the relative stability of a robustness target with respect to specific interventions on a modifier. Our account captures the various sub-types of robustness that are discussed in the research literature, including robustness to distribution shifts, prediction robustness, or the robustness of algorithmic explanations. Finally, we delineate robustness from adjacent key concepts in ML, such as extrapolation, generalization, and uncertainty, and establish it as an independent epistemic concept.</w:t>
      </w:r>
    </w:p>
    <w:p>
      <w:pPr/>
      <w:r>
        <w:rPr>
          <w:b/>
        </w:rPr>
        <w:t>POSSIBLE 2022:</w:t>
      </w:r>
      <w:r>
        <w:t xml:space="preserve"> Privacy and Robustness in Federated Learning: Attacks and Defenses — https://doi.org/10.1109/tnnls.2022.3216981</w:t>
      </w:r>
    </w:p>
    <w:p>
      <w:pPr/>
      <w:r>
        <w:rPr>
          <w:b/>
        </w:rPr>
        <w:t>Shared claim-specific concepts:</w:t>
      </w:r>
      <w:r>
        <w:t xml:space="preserve"> robustness, learning, robust; EU scope not established. This is a provisional connection, not an outcome finding.</w:t>
      </w:r>
    </w:p>
    <w:p>
      <w:pPr>
        <w:pStyle w:val="SourceNote"/>
      </w:pPr>
      <w:r>
        <w:rPr>
          <w:b/>
        </w:rPr>
        <w:t>Available abstract (not full text):</w:t>
      </w:r>
      <w:r>
        <w:t xml:space="preserve"> As data are increasingly being stored in different silos and societies becoming more aware of data privacy issues, the traditional centralized training of artificial intelligence (AI) models is facing efficiency and privacy challenges. Recently, federated learning (FL) has emerged as an alternative solution and continues to thrive in this new reality. Existing FL protocol designs have been shown to be vulnerable to adversaries within or outside of the system, compromising data privacy and system robustness. Besides training powerful global models, it is of paramount importance to design FL systems that have privacy guarantees and are resistant to different types of adversaries. In this article, we conduct a comprehensive survey on privacy and robustness in FL over the past five years. Through a concise introduction to the concept of FL and a unique taxonomy covering: 1) threat models; 2) privacy attacks and defenses; and 3) poisoning attacks and defenses, we provide an accessible review of this important topic. We highlight the intuitions, key techniques, and fundamental assumptions adopted by various attacks and defenses. Finally, we discuss promising future research directions toward robust and privacy-preserving FL, and their interplays with the multidisciplinary goals of FL.</w:t>
      </w:r>
    </w:p>
    <w:p>
      <w:pPr/>
      <w:r>
        <w:rPr>
          <w:b/>
        </w:rPr>
        <w:t>POSSIBLE 2022:</w:t>
      </w:r>
      <w:r>
        <w:t xml:space="preserve"> Safe Learning in Robotics: From Learning-Based Control to Safe Reinforcement Learning — https://doi.org/10.1146/annurev-control-042920-020211</w:t>
      </w:r>
    </w:p>
    <w:p>
      <w:pPr/>
      <w:r>
        <w:rPr>
          <w:b/>
        </w:rPr>
        <w:t>Shared claim-specific concepts:</w:t>
      </w:r>
      <w:r>
        <w:t xml:space="preserve"> robustness, learning, but; EU scope not established. This is a provisional connection, not an outcome finding.</w:t>
      </w:r>
    </w:p>
    <w:p>
      <w:pPr>
        <w:pStyle w:val="SourceNote"/>
      </w:pPr>
      <w:r>
        <w:rPr>
          <w:b/>
        </w:rPr>
        <w:t>Available abstract (not full text):</w:t>
      </w:r>
      <w:r>
        <w:t xml:space="preserve"> The last half decade has seen a steep rise in the number of contributions on safe learning methods for real-world robotic deployments from both the control and reinforcement learning communities. This article provides a concise but holistic review of the recent advances made in using machine learning to achieve safe decision-making under uncertainties, with a focus on unifying the language and frameworks used in control theory and reinforcement learning research. It includes learning-based control approaches that safely improve performance by learning the uncertain dynamics, reinforcement learning approaches that encourage safety or robustness, and methods that can formally certify the safety of a learned control policy. As data- and learning-based robot control methods continue to gain traction, researchers must understand when and how to best leverage them in real-world scenarios where safety is imperative, such as when operating in close proximityto humans. We highlight some of the open challenges that will drive the field of robot learning in the coming years, and emphasize the need for realistic physics-based benchmarks to facilitate fair comparisons between control and reinforcement learning approaches.</w:t>
      </w:r>
    </w:p>
    <w:p>
      <w:pPr/>
      <w:r>
        <w:rPr>
          <w:b/>
        </w:rPr>
        <w:t>POSSIBLE 2022:</w:t>
      </w:r>
      <w:r>
        <w:t xml:space="preserve"> On Robustness in Optimization-Based Constrained Iterative Learning Control — https://doi.org/10.3929/ethz-b-000549153</w:t>
      </w:r>
    </w:p>
    <w:p>
      <w:pPr/>
      <w:r>
        <w:rPr>
          <w:b/>
        </w:rPr>
        <w:t>Shared claim-specific concepts:</w:t>
      </w:r>
      <w:r>
        <w:t xml:space="preserve"> based, robustness, learning, robust, uncertainty; EU scope not established. This is a provisional connection, not an outcome finding.</w:t>
      </w:r>
    </w:p>
    <w:p>
      <w:pPr>
        <w:pStyle w:val="SourceNote"/>
      </w:pPr>
      <w:r>
        <w:rPr>
          <w:b/>
        </w:rPr>
        <w:t>Available abstract (not full text):</w:t>
      </w:r>
      <w:r>
        <w:t xml:space="preserve"> Iterative learning control (ILC) is a control strategy for repetitive tasks wherein information from previous runs is leveraged to improve future performance. Optimization-based ILC (OB-ILC) is a powerful design framework for constrained ILC where measurements from the process are integrated into an optimization algorithm to provide robustness against noise and modelling error. This paper proposes a robust ILC controller for constrained linear processes based on the forward-backward splitting algorithm. It demonstrates how structured uncertainty information can be leveraged to ensure constraint satisfaction and provides a rigorous stability analysis in the iteration domain by combining concepts from monotone operator theory and robust control. Numerical simulations of a precision motion stage support the theoretical results.</w:t>
      </w:r>
    </w:p>
    <w:p>
      <w:pPr/>
      <w:r>
        <w:rPr>
          <w:b/>
        </w:rPr>
        <w:t>POSSIBLE 2021:</w:t>
      </w:r>
      <w:r>
        <w:t xml:space="preserve"> Possibilities of the Development of Edible Insect-Based Foods in Europe — https://doi.org/10.3390/foods10040766</w:t>
      </w:r>
    </w:p>
    <w:p>
      <w:pPr/>
      <w:r>
        <w:rPr>
          <w:b/>
        </w:rPr>
        <w:t>Shared claim-specific concepts:</w:t>
      </w:r>
      <w:r>
        <w:t xml:space="preserve"> two, possibilities, but, not;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2021:</w:t>
      </w:r>
      <w:r>
        <w:t xml:space="preserve"> Approval of artificial intelligence and machine learning-based medical devices in the USA and Europe (2015–20): a comparative analysis — https://doi.org/10.1016/s2589-7500(20)30292-2</w:t>
      </w:r>
    </w:p>
    <w:p>
      <w:pPr/>
      <w:r>
        <w:rPr>
          <w:b/>
        </w:rPr>
        <w:t>Shared claim-specific concepts:</w:t>
      </w:r>
      <w:r>
        <w:t xml:space="preserve"> based, learning, increased; EU scope visible. This is a provisional connection, not an outcome finding.</w:t>
      </w:r>
    </w:p>
    <w:p>
      <w:pPr>
        <w:pStyle w:val="SourceNote"/>
      </w:pPr>
      <w:r>
        <w:rPr>
          <w:b/>
        </w:rPr>
        <w:t>Available abstract (not full text):</w:t>
      </w:r>
      <w:r>
        <w:t xml:space="preserve"> There has been a surge of interest in artificial intelligence and machine learning (AI/ML)-based medical devices. However, it is poorly understood how and which AI/ML-based medical devices have been approved in the USA and Europe. We searched governmental and non-governmental databases to identify 222 devices approved in the USA and 240 devices in Europe. The number of approved AI/ML-based devices has increased substantially since 2015, with many being approved for use in radiology. However, few were qualified as high-risk devices. Of the 124 AI/ML-based devices commonly approved in the USA and Europe, 80 were first approved in Europe. One possible reason for approval in Europe before the USA might be the potentially relatively less rigorous evaluation of medical devices in Europe. The substantial number of approved devices highlight the need to ensure rigorous regulation of these devices. Currently, there is no specific regulatory pathway for AI/ML-based medical devices in the USA or Europe. We recommend more transparency on how devices are regulated and approved to enable and improve public trust, efficacy, safety, and quality of AI/ML-based medical devices. A comprehensive, publicly accessible database with device details for Conformité Européene (CE)-marked medical devices in Europe and US Food and Drug Administration approved devices is needed.</w:t>
      </w:r>
    </w:p>
    <w:p>
      <w:pPr/>
      <w:r>
        <w:rPr>
          <w:b/>
        </w:rPr>
        <w:t>POSSIBLE 2021:</w:t>
      </w:r>
      <w:r>
        <w:t xml:space="preserve"> Time-sequencing European options and pricing with deep learning – Analyzing based on interpretable ALE method — https://doi.org/10.1016/j.eswa.2021.115951</w:t>
      </w:r>
    </w:p>
    <w:p>
      <w:pPr/>
      <w:r>
        <w:rPr>
          <w:b/>
        </w:rPr>
        <w:t>Shared claim-specific concepts:</w:t>
      </w:r>
      <w:r>
        <w:t xml:space="preserve"> based, learning, method; EU scope visible. This is a provisional connection, not an outcome finding.</w:t>
      </w:r>
    </w:p>
    <w:p>
      <w:pPr>
        <w:pStyle w:val="SourceNote"/>
      </w:pPr>
      <w:r>
        <w:rPr>
          <w:b/>
        </w:rPr>
        <w:t>Available abstract (not full text):</w:t>
      </w:r>
      <w:r>
        <w:t xml:space="preserve"> Unavailable</w:t>
      </w:r>
    </w:p>
    <w:p>
      <w:pPr>
        <w:pStyle w:val="Heading2"/>
      </w:pPr>
      <w:r>
        <w:t>964.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2022:</w:t>
      </w:r>
      <w:r>
        <w:t xml:space="preserve"> The 2018–2020 Multi‐Year Drought Sets a New Benchmark in Europe — https://doi.org/10.1029/2021ef002394</w:t>
      </w:r>
    </w:p>
    <w:p>
      <w:pPr/>
      <w:r>
        <w:rPr>
          <w:b/>
        </w:rPr>
        <w:t>Shared claim-specific concepts:</w:t>
      </w:r>
      <w:r>
        <w:t xml:space="preserve"> past, but, not, compared;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Shepherd on Meaning, Reference, and Perception — https://doi.org/10.32881/jomp.234</w:t>
      </w:r>
    </w:p>
    <w:p>
      <w:pPr/>
      <w:r>
        <w:rPr>
          <w:b/>
        </w:rPr>
        <w:t>Shared claim-specific concepts:</w:t>
      </w:r>
      <w:r>
        <w:t xml:space="preserve"> reference, perception, meaning; EU scope not established. This is a provisional connection, not an outcome finding.</w:t>
      </w:r>
    </w:p>
    <w:p>
      <w:pPr>
        <w:pStyle w:val="SourceNote"/>
      </w:pPr>
      <w:r>
        <w:rPr>
          <w:b/>
        </w:rPr>
        <w:t>Available abstract (not full text):</w:t>
      </w:r>
      <w:r>
        <w:t xml:space="preserve"> The aim of this paper is to present an interpretation of Shepherd’s account of our most fundamental cognitive powers, most especially the faculty that Shepherd calls perception, which she claims is a unity of contributions from the understanding and the senses. I find that Shepherd is what we would nowadays call a meaning holist: she holds that the meaning of any natural-kind term is constituted by its place in a system of definitions, which system specifies the causal roles of the objects its terms name. Such an account of meaning raises questions about the contact that such a system of definitions, or conceptual scheme, makes with the world. The natural place to seek answers to these questions is in Shepherd’s account of perception, which I argue Shepherd takes to be our most fundamental cognitive faculty. Our cognitive lives begin with perceptions, representations of objects as the cause of those very perceptions of them. With this interpretation in hand, I draw a contrast between it and Boyle’s and Lolordo’s recent work on Shepherd’s theory of meaning. I argue that for Shepherd truths about the causal powers of objects are analytic, and that the relevant empirical questions answered by science concern whether our conceptual scheme accurately represents the world. Finally, I provide additional support for this interpretation by showing that it comports with Shepherd’s critic</w:t>
      </w:r>
    </w:p>
    <w:p>
      <w:pPr/>
      <w:r>
        <w:rPr>
          <w:b/>
        </w:rPr>
        <w:t>POSSIBLE 2021:</w:t>
      </w:r>
      <w:r>
        <w:t xml:space="preserve"> Towards peace in Europe: on legal linguistics, prosperity and European identity – the European Reference Language System for the European Union — https://doi.org/10.1515/ijld-2021-2044</w:t>
      </w:r>
    </w:p>
    <w:p>
      <w:pPr/>
      <w:r>
        <w:rPr>
          <w:b/>
        </w:rPr>
        <w:t>Shared claim-specific concepts:</w:t>
      </w:r>
      <w:r>
        <w:t xml:space="preserve"> reference, all, not, way; EU scope visible. This is a provisional connection, not an outcome finding.</w:t>
      </w:r>
    </w:p>
    <w:p>
      <w:pPr>
        <w:pStyle w:val="SourceNote"/>
      </w:pPr>
      <w:r>
        <w:rPr>
          <w:b/>
        </w:rPr>
        <w:t>Available abstract (not full text):</w:t>
      </w:r>
      <w:r>
        <w:t xml:space="preserve"> Abstract The European Union is a legal community of hundreds of millions of people, established in a single market through European law. This is tied to language and translation into 24 official languages, each with equally authentic status. However, this leads to considerable legal differences between Member States and underscores the dominance of English, at the Court of Justice that of French (monolingualism), both of which have no legal foundation. Rule-of-law order (Rechtsstaatlichkeit) is created by the European Reference Language System (Europäisches Referenzsprachensystem), which is presented here as a tool for the urgently required reform of the language laws in the European Union: Not having a hegemonial focus on a single language (and thus on a single legal world) or on the exclusivity of some few languages, it offers a legal-linguistic basis of communication with all treaty languages of the European Union for a clear European law and prosperity. The official languages of the Member States thus preserve the mother tongue reality of the citizens in the sense of the subsidiarity principle (multilingualism). In this way, the citizens and their Union acquire a legally valid voice and identity. This seems necessary in the face of the present restructuring of the world, in order to maintain peace for the people in Europe and to continue promoting their well-being. The basi</w:t>
      </w:r>
    </w:p>
    <w:p>
      <w:pPr/>
      <w:r>
        <w:rPr>
          <w:b/>
        </w:rPr>
        <w:t>POSSIBLE 2021:</w:t>
      </w:r>
      <w:r>
        <w:t xml:space="preserve"> Common European Framework of Reference (CEFR): A Review on Teachers’ Perception &amp; Plurilingualism — https://doi.org/10.4236/ce.2021.124051</w:t>
      </w:r>
    </w:p>
    <w:p>
      <w:pPr/>
      <w:r>
        <w:rPr>
          <w:b/>
        </w:rPr>
        <w:t>Shared claim-specific concepts:</w:t>
      </w:r>
      <w:r>
        <w:t xml:space="preserve"> reference, there, perception, second; EU scope visible. This is a provisional connection, not an outcome finding.</w:t>
      </w:r>
    </w:p>
    <w:p>
      <w:pPr>
        <w:pStyle w:val="SourceNote"/>
      </w:pPr>
      <w:r>
        <w:rPr>
          <w:b/>
        </w:rPr>
        <w:t>Available abstract (not full text):</w:t>
      </w:r>
      <w:r>
        <w:t xml:space="preserve"> Common Framework of Reference (CEFR) is a document produced by the council of Europe (CoE) to set a standard for teaching and learning English as the Second Language (ESL). Propelled by the need to situate Malaysia English language parallel to the standard of the European countries, the Ministry of Education Malaysia rushed the adaptation of CEFR framework into Malaysia education system. Teachers’ lack of training and understanding onCEFR as well as unsuitable content used in the textbook are among the main challenges faced by teachers to name a few. Nonetheless, the key concept of Plurilingualism which served as the principle in CEFR has been given very minimal focus in the syllabus. Considering Malaysia as a multilingual and multicultural country, there is a potential of English Second Language learners to benefit from the concept of plurilingualism given appropriate training and exposure given to the teachers as the gatekeeper of knowledge and information. In fact, plurilingualism could also be the missing piece that could help aid teachers’ understanding of the framework better.</w:t>
      </w:r>
    </w:p>
    <w:p>
      <w:pPr/>
      <w:r>
        <w:rPr>
          <w:b/>
        </w:rPr>
        <w:t>POSSIBLE 2020:</w:t>
      </w:r>
      <w:r>
        <w:t xml:space="preserve"> Public perception of air pollution sources across Europe — https://doi.org/10.1007/s13280-020-01450-5</w:t>
      </w:r>
    </w:p>
    <w:p>
      <w:pPr/>
      <w:r>
        <w:rPr>
          <w:b/>
        </w:rPr>
        <w:t>Shared claim-specific concepts:</w:t>
      </w:r>
      <w:r>
        <w:t xml:space="preserve"> perception, all, one; EU scope visible. This is a provisional connection, not an outcome finding.</w:t>
      </w:r>
    </w:p>
    <w:p>
      <w:pPr>
        <w:pStyle w:val="SourceNote"/>
      </w:pPr>
      <w:r>
        <w:rPr>
          <w:b/>
        </w:rPr>
        <w:t>Available abstract (not full text):</w:t>
      </w:r>
      <w:r>
        <w:t xml:space="preserve"> Air pollution is one of the primary concerns of our society for its effect on human health and the environment. Among the policy measures that can be put in place to limit air pollutant emissions, end-of-pipe technologies and/or regulatory instruments may be implemented through legislative acts. Also, equally important are behavioural measures, requiring citizens' active involvement. The success of any measure to limit pollutant emissions requires the acceptance by the citizens that, in turn, implies a correct perception of the main pollutant emission drivers. We present here the comparison between the public perception of air pollution sources and the real-world situation through a survey carried out in seven European countries and involving 16 101 respondents. Our study shows a dramatic underestimation of the contribution of the agri-food sector to air pollution. This result is common to all respondents in the seven countries examined and only to a small extent depends on gender, age and socio-economic status of the respondents.</w:t>
      </w:r>
    </w:p>
    <w:p>
      <w:pPr/>
      <w:r>
        <w:rPr>
          <w:b/>
        </w:rPr>
        <w:t>POSSIBLE 2019:</w:t>
      </w:r>
      <w:r>
        <w:t xml:space="preserve"> Household carbon footprint patterns by the degree of urbanisation in Europe — https://doi.org/10.1088/1748-9326/ab443d</w:t>
      </w:r>
    </w:p>
    <w:p>
      <w:pPr/>
      <w:r>
        <w:rPr>
          <w:b/>
        </w:rPr>
        <w:t>Shared claim-specific concepts:</w:t>
      </w:r>
      <w:r>
        <w:t xml:space="preserve"> all, but, not; EU scope visible. This is a provisional connection, not an outcome finding.</w:t>
      </w:r>
    </w:p>
    <w:p>
      <w:pPr>
        <w:pStyle w:val="SourceNote"/>
      </w:pPr>
      <w:r>
        <w:rPr>
          <w:b/>
        </w:rPr>
        <w:t>Available abstract (not full text):</w:t>
      </w:r>
      <w:r>
        <w:t xml:space="preserve"> Abstract Urbanisation increases household carbon footprints in developing economies. However, the results from developed countries have varied, particularly in Europe. This study provides a coherent comparison of the impact of the degree of urbanisation on income, expenditure and carbon footprints in Europe. On average, carbon footprints are 7% lower in cities than in rural areas when income and household characteristics are controlled. However, this is compensated by the 6% higher average income in cities. The patterns are not uniform in all countries. In Eastern Europe, the pattern is similar to other developing regions. In some Western European countries, both the income level and the carbon footprints are lower in urban areas than in rural areas. In the rest of Europe, the differences in income level between rural and urban areas are small, but they still largely compensate for the efficiency benefits of urban areas. We call for more systemic emissions accounting and climate strategies.</w:t>
      </w:r>
    </w:p>
    <w:p>
      <w:pPr/>
      <w:r>
        <w:rPr>
          <w:b/>
        </w:rPr>
        <w:t>POSSIBLE 2019:</w:t>
      </w:r>
      <w:r>
        <w:t xml:space="preserve"> Plantation forests in Europe: challenges and opportunities — https://doi.org/10.36333/fs09</w:t>
      </w:r>
    </w:p>
    <w:p>
      <w:pPr/>
      <w:r>
        <w:rPr>
          <w:b/>
        </w:rPr>
        <w:t>Shared claim-specific concepts:</w:t>
      </w:r>
      <w:r>
        <w:t xml:space="preserve"> there, past, but, policies, not, effective;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2018:</w:t>
      </w:r>
      <w:r>
        <w:t xml:space="preserve"> Europe - a project worthy of being built — https://doi.org/10.21814/unio.4.1.3</w:t>
      </w:r>
    </w:p>
    <w:p>
      <w:pPr/>
      <w:r>
        <w:rPr>
          <w:b/>
        </w:rPr>
        <w:t>Shared claim-specific concepts:</w:t>
      </w:r>
      <w:r>
        <w:t xml:space="preserve"> built, all, but, not, way, second; EU scope visible. This is a provisional connection, not an outcome finding.</w:t>
      </w:r>
    </w:p>
    <w:p>
      <w:pPr>
        <w:pStyle w:val="SourceNote"/>
      </w:pPr>
      <w:r>
        <w:rPr>
          <w:b/>
        </w:rPr>
        <w:t>Available abstract (not full text):</w:t>
      </w:r>
      <w:r>
        <w:t xml:space="preserve"> Sixty years after the emergence of the EU, it is still a challenge to educate citizens about European themes and to really involve them in the integration process. This requires the pursuit for solutions and adequate responses from institutions, among others. But, what does it mean to be a European citizen? Does it make sense to use the concept of “citizenship” beyond the national borders? With the purpose of addressing these questions, this paper is divided into three parts. The first part addresses the definition of citizenship within the borders of a Nation State and, looks at the relationship between nationality and identity emphasized by the philosopher Thomas H. Marshall. The second turns to the European citizenship, looking at the political developments under which this concept has been given greater prominence, becoming both a source of legitimation of the European integration process and a fundamental factor in the creation among citizens of a European identity. Citizenship of the Union treasures the indisputable virtue of being the first political and legal materialisation of a citizenship at a transnational level. Nevertheless, at the time like the present, when nationalist and xenophobic feelings against the EU are on the rise and national egoism is becoming an attractive alternative to integration, the European identity struggles to attain a legitimate status in th</w:t>
      </w:r>
    </w:p>
    <w:p>
      <w:pPr/>
      <w:r>
        <w:rPr>
          <w:b/>
        </w:rPr>
        <w:t>POSSIBLE 2018:</w:t>
      </w:r>
      <w:r>
        <w:t xml:space="preserve"> The Challenges of Urban Ageing: Making Cities Age-Friendly in Europe — https://doi.org/10.3390/ijerph15112473</w:t>
      </w:r>
    </w:p>
    <w:p>
      <w:pPr/>
      <w:r>
        <w:rPr>
          <w:b/>
        </w:rPr>
        <w:t>Shared claim-specific concepts:</w:t>
      </w:r>
      <w:r>
        <w:t xml:space="preserve"> way, compared, one; EU scope visible. This is a provisional connection, not an outcome finding.</w:t>
      </w:r>
    </w:p>
    <w:p>
      <w:pPr>
        <w:pStyle w:val="SourceNote"/>
      </w:pPr>
      <w:r>
        <w:rPr>
          <w:b/>
        </w:rPr>
        <w:t>Available abstract (not full text):</w:t>
      </w:r>
      <w:r>
        <w:t xml:space="preserve"> Urban ageing is an emerging domain that deals with the population of older people living in cities. The ageing of society is a positive yet challenging phenomenon, as population ageing and urbanisation are the culmination of successful human development. One could argue whether the city environment is an ideal place for people to grow old and live at an old age compared to rural areas. This viewpoint article explores and describes the challenges that are encountered when making cities age-friendly in Europe. Such challenges include the creation of inclusive neighbourhoods and the implementation of technology for ageing-in-place. Examples from projects in two age-friendly cities in The Netherlands (The Hague) and Poland (Cracow) are shown to illustrate the potential of making cities more tuned to the needs of older people and identify important challenges for the next couple of years. Overall, the global ageing of urban populations calls for more age-friendly approaches to be implemented in our cities. It is a challenge to prepare for these developments in such a way that both current and future generations of older people can benefit from age-friendly strategies.</w:t>
      </w:r>
    </w:p>
    <w:p>
      <w:pPr>
        <w:pStyle w:val="Heading2"/>
      </w:pPr>
      <w:r>
        <w:t>965.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2021:</w:t>
      </w:r>
      <w:r>
        <w:t xml:space="preserve"> Environmental effects on genetic variance are likely to constrain adaptation in novel environments — https://doi.org/10.1101/2021.02.08.430333</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pPr/>
      <w:r>
        <w:rPr>
          <w:b/>
        </w:rPr>
        <w:t>POSSIBLE 2020:</w:t>
      </w:r>
      <w:r>
        <w:t xml:space="preserve"> Parallel flowering time clines in native and introduced ragweed populations are likely due to adaptation — https://doi.org/10.1002/ece3.6163</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North American clines in size and the parallel clines seen for flowering time a</w:t>
      </w:r>
    </w:p>
    <w:p>
      <w:pPr/>
      <w:r>
        <w:rPr>
          <w:b/>
        </w:rPr>
        <w:t>POSSIBLE 2020:</w:t>
      </w:r>
      <w:r>
        <w:t xml:space="preserve"> Synergies and Trade-Offs in Reaching the Sustainable Development Goals — https://doi.org/10.3390/su12208729</w:t>
      </w:r>
    </w:p>
    <w:p>
      <w:pPr/>
      <w:r>
        <w:rPr>
          <w:b/>
        </w:rPr>
        <w:t>Shared claim-specific concepts:</w:t>
      </w:r>
      <w:r>
        <w:t xml:space="preserve"> synergies, trade-offs, between; EU scope not established. This is a provisional connection, not an outcome finding.</w:t>
      </w:r>
    </w:p>
    <w:p>
      <w:pPr>
        <w:pStyle w:val="SourceNote"/>
      </w:pPr>
      <w:r>
        <w:rPr>
          <w:b/>
        </w:rPr>
        <w:t>Available abstract (not full text):</w:t>
      </w:r>
      <w:r>
        <w:t xml:space="preserve"> The Sustainable Development Goals (SDGs) adopted in 2015 integrate diverse issues such as addressing hunger, gender equality and clean energy and set a common agenda for all United Nations member states until 2030. The 17 SDGs interact and by working towards achieving one goal countries may further—or jeopardise—progress on others. However, the direction and strength of these interactions are still poorly understood and it remains an analytical challenge to capture the relationships between the multi-dimensional goals, comprising 169 targets and over 200 indicators. Here, we use principal component analysis (PCA), an in this context novel approach, to summarise each goal and interactions in the global SDG agenda. Applying PCA allows us to map trends, synergies and trade-offs at the level of goals for all SDGs while using all available information on indicators. While our approach does not allow us to investigate causal relationships, it provides important evidence of the degree of compatibility of goal attainment over time. Based on global data 2000–2016, our results indicate that synergies between and within the SDGs prevail, both in terms of levels and over time change. An exception is SDG 10 ‘Reducing inequalities’ which has not progressed in tandem with other goals.</w:t>
      </w:r>
    </w:p>
    <w:p>
      <w:pPr/>
      <w:r>
        <w:rPr>
          <w:b/>
        </w:rPr>
        <w:t>POSSIBLE 2020:</w:t>
      </w:r>
      <w:r>
        <w:t xml:space="preserve"> Trade-offs and synergies in the ecosystem service demand of urban brownfield stakeholders — https://doi.org/10.1016/j.ecoser.2020.101074</w:t>
      </w:r>
    </w:p>
    <w:p>
      <w:pPr/>
      <w:r>
        <w:rPr>
          <w:b/>
        </w:rPr>
        <w:t>Shared claim-specific concepts:</w:t>
      </w:r>
      <w:r>
        <w:t xml:space="preserve"> therefore, synergies, trade-offs, between, range, services; EU scope not established. This is a provisional connection, not an outcome finding.</w:t>
      </w:r>
    </w:p>
    <w:p>
      <w:pPr>
        <w:pStyle w:val="SourceNote"/>
      </w:pPr>
      <w:r>
        <w:rPr>
          <w:b/>
        </w:rPr>
        <w:t>Available abstract (not full text):</w:t>
      </w:r>
      <w:r>
        <w:t xml:space="preserve"> Brownfield site redevelopment presents an opportunity to create urban green spaces that provide a wide range of ecosystem services. It is important, therefore, to understand which ecosystem services are demanded by stakeholders and whether there are trade-offs or synergies in this demand. We performed a quantitative survey of ecosystem service demand from brownfield sites that included all major stakeholder groups. Results showed that there was a strong trade-off between demand for services related to property development (e.g. ground strength and low flood risk) and all other services, which were linked to vegetated sites. There was a secondary, but weak, trade-off between demand for services of more ‘natural’ vegetated sites (e.g. with a biodiversity protection role) and those linked to aesthetics and recreation. Stakeholders with a strong preference for biodiversity protection formed a distinct group in their ecosystem service demands. While a ‘development’ vs ‘green space’ trade-off may be unavoidable, the general lack of strong trade-offs in demand for other services indicated that the creation of multifunctional greenspaces from former brownfield sites would be desirable to most stakeholders, as long as these are biophysically possible.</w:t>
      </w:r>
    </w:p>
    <w:p>
      <w:pPr/>
      <w:r>
        <w:rPr>
          <w:b/>
        </w:rPr>
        <w:t>POSSIBLE 2019:</w:t>
      </w:r>
      <w:r>
        <w:t xml:space="preserve"> Parallel clines in native and introduced ragweed populations are likely due to adaptation — https://doi.org/10.1101/773838</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Abstract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clines seen for flowering time and size are most likely the result of </w:t>
      </w:r>
    </w:p>
    <w:p>
      <w:pPr/>
      <w:r>
        <w:rPr>
          <w:b/>
        </w:rPr>
        <w:t>POSSIBLE 2018:</w:t>
      </w:r>
      <w:r>
        <w:t xml:space="preserve"> Intercultural Scale Adaptation Stages, Language and Culture Adaptation: Updated Guideline — https://doi.org/10.26650/fnjn397481</w:t>
      </w:r>
    </w:p>
    <w:p>
      <w:pPr/>
      <w:r>
        <w:rPr>
          <w:b/>
        </w:rPr>
        <w:t>Shared claim-specific concepts:</w:t>
      </w:r>
      <w:r>
        <w:t xml:space="preserve"> therefore, likely, adaptation, between; EU scope not established. This is a provisional connection, not an outcome finding.</w:t>
      </w:r>
    </w:p>
    <w:p>
      <w:pPr>
        <w:pStyle w:val="SourceNote"/>
      </w:pPr>
      <w:r>
        <w:rPr>
          <w:b/>
        </w:rPr>
        <w:t>Available abstract (not full text):</w:t>
      </w:r>
      <w:r>
        <w:t xml:space="preserve"> The fact that many of the scales developed in English are translated requires much analysis in order to ensure equality of the scale in terms of culture and language. This assessment gains more importance with increasing language and cultural differences between the source country (where the scale was developed) and the target country. Additionally, there can be differences likely to affect the validity and reliability of the scale, even in cultures that are very similar in terms of level of development, social life, or values. Despite all these difficulties, the use of the adapted scale saves time, increases the generalization capacity of the data collected, and allows scholars to research the similarities and differences between the societies where the measurements are carried out. Also, valid and reliable tools contribute significant findings to measuring the outcomes of nursing care. However, two important questions need to be analyzed carefully before an adaptation is performed. The first question is whether or not the planned adaptation of the scale is truly necessary. The second question is whether or not the suggested scale for adaptation is really the best tool. How people express emotions, thoughts, and behaviors vary between societies. Therefore, any necessary changes should be made during the scale adaptation by taking into account the variable structure. The steps </w:t>
      </w:r>
    </w:p>
    <w:p>
      <w:pPr/>
      <w:r>
        <w:rPr>
          <w:b/>
        </w:rPr>
        <w:t>POSSIBLE 2017:</w:t>
      </w:r>
      <w:r>
        <w:t xml:space="preserve"> The FLC Locus: A Platform for Discoveries in Epigenetics and Adaptation — https://doi.org/10.1146/annurev-cellbio-100616-060546</w:t>
      </w:r>
    </w:p>
    <w:p>
      <w:pPr/>
      <w:r>
        <w:rPr>
          <w:b/>
        </w:rPr>
        <w:t>Shared claim-specific concepts:</w:t>
      </w:r>
      <w:r>
        <w:t xml:space="preserve"> therefore, adaptation, regulate; EU scope not established. This is a provisional connection, not an outcome finding.</w:t>
      </w:r>
    </w:p>
    <w:p>
      <w:pPr>
        <w:pStyle w:val="SourceNote"/>
      </w:pPr>
      <w:r>
        <w:rPr>
          <w:b/>
        </w:rPr>
        <w:t>Available abstract (not full text):</w:t>
      </w:r>
      <w:r>
        <w:t xml:space="preserve"> Our understanding of the detailed molecular mechanisms underpinning adaptation is still poor. One example for which mechanistic understanding of regulation has converged with studies of life history variation is Arabidopsis thaliana FLOWERING LOCUS C (FLC). FLC determines the need for plants to overwinter and their ability to respond to prolonged cold in a process termed vernalization. This review highlights how molecular analysis of vernalization pathways has revealed important insight into antisense-mediated chromatin silencing mechanisms that regulate FLC. In turn, such insight has enabled molecular dissection of the diversity in vernalization across natural populations of A. thaliana. Changes in both cotranscriptional regulation and epigenetic silencing of FLC are caused by noncoding polymorphisms at FLC. The FLC locus is therefore providing important concepts for how noncoding transcription and chromatin regulation influence gene expression and how these mechanisms can vary to underpin adaptation in natural populations.</w:t>
      </w:r>
    </w:p>
    <w:p>
      <w:pPr/>
      <w:r>
        <w:rPr>
          <w:b/>
        </w:rPr>
        <w:t>POSSIBLE 2017:</w:t>
      </w:r>
      <w:r>
        <w:t xml:space="preserve"> Cross-Adaptation: Heat and Cold Adaptation to Improve Physiological and Cellular Responses to Hypoxia — https://doi.org/10.1007/s40279-017-0717-z</w:t>
      </w:r>
    </w:p>
    <w:p>
      <w:pPr/>
      <w:r>
        <w:rPr>
          <w:b/>
        </w:rPr>
        <w:t>Shared claim-specific concepts:</w:t>
      </w:r>
      <w:r>
        <w:t xml:space="preserve"> therefore, likely, adaptation, between; EU scope not established. This is a provisional connection, not an outcome finding.</w:t>
      </w:r>
    </w:p>
    <w:p>
      <w:pPr>
        <w:pStyle w:val="SourceNote"/>
      </w:pPr>
      <w:r>
        <w:rPr>
          <w:b/>
        </w:rPr>
        <w:t>Available abstract (not full text):</w:t>
      </w:r>
      <w:r>
        <w:t xml:space="preserve"> To prepare for extremes of heat, cold or low partial pressures of oxygen (O 2 ), humans can undertake a period of acclimation or acclimatization to induce environment-specific adaptations, e.g. heat acclimation (HA), cold acclimation (CA), or altitude training. While these strategies are effective, they are not always feasible due to logistical impracticalities. Cross-adaptation is a term used to describe the phenomenon whereby alternative environmental interventions, e.g. HA or CA, may be a beneficial alternative to altitude interventions, providing physiological stress and inducing adaptations observable at altitude. HA can attenuate physiological strain at rest and during moderate-intensity exercise at altitude via adaptations allied to improved O 2 delivery to metabolically active tissue, likely following increases in plasma volume and reductions in body temperature. CA appears to improve physiological responses to altitude by attenuating the autonomic response to altitude. While no cross-acclimation-derived exercise performance/capacity data have been measured following CA, post-HA improvements in performance underpinned by aerobic metabolism, and therefore dependent on O 2 delivery at altitude, are likely. At a cellular level, heat shock protein responses to altitude are attenuated by prior HA, suggesting that an attenuation of the cellular stress response and therefore a</w:t>
      </w:r>
    </w:p>
    <w:p>
      <w:pPr/>
      <w:r>
        <w:rPr>
          <w:b/>
        </w:rPr>
        <w:t>POSSIBLE 2017:</w:t>
      </w:r>
      <w:r>
        <w:t xml:space="preserve"> Epigenetic and Genetic Contributions to Adaptation in Chlamydomonas — https://doi.org/10.1093/molbev/msx166</w:t>
      </w:r>
    </w:p>
    <w:p>
      <w:pPr/>
      <w:r>
        <w:rPr>
          <w:b/>
        </w:rPr>
        <w:t>Shared claim-specific concepts:</w:t>
      </w:r>
      <w:r>
        <w:t xml:space="preserve"> adaptation, between; EU scope not established. This is a provisional connection, not an outcome finding.</w:t>
      </w:r>
    </w:p>
    <w:p>
      <w:pPr>
        <w:pStyle w:val="SourceNote"/>
      </w:pPr>
      <w:r>
        <w:rPr>
          <w:b/>
        </w:rPr>
        <w:t>Available abstract (not full text):</w:t>
      </w:r>
      <w:r>
        <w:t xml:space="preserve"> Epigenetic modifications, such as DNA methylation or histone modifications, can be transmitted between cellular or organismal generations. However, there are no experiments measuring their role in adaptation, so here we use experimental evolution to investigate how epigenetic variation can contribute to adaptation. We manipulated DNA methylation and histone acetylation in the unicellular green alga Chlamydomonas reinhardtii both genetically and chemically to change the amount of epigenetic variation generated or transmitted in adapting populations in three different environments (salt stress, phosphate starvation, and high CO2) for two hundred asexual generations. We find that reducing the amount of epigenetic variation available to populations can reduce adaptation in environments where it otherwise happens. From genomic and epigenomic sequences from a subset of the populations, we see changes in methylation patterns between the evolved populations over-represented in some functional categories of genes, which is consistent with some of these differences being adaptive. Based on whole genome sequencing of evolved clones, the majority of DNA methylation changes do not appear to be linked to cis-acting genetic mutations. Our results show that transgenerational epigenetic effects play a role in adaptive evolution, and suggest that the relationship between changes in methylation p</w:t>
      </w:r>
    </w:p>
    <w:p>
      <w:pPr/>
      <w:r>
        <w:rPr>
          <w:b/>
        </w:rPr>
        <w:t>POSSIBLE 2016:</w:t>
      </w:r>
      <w:r>
        <w:t xml:space="preserve"> An uncertain future, deep uncertainty, scenarios, robustness and adaptation: How do they fit together? — https://doi.org/10.1016/j.envsoft.2016.03.014</w:t>
      </w:r>
    </w:p>
    <w:p>
      <w:pPr/>
      <w:r>
        <w:rPr>
          <w:b/>
        </w:rPr>
        <w:t>Shared claim-specific concepts:</w:t>
      </w:r>
      <w:r>
        <w:t xml:space="preserve"> adaptation, conditions, climate; EU scope not established. This is a provisional connection, not an outcome finding.</w:t>
      </w:r>
    </w:p>
    <w:p>
      <w:pPr>
        <w:pStyle w:val="SourceNote"/>
      </w:pPr>
      <w:r>
        <w:rPr>
          <w:b/>
        </w:rPr>
        <w:t>Available abstract (not full text):</w:t>
      </w:r>
      <w:r>
        <w:t xml:space="preserve"> A highly uncertain future due to changes in climate, technology and socio-economics has led to the realisation that identification of “best-guess” future conditions might no longer be appropriate. Instead, multiple plausible futures need to be considered, which requires (i) uncertainties to be described with the aid of scenarios that represent coherent future pathways based on different sets of assumptions, (ii) system performance to be represented by metrics that measure insensitivity (i.e. robustness) to changes in future conditions, and (iii) adaptive strategies to be considered alongside their more commonly used static counterparts. However, while these factors have been considered in isolation previously, there has been a lack of discussion of the way they are connected. In order to address this shortcoming, this paper presents a multidisciplinary perspective on how the above factors fit together to facilitate the development of strategies that are best suited to dealing with a deeply uncertain future.</w:t>
      </w:r>
    </w:p>
    <w:p>
      <w:pPr>
        <w:pStyle w:val="Heading2"/>
      </w:pPr>
      <w:r>
        <w:t>966.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r>
        <w:rPr>
          <w:b/>
        </w:rPr>
        <w:t>POSSIBLE 2020:</w:t>
      </w:r>
      <w:r>
        <w:t xml:space="preserve"> Is There a Crisis of Democracy in Europe? — https://doi.org/10.1007/s11615-020-00231-9</w:t>
      </w:r>
    </w:p>
    <w:p>
      <w:pPr/>
      <w:r>
        <w:rPr>
          <w:b/>
        </w:rPr>
        <w:t>Shared claim-specific concepts:</w:t>
      </w:r>
      <w:r>
        <w:t xml:space="preserve"> however, way, view;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2019:</w:t>
      </w:r>
      <w:r>
        <w:t xml:space="preserve"> Social enterprises and their ecosystems in Europe — https://doi.org/10.2767/330252</w:t>
      </w:r>
    </w:p>
    <w:p>
      <w:pPr/>
      <w:r>
        <w:rPr>
          <w:b/>
        </w:rPr>
        <w:t>Shared claim-specific concepts:</w:t>
      </w:r>
      <w:r>
        <w:t xml:space="preserve"> however, way, present;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2019:</w:t>
      </w:r>
      <w:r>
        <w:t xml:space="preserve"> Social Innovation in Community Energy in Europe: A Review of the Evidence — https://doi.org/10.3389/fenrg.2019.00031</w:t>
      </w:r>
    </w:p>
    <w:p>
      <w:pPr/>
      <w:r>
        <w:rPr>
          <w:b/>
        </w:rPr>
        <w:t>Shared claim-specific concepts:</w:t>
      </w:r>
      <w:r>
        <w:t xml:space="preserve"> important, however, out;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2018:</w:t>
      </w:r>
      <w:r>
        <w:t xml:space="preserve"> Drought tolerance during reproductive development is important for increasing wheat yield potential under climate change in Europe — https://doi.org/10.1093/jxb/ery226</w:t>
      </w:r>
    </w:p>
    <w:p>
      <w:pPr/>
      <w:r>
        <w:rPr>
          <w:b/>
        </w:rPr>
        <w:t>Shared claim-specific concepts:</w:t>
      </w:r>
      <w:r>
        <w:t xml:space="preserve"> important, however, used; EU scope visible. This is a provisional connection, not an outcome finding.</w:t>
      </w:r>
    </w:p>
    <w:p>
      <w:pPr>
        <w:pStyle w:val="SourceNote"/>
      </w:pPr>
      <w:r>
        <w:rPr>
          <w:b/>
        </w:rPr>
        <w:t>Available abstract (not full text):</w:t>
      </w:r>
      <w:r>
        <w:t xml:space="preserve"> Drought stress during reproductive development could drastically reduce wheat grain number and yield, but quantitative evaluation of such an effect is unknown under climate change. The objectives of this study were to evaluate potential yield benefits of drought tolerance during reproductive development for wheat ideotypes under climate change in Europe, and to identify potential cultivar parameters for improvement. We used the Sirius wheat model to optimize drought-tolerant (DT) and drought-sensitive (DS) wheat ideotypes under a future 2050 climate scenario at 13 contrasting sites, representing major wheat growing regions in Europe. Averaged over the sites, DT ideotypes achieved 13.4% greater yield compared with DS, with higher yield stability. However, the performances of the ideotypes were site dependent. Mean yield of DT was 28-37% greater compared with DS in southern Europe. In contrast, no yield difference (≤1%) between ideotypes was found in north-western Europe. An intermediate yield benefit of 10-23% was found due to drought tolerance in central and eastern Europe. We conclude that tolerance to drought stress during reproductive development is important for high yield potentials and greater yield stability of wheat under climate change in Europe.</w:t>
      </w:r>
    </w:p>
    <w:p>
      <w:pPr/>
      <w:r>
        <w:rPr>
          <w:b/>
        </w:rPr>
        <w:t>POSSIBLE 2018:</w:t>
      </w:r>
      <w:r>
        <w:t xml:space="preserve"> Home Exercise Training Improves Exercise Capacity in Cirrhosis Patients: Role of Exercise Adherence — https://doi.org/10.1038/s41598-017-18320-y</w:t>
      </w:r>
    </w:p>
    <w:p>
      <w:pPr/>
      <w:r>
        <w:rPr>
          <w:b/>
        </w:rPr>
        <w:t>Shared claim-specific concepts:</w:t>
      </w:r>
      <w:r>
        <w:t xml:space="preserve"> exercise, objective, used; EU scope not established. This is a provisional connection, not an outcome finding.</w:t>
      </w:r>
    </w:p>
    <w:p>
      <w:pPr>
        <w:pStyle w:val="SourceNote"/>
      </w:pPr>
      <w:r>
        <w:rPr>
          <w:b/>
        </w:rPr>
        <w:t>Available abstract (not full text):</w:t>
      </w:r>
      <w:r>
        <w:t xml:space="preserve"> Abstract Cirrhosis patients have reduced peak aerobic power (peak VO2) that is associated with reduced survival. Supervised exercise training increases exercise tolerance. The effect of home-based exercise training (HET) in cirrhosis is unknown. The objective was to evaluate the safety and efficacy of 8 weeks of HET on peak VO2, 6-minute walk distance (6MWD), muscle mass, and quality of life in cirrhosis. Random assignment to 8 weeks of HET (moderate to high intensity cycling exercise, 3 days/week) or usual care. Exercise adherence defined as completing ≥80% training sessions. Paired t-tests and analysis of covariance used for comparisons. Forty patients enrolled: 58% male, mean age 57 y, 70% Child Pugh-A. Between group increases in peak VO2 (1.7, 95% CI: −0.33 to 3.7 ml/kg/min, p = 0.09) and 6MWD (33.7, 95% CI: 5.1 to 62.4 m, p = 0.02) were greater after HET versus usual care. Improvements even more marked in adherent subjects for peak VO2 (2.8, 95% CI: 0.5–5.2 mL/kg/min, p = 0.02) and 6MWD (46.4, 95% CI: 12.4–80.5 m, p = 0.009). No adverse events occurred during testing or HET. Eight weeks of HET is a safe and effective intervention to improve exercise capacity in cirrhosis, with maximal benefits occurring in those who complete ≥80% of the program.</w:t>
      </w:r>
    </w:p>
    <w:p>
      <w:pPr/>
      <w:r>
        <w:rPr>
          <w:b/>
        </w:rPr>
        <w:t>POSSIBLE 2018:</w:t>
      </w:r>
      <w:r>
        <w:t xml:space="preserve"> Challenges and Action Points to Amplify Agroecology in Europe — https://doi.org/10.3390/su10051598</w:t>
      </w:r>
    </w:p>
    <w:p>
      <w:pPr/>
      <w:r>
        <w:rPr>
          <w:b/>
        </w:rPr>
        <w:t>Shared claim-specific concepts:</w:t>
      </w:r>
      <w:r>
        <w:t xml:space="preserve"> important, exercise, carried, out, present; EU scope visible. This is a provisional connection, not an outcome finding.</w:t>
      </w:r>
    </w:p>
    <w:p>
      <w:pPr>
        <w:pStyle w:val="SourceNote"/>
      </w:pPr>
      <w:r>
        <w:rPr>
          <w:b/>
        </w:rPr>
        <w:t>Available abstract (not full text):</w:t>
      </w:r>
      <w:r>
        <w:t xml:space="preserve"> Agriculture in Europe results in the production of food for both the European population and for the export sector. Significant environmental and social problems have emerged with the intensification of European agriculture. These include the loss of biodiversity, the contamination of soils, water, and food with pesticides, and the eutrophication of water bodies. Industrialized agricultural and food systems are also a major contributing factor in the decline of farm numbers, and the high use of antibiotics has led to serious human health problems. In this respect, agroecology can provide insights into important pathways and guide the design, development, and promotion of the transition towards sustainable farming and food systems. An analysis of the major challenges for the amplification of agroecology in Europe was carried out by 310 stakeholders in a World Café exercise and 23 sessions and workshops during the Agroecology Europe Forum 2017. The different challenges that were identified can be grouped into seven categories: (1) definition and concepts; (2) education, training, and knowledge sharing; (3) research approach and funding; (4) policies; (5) productivity and practices; (5) food systems and consumer awareness; and (6) co-optation. To address these challenges, the following key actions are recommended: (1) to develop a common understanding of agroecology; (2) to enhanc</w:t>
      </w:r>
    </w:p>
    <w:p>
      <w:pPr/>
      <w:r>
        <w:rPr>
          <w:b/>
        </w:rPr>
        <w:t>POSSIBLE 2017:</w:t>
      </w:r>
      <w:r>
        <w:t xml:space="preserve"> Exercise for intermittent claudication — https://doi.org/10.1002/14651858.cd000990.pub4</w:t>
      </w:r>
    </w:p>
    <w:p>
      <w:pPr/>
      <w:r>
        <w:rPr>
          <w:b/>
        </w:rPr>
        <w:t>Shared claim-specific concepts:</w:t>
      </w:r>
      <w:r>
        <w:t xml:space="preserve"> important, however, exercise, case, only, used; EU scope not established. This is a provisional connection, not an outcome finding.</w:t>
      </w:r>
    </w:p>
    <w:p>
      <w:pPr>
        <w:pStyle w:val="SourceNote"/>
      </w:pPr>
      <w:r>
        <w:rPr>
          <w:b/>
        </w:rPr>
        <w:t>Available abstract (not full text):</w:t>
      </w:r>
      <w:r>
        <w:t xml:space="preserve"> BACKGROUND: Exercise programmes are a relatively inexpensive, low-risk option compared with other, more invasive therapies for treatment of leg pain on walking (intermittent claudication (IC)). This is the fourth update of a review first published in 1998. OBJECTIVES: Our goal was to determine whether an exercise programme was effective in alleviating symptoms and increasing walking treadmill distances and walking times in people with intermittent claudication. Secondary objectives were to determine whether exercise was effective in preventing deterioration of underlying disease, reducing cardiovascular events, and improving quality of life. SEARCH METHODS: For this update, the Cochrane Vascular Information Specialist searched the Specialised Register (last searched 15 November 2016) and the Cochrane Central Register of Controlled Trials (CENTRAL; 2016, Issue 10) via the Cochrane Register of Studies Online, along with trials registries. SELECTION CRITERIA: Randomised controlled trials of an exercise regimen versus control or versus medical therapy for people with IC due to peripheral arterial disease (PAD). We included any exercise programme or regimen used for treatment of IC, such as walking, skipping, and running. Inclusion of trials was not affected by duration, frequency, or intensity of the exercise programme. Outcome measures collected included treadmill walking distance</w:t>
      </w:r>
    </w:p>
    <w:p>
      <w:pPr/>
      <w:r>
        <w:rPr>
          <w:b/>
        </w:rPr>
        <w:t>POSSIBLE 2016:</w:t>
      </w:r>
      <w:r>
        <w:t xml:space="preserve"> The second gamma-H2AX assay inter-comparison exercise carried out in the framework of the European biodosimetry network (RENEB) — https://doi.org/10.1080/09553002.2016.1207822</w:t>
      </w:r>
    </w:p>
    <w:p>
      <w:pPr/>
      <w:r>
        <w:rPr>
          <w:b/>
        </w:rPr>
        <w:t>Shared claim-specific concepts:</w:t>
      </w:r>
      <w:r>
        <w:t xml:space="preserve"> way, exercise, carried, out, only, purpose; EU scope visible. This is a provisional connection, not an outcome finding.</w:t>
      </w:r>
    </w:p>
    <w:p>
      <w:pPr>
        <w:pStyle w:val="SourceNote"/>
      </w:pPr>
      <w:r>
        <w:rPr>
          <w:b/>
        </w:rPr>
        <w:t>Available abstract (not full text):</w:t>
      </w:r>
      <w:r>
        <w:t xml:space="preserve"> PURPOSE: Within the EU RENEB project, seven laboratories have taken part in training and harmonisation activities to strengthen triage gamma-H2AX-based radiation exposure assessment. This has culminated in a second triage biodosimetry exercise. MATERIALS AND METHODS: Co gamma rays at 0.5, 2.5 (blind samples), 0 and 2 Gy (reference samples). Following post-exposure incubations of 4 and 24 h, 16 samples were shipped on ice packs to each partner. The samples were stained and scored for gamma-H2AX foci, using manual and/or automated fluorescence microscope scoring strategies. Dose estimates were obtained and used to assign triage categories to the samples. RESULTS: Average dose estimates across all the laboratories correlated well with true doses. The most accurate assignment of triage category was achieved by manual scoring of the 4-h blood and lymphocyte samples. Only three samples out of a total of 46 were miscategorized in a way that could have adversely effected the clinical management of a radiation casualty. CONCLUSIONS: This inter-comparison exercise has demonstrated that following a recent acute radiation exposure, the gamma-H2AX assay could be a useful triage tool that can be successfully applied across a network of laboratories.</w:t>
      </w:r>
    </w:p>
    <w:p>
      <w:pPr/>
      <w:r>
        <w:rPr>
          <w:b/>
        </w:rPr>
        <w:t>POSSIBLE 2015:</w:t>
      </w:r>
      <w:r>
        <w:t xml:space="preserve"> Epidemiology of traumatic brain injury in Europe — https://doi.org/10.1007/s00701-015-2512-7</w:t>
      </w:r>
    </w:p>
    <w:p>
      <w:pPr/>
      <w:r>
        <w:rPr>
          <w:b/>
        </w:rPr>
        <w:t>Shared claim-specific concepts:</w:t>
      </w:r>
      <w:r>
        <w:t xml:space="preserve"> case, only; EU scope visible. This is a provisional connection, not an outcome finding.</w:t>
      </w:r>
    </w:p>
    <w:p>
      <w:pPr>
        <w:pStyle w:val="SourceNote"/>
      </w:pPr>
      <w:r>
        <w:rPr>
          <w:b/>
        </w:rPr>
        <w:t>Available abstract (not full text):</w:t>
      </w:r>
      <w:r>
        <w:t xml:space="preserve"> BACKGROUND: Traumatic brain injury (TBI) is a critical public health and socio-economic problem throughout the world, making epidemiological monitoring of incidence, prevalence and outcome of TBI necessary. We aimed to describe the epidemiology of traumatic brain injury in Europe and to evaluate the methodology of incidence studies. METHOD: We performed a systematic review and meta-analyses of articles describing the epidemiology of TBI in European countries. A search was conducted in the PubMed electronic database using the terms: epidemiology, incidence, brain injur*, head injur* and Europe. Only articles published in English and reporting on data collected in Europe between 1990 and 2014 were included. RESULTS: In total, 28 epidemiological studies on TBI from 16 European countries were identified in the literature. A great variation was found in case definitions and case ascertainment between studies. Falls and road traffic accidents (RTA) were the two most frequent causes of TBI, with falls being reported more frequently than RTA. In most of the studies a peak TBI incidence was seen in the oldest age groups. In the meta-analysis, an overall incidence rate of 262 per 100,000 for admitted TBI was derived. CONCLUSIONS: Interpretation of published epidemiologic studies is confounded by differences in inclusion criteria and case ascertainment. Nevertheless, changes in epidemiolo</w:t>
      </w:r>
    </w:p>
    <w:p>
      <w:pPr>
        <w:pStyle w:val="Heading2"/>
      </w:pPr>
      <w:r>
        <w:t>967.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2022:</w:t>
      </w:r>
      <w:r>
        <w:t xml:space="preserve"> Simulating Ecological Functions of Vegetation Using a Dynamic Vegetation Model — https://doi.org/10.3390/f13091464</w:t>
      </w:r>
    </w:p>
    <w:p>
      <w:pPr/>
      <w:r>
        <w:rPr>
          <w:b/>
        </w:rPr>
        <w:t>Shared claim-specific concepts:</w:t>
      </w:r>
      <w:r>
        <w:t xml:space="preserve"> used, vegetation, forest; EU scope not established. This is a provisional connection, not an outcome finding.</w:t>
      </w:r>
    </w:p>
    <w:p>
      <w:pPr>
        <w:pStyle w:val="SourceNote"/>
      </w:pPr>
      <w:r>
        <w:rPr>
          <w:b/>
        </w:rPr>
        <w:t>Available abstract (not full text):</w:t>
      </w:r>
      <w:r>
        <w:t xml:space="preserve"> The ecological functions of vegetation play a significant role in improving human well-being. However, previous studies on ecological functions have only used semi-empirical models, which do not include physiological mechanisms and therefore do not accurately estimate the ecological functions of vegetation under scenarios of future climate change. To address this problem, a process-based dynamic vegetation model (LPJ-GUESS) was used to simulate the ecological functions of vegetation under different climate change scenarios in the Loess Plateau (LP), a typical ecologically fragile area in China. The simulated ecological functions were the carbon stock function (CS), soil conservation function (SC), and the water conservation function (WC). The results showed that: (1) Compared with 2001–2020, the proportion of area by shrub and grass vegetation that was predicted to transform into forest accounted for more than 1% of the area in the LP under the SSP119 scenario and 3% of the area in the LP under the SSP585 scenario during 2081–2100, respectively. (2) Compared with 2001–2020, the CS would decrease in the central and south-eastern regions, the SC would decrease in the western regions, and the WC would decrease in the Qilian, Wushaoling, Xinglong and Liupan Mountains during 2081–2100. (3) The relationships and the corresponding regions between the ecological functions of the vegeta</w:t>
      </w:r>
    </w:p>
    <w:p>
      <w:pPr/>
      <w:r>
        <w:rPr>
          <w:b/>
        </w:rPr>
        <w:t>POSSIBLE 2021:</w:t>
      </w:r>
      <w:r>
        <w:t xml:space="preserve"> High-resolution land-use land-cover change data for regional climate modelling applications over Europe – Part 2: Historical and future changes — https://doi.org/10.5194/essd-2021-252</w:t>
      </w:r>
    </w:p>
    <w:p>
      <w:pPr/>
      <w:r>
        <w:rPr>
          <w:b/>
        </w:rPr>
        <w:t>Shared claim-specific concepts:</w:t>
      </w:r>
      <w:r>
        <w:t xml:space="preserve"> used, forest, part;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pPr/>
      <w:r>
        <w:rPr>
          <w:b/>
        </w:rPr>
        <w:t>POSSIBLE 2021:</w:t>
      </w:r>
      <w:r>
        <w:t xml:space="preserve"> Analysing the relationship between drought and soil erosion using vegetation health index and RUSLE models in Godavari middle sub-basin, India — https://doi.org/10.1016/j.gsf.2021.101312</w:t>
      </w:r>
    </w:p>
    <w:p>
      <w:pPr/>
      <w:r>
        <w:rPr>
          <w:b/>
        </w:rPr>
        <w:t>Shared claim-specific concepts:</w:t>
      </w:r>
      <w:r>
        <w:t xml:space="preserve"> vegetation, one; EU scope not established. This is a provisional connection, not an outcome finding.</w:t>
      </w:r>
    </w:p>
    <w:p>
      <w:pPr>
        <w:pStyle w:val="SourceNote"/>
      </w:pPr>
      <w:r>
        <w:rPr>
          <w:b/>
        </w:rPr>
        <w:t>Available abstract (not full text):</w:t>
      </w:r>
      <w:r>
        <w:t xml:space="preserve"> Drought is a natural phenomenon posing severe implications for soil, groundwater and agricultural yield. It has been recognized as one of the most pervasive global change drivers to affect the soil. Soil being a weakly renewable resource takes a long time to form, but it takes no time to degrade. However, the response of soil to drought conditions as soil loss is not manifested in the existing literature. Thus, this study makes a concerted effort to analyze the relationship between drought conditions and soil erosion in the middle sub-basin of the Godavari River in India. MODIS remote sensing data was utilized for driving drought indices during 2000–2019. Firstly, we constricted Temperature condition index (TCI) and Vegetation Condition Index (VCI) from Land Surface Temperature (LST) and Enhanced Vegetation Index (EVI) derived from MODIS data. TCI and VCI were then integrated to determine the Vegetation Health Index (VHI). Revised Universal Soil Loss Equation (RUSLE) was utilized for estimating soil loss. The relationship between drought condition and vegetation was ascertained using the Pearson correlation. Most of the northern and southern watersheds experienced severe drought condition in the sub-basin during 2000–2019. The mean frequency of the drought occurrence was 7.95 months. The average soil erosion in the sub-basin was estimated to be 9.88 t ha−1 year−1. A positive re</w:t>
      </w:r>
    </w:p>
    <w:p>
      <w:pPr/>
      <w:r>
        <w:rPr>
          <w:b/>
        </w:rPr>
        <w:t>POSSIBLE 2020:</w:t>
      </w:r>
      <w:r>
        <w:t xml:space="preserve"> Sentinel-1 Cross Ratio and Vegetation Optical Depth: A Comparison over Europe — https://doi.org/10.3390/rs12203404</w:t>
      </w:r>
    </w:p>
    <w:p>
      <w:pPr/>
      <w:r>
        <w:rPr>
          <w:b/>
        </w:rPr>
        <w:t>Shared claim-specific concepts:</w:t>
      </w:r>
      <w:r>
        <w:t xml:space="preserve"> used, vegetation, one; EU scope visible. This is a provisional connection, not an outcome finding.</w:t>
      </w:r>
    </w:p>
    <w:p>
      <w:pPr>
        <w:pStyle w:val="SourceNote"/>
      </w:pPr>
      <w:r>
        <w:rPr>
          <w:b/>
        </w:rPr>
        <w:t>Available abstract (not full text):</w:t>
      </w:r>
      <w:r>
        <w:t xml:space="preserve"> Vegetation products based on microwave remote sensing observations, such as Vegetation Optical Depth (VOD), are increasingly used in a variety of applications. One disadvantage is the often coarse spatial resolution of tens of kilometers of products retrieved from microwave observations from spaceborne radiometers and scatterometers. This can potentially be overcome by using new high-resolution Synthetic Aperture Radar (SAR) observations from Sentinel-1. However, the sensitivity of Sentinel-1 backscatter to vegetation dynamics, or its use in radiative transfer models, such as the water cloud model, has only been tested at field to regional scale. In this study, we compared the cross-polarization ratio (CR) to vegetation dynamics as observed in microwave-based Vegetation Optical Depth from coarse-scale satellites over Europe. CR was obtained from Sentinel-1 VH and VV backscatter observations at 500 m sampling and resampled to the spatial resolution of VOD from the Advanced SCATterometer (ASCAT) on-board the Metop satellite series. Spatial patterns between median CR and ASCAT VOD correspond to each other and to vegetation patterns over Europe. Analysis of temporal correlation between CR and ASCAT VOD shows that high Pearson correlation coefficients (Rp) are found over croplands and grasslands (median Rp &gt; 0.75). Over deciduous broadleaf forests, negative correlations are found. T</w:t>
      </w:r>
    </w:p>
    <w:p>
      <w:pPr/>
      <w:r>
        <w:rPr>
          <w:b/>
        </w:rPr>
        <w:t>POSSIBLE 2017:</w:t>
      </w:r>
      <w:r>
        <w:t xml:space="preserve"> Vegetation dynamics and fire history at the southern boundary of the forest vegetation zone in European Russia during the middle and late Holocene — https://doi.org/10.1177/0959683617721331</w:t>
      </w:r>
    </w:p>
    <w:p>
      <w:pPr/>
      <w:r>
        <w:rPr>
          <w:b/>
        </w:rPr>
        <w:t>Shared claim-specific concepts:</w:t>
      </w:r>
      <w:r>
        <w:t xml:space="preserve"> vegetation, forest, part, russia; EU scope visible. This is a provisional connection, not an outcome finding.</w:t>
      </w:r>
    </w:p>
    <w:p>
      <w:pPr>
        <w:pStyle w:val="SourceNote"/>
      </w:pPr>
      <w:r>
        <w:rPr>
          <w:b/>
        </w:rPr>
        <w:t>Available abstract (not full text):</w:t>
      </w:r>
      <w:r>
        <w:t xml:space="preserve"> Climate and human activity affected significantly the Eurasian on the forest vegetation zone through the Holocene. This paper presents new multi-proxy records of environmental changes at the southern boundary of the mixed coniferous broadleaved forest zone in the east-central part of the East European Plain during the middle and late Holocene. Palaeoecological analyses of a peat core for pollen, charcoal, peat humification, plant macrofossils and testate amoebae with dating using radiocarbon have shown that climate appears to have been a dominant control on vegetation. There is strong evidence for a reduced precipitation–evapotranspiration ratio and high fire frequency during the Holocene thermal maximum (6.9–5.3 ka BP), leading to dominance of Betula–Pinus forests. By contrast subsequent climatic cooling led to the expansion of broadleaved forests and establishment of Picea. Human activities influenced vegetation from the Neolithic onwards but played a role which was secondary to climate until the recent past. Over the last century, human impacts considerably increased because of harvesting of broadleaved trees and contributed to the formation of the current mixed coniferous broadleaved forests.</w:t>
      </w:r>
    </w:p>
    <w:p>
      <w:pPr/>
      <w:r>
        <w:rPr>
          <w:b/>
        </w:rPr>
        <w:t>POSSIBLE 2015:</w:t>
      </w:r>
      <w:r>
        <w:t xml:space="preserve"> A Conceptual Model of Vegetation–hydrogeomorphology Interactions Within River Corridors — https://doi.org/10.1002/rra.2928</w:t>
      </w:r>
    </w:p>
    <w:p>
      <w:pPr/>
      <w:r>
        <w:rPr>
          <w:b/>
        </w:rPr>
        <w:t>Shared claim-specific concepts:</w:t>
      </w:r>
      <w:r>
        <w:t xml:space="preserve"> vegetation, one; EU scope visible. This is a provisional connection, not an outcome finding.</w:t>
      </w:r>
    </w:p>
    <w:p>
      <w:pPr>
        <w:pStyle w:val="SourceNote"/>
      </w:pPr>
      <w:r>
        <w:rPr>
          <w:b/>
        </w:rPr>
        <w:t>Available abstract (not full text):</w:t>
      </w:r>
      <w:r>
        <w:t xml:space="preserve"> Abstract We propose a conceptual model of vegetation–hydrogeomorphology interactions and feedbacks within river corridors (i.e. river channels and their floodplains) that builds on previous similar hydrogeomorphologically centred models by incorporating hydrogeomorphological constraints on river corridor vegetation from region to reach scales; defining five dynamic river corridor zones within which different hydrogeomorphological processes are dominant so that plants and physical processes interact in different ways, and considering the potential distribution of these zones longitudinally from river headwaters to mouth, laterally across the river corridor, and in relation to different river planform styles; considering the way in which vegetation‐related landforms within each zone may reflect processes of self‐organization and the role of particular plant species as physical ecosystem engineers within the context of the dominant hydrogeomorphological processes; focussing, in particular, upon a ‘critical zone’ at the leading edge of plant–hydrogeomorphological process interactions that is located somewhere within the area of the river corridor perennially inundated by flowing water (zone 1) and the area that is frequently inundated and subject to both sediment erosion and deposition processes (zone 2). Within the critical zone some plant species strongly influence the position a</w:t>
      </w:r>
    </w:p>
    <w:p>
      <w:pPr>
        <w:pStyle w:val="Heading2"/>
      </w:pPr>
      <w:r>
        <w:t>968.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r>
        <w:rPr>
          <w:b/>
        </w:rPr>
        <w:t>POSSIBLE 2023:</w:t>
      </w:r>
      <w:r>
        <w:t xml:space="preserve"> Emerging threats and opportunities to managed bee species in European agricultural systems: a horizon scan — https://doi.org/10.1038/s41598-023-45279-w</w:t>
      </w:r>
    </w:p>
    <w:p>
      <w:pPr/>
      <w:r>
        <w:rPr>
          <w:b/>
        </w:rPr>
        <w:t>Shared claim-specific concepts:</w:t>
      </w:r>
      <w:r>
        <w:t xml:space="preserve"> issues, horizon, scanning, exercise; EU scope visible. This is a provisional connection, not an outcome finding.</w:t>
      </w:r>
    </w:p>
    <w:p>
      <w:pPr>
        <w:pStyle w:val="SourceNote"/>
      </w:pPr>
      <w:r>
        <w:rPr>
          <w:b/>
        </w:rPr>
        <w:t>Available abstract (not full text):</w:t>
      </w:r>
      <w:r>
        <w:t xml:space="preserve"> Managed bee species provide essential pollination services that contribute to food security worldwide. However, managed bees face a diverse array of threats and anticipating these, and potential opportunities to reduce risks, is essential for the sustainable management of pollination services. We conducted a horizon scanning exercise with 20 experts from across Europe to identify emerging threats and opportunities for managed bees in European agricultural systems. An initial 63 issues were identified, and this was shortlisted to 21 issues through the horizon scanning process. These ranged from local landscape-level management to geopolitical issues on a continental and global scale across seven broad themes-Pesticides &amp; pollutants, Technology, Management practices, Predators &amp; parasites, Environmental stressors, Crop modification, and Political &amp; trade influences. While we conducted this horizon scan within a European context, the opportunities and threats identified will likely be relevant to other regions. A renewed research and policy focus, especially on the highest-ranking issues, is required to maximise the value of these opportunities and mitigate threats to maintain sustainable and healthy managed bee pollinators within agricultural systems.</w:t>
      </w:r>
    </w:p>
    <w:p>
      <w:pPr/>
      <w:r>
        <w:rPr>
          <w:b/>
        </w:rPr>
        <w:t>POSSIBLE 2022:</w:t>
      </w:r>
      <w:r>
        <w:t xml:space="preserve"> Health horizons: Future trends and technologies from the European Medicines Agency’s horizon scanning collaborations — https://doi.org/10.3389/fmed.2022.1064003</w:t>
      </w:r>
    </w:p>
    <w:p>
      <w:pPr/>
      <w:r>
        <w:rPr>
          <w:b/>
        </w:rPr>
        <w:t>Shared claim-specific concepts:</w:t>
      </w:r>
      <w:r>
        <w:t xml:space="preserve"> horizon, scanning, light, challenges; EU scope visible. This is a provisional connection, not an outcome finding.</w:t>
      </w:r>
    </w:p>
    <w:p>
      <w:pPr>
        <w:pStyle w:val="SourceNote"/>
      </w:pPr>
      <w:r>
        <w:rPr>
          <w:b/>
        </w:rPr>
        <w:t>Available abstract (not full text):</w:t>
      </w:r>
      <w:r>
        <w:t xml:space="preserve">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pPr/>
      <w:r>
        <w:rPr>
          <w:b/>
        </w:rPr>
        <w:t>POSSIBLE 2022:</w:t>
      </w:r>
      <w:r>
        <w:t xml:space="preserve"> AI hyped? A horizon scan of discourse on artificial intelligence in education (AIED) and development — https://doi.org/10.1080/17439884.2022.2095568</w:t>
      </w:r>
    </w:p>
    <w:p>
      <w:pPr/>
      <w:r>
        <w:rPr>
          <w:b/>
        </w:rPr>
        <w:t>Shared claim-specific concepts:</w:t>
      </w:r>
      <w:r>
        <w:t xml:space="preserve"> key, horizon; EU scope not established. This is a provisional connection, not an outcome finding.</w:t>
      </w:r>
    </w:p>
    <w:p>
      <w:pPr>
        <w:pStyle w:val="SourceNote"/>
      </w:pPr>
      <w:r>
        <w:rPr>
          <w:b/>
        </w:rPr>
        <w:t>Available abstract (not full text):</w:t>
      </w:r>
      <w:r>
        <w:t xml:space="preserve"> The study seeks to understand how the AI ecosystem might be implicated in a form of knowledge production which reifies particular kinds of epistemologies over others. Using text mining and thematic analysis, this paper offers a horizon scan of the key themes that have emerged over the past few years during the AIEd debate. We begin with a discussion of the tools we used to experiment with digital methods for data collection and analysis. This paper then examines how AI in education systems are being conceived, hyped, and potentially deployed into global education contexts. Findings are categorised into three themes in the discourse: (1) geopolitical dominance through education and technological innovation; (2) creation and expansion of market niches, and (3) managing narratives, perceptions, and norms.</w:t>
      </w:r>
    </w:p>
    <w:p>
      <w:pPr/>
      <w:r>
        <w:rPr>
          <w:b/>
        </w:rPr>
        <w:t>POSSIBLE 2021:</w:t>
      </w:r>
      <w:r>
        <w:t xml:space="preserve"> Issues that mobilize Europe. The role of key policy issues for voter turnout in the 2019 European Parliament election — https://doi.org/10.1177/14651165211040337</w:t>
      </w:r>
    </w:p>
    <w:p>
      <w:pPr/>
      <w:r>
        <w:rPr>
          <w:b/>
        </w:rPr>
        <w:t>Shared claim-specific concepts:</w:t>
      </w:r>
      <w:r>
        <w:t xml:space="preserve"> key, issues, systemic, light; EU scope visible. This is a provisional connection, not an outcome finding.</w:t>
      </w:r>
    </w:p>
    <w:p>
      <w:pPr>
        <w:pStyle w:val="SourceNote"/>
      </w:pPr>
      <w:r>
        <w:rPr>
          <w:b/>
        </w:rPr>
        <w:t>Available abstract (not full text):</w:t>
      </w:r>
      <w:r>
        <w:t xml:space="preserve"> In light of the unexpectedly high turnout in the 2019 European Parliament election, we explore how major transnational policy issues mobilize voters in European electoral contests. Based on the analysis of two data sets, the Eurobarometer post-election survey and the RECONNECT panel survey, we make three important observations. First, European citizens show a higher tendency to participate in European Parliament elections when they attribute greater importance to the issues ‘climate change and environment’, ‘economy and growth’, and ‘immigration’. Second, having a more extreme opinion on the issue of ‘European integration’ increases people's likelihood to vote in European elections. Third, the mobilizing effect of personal issue importance is enhanced by the systemic salience that the respective policy issue has during the election campaign. These findings show the relevance of issue mobilization in European Parliament elections as well as its context-dependent nature.</w:t>
      </w:r>
    </w:p>
    <w:p>
      <w:pPr/>
      <w:r>
        <w:rPr>
          <w:b/>
        </w:rPr>
        <w:t>POSSIBLE 2021:</w:t>
      </w:r>
      <w:r>
        <w:t xml:space="preserve"> The Imperative to Discuss European Islam: A Response to Grinell and Črnič — https://doi.org/10.1017/s1062798721000193</w:t>
      </w:r>
    </w:p>
    <w:p>
      <w:pPr/>
      <w:r>
        <w:rPr>
          <w:b/>
        </w:rPr>
        <w:t>Shared claim-specific concepts:</w:t>
      </w:r>
      <w:r>
        <w:t xml:space="preserve"> discuss, key, issues; EU scope visible. This is a provisional connection, not an outcome finding.</w:t>
      </w:r>
    </w:p>
    <w:p>
      <w:pPr>
        <w:pStyle w:val="SourceNote"/>
      </w:pPr>
      <w:r>
        <w:rPr>
          <w:b/>
        </w:rPr>
        <w:t>Available abstract (not full text):</w:t>
      </w:r>
      <w:r>
        <w:t xml:space="preserve"> Abstract Prompted by two recent articles in European Review about the place of Islam in Europe, this article argues for the importance of considering the variants of Islam in Europe that are autochthonous as opposed to connected with migration or immigration. The article discusses the specifics of the Crimean Tatars, Bosnia, Kosovo and Albania, and the Muslims of Georgia by way of illustrating how the issues around European Islam are far from being a marginal curiosity and, in fact, point to key issues in continental culture and politics in the twenty-first century.</w:t>
      </w:r>
    </w:p>
    <w:p>
      <w:pPr>
        <w:pStyle w:val="Heading2"/>
      </w:pPr>
      <w:r>
        <w:t>969.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air, pollution, mitigation, main, but, depending;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Spatial heterogeneity of air pollution statistics in Europe — https://doi.org/10.1038/s41598-022-16109-2</w:t>
      </w:r>
    </w:p>
    <w:p>
      <w:pPr/>
      <w:r>
        <w:rPr>
          <w:b/>
        </w:rPr>
        <w:t>Shared claim-specific concepts:</w:t>
      </w:r>
      <w:r>
        <w:t xml:space="preserve"> air, pollution, leading, order; EU scope visible. This is a provisional connection, not an outcome finding.</w:t>
      </w:r>
    </w:p>
    <w:p>
      <w:pPr>
        <w:pStyle w:val="SourceNote"/>
      </w:pPr>
      <w:r>
        <w:rPr>
          <w:b/>
        </w:rPr>
        <w:t>Available abstract (not full text):</w:t>
      </w:r>
      <w:r>
        <w:t xml:space="preserve">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air, indicator;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2021:</w:t>
      </w:r>
      <w:r>
        <w:t xml:space="preserve"> COVID-19 and Air Pollution: Measuring Pandemic Impact to Air Quality in Five European Countries — https://doi.org/10.3390/atmos12030290</w:t>
      </w:r>
    </w:p>
    <w:p>
      <w:pPr/>
      <w:r>
        <w:rPr>
          <w:b/>
        </w:rPr>
        <w:t>Shared claim-specific concepts:</w:t>
      </w:r>
      <w:r>
        <w:t xml:space="preserve"> air, pollution, improvement, quality; EU scope visible. This is a provisional connection, not an outcome finding.</w:t>
      </w:r>
    </w:p>
    <w:p>
      <w:pPr>
        <w:pStyle w:val="SourceNote"/>
      </w:pPr>
      <w:r>
        <w:rPr>
          <w:b/>
        </w:rPr>
        <w:t>Available abstract (not full text):</w:t>
      </w:r>
      <w:r>
        <w:t xml:space="preserve">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r>
        <w:rPr>
          <w:b/>
        </w:rPr>
        <w:t>POSSIBLE 2021:</w:t>
      </w:r>
      <w:r>
        <w:t xml:space="preserve"> Premature mortality due to air pollution in European cities: a health impact assessment — https://doi.org/10.1016/s2542-5196(20)30272-2</w:t>
      </w:r>
    </w:p>
    <w:p>
      <w:pPr/>
      <w:r>
        <w:rPr>
          <w:b/>
        </w:rPr>
        <w:t>Shared claim-specific concepts:</w:t>
      </w:r>
      <w:r>
        <w:t xml:space="preserve"> air, pollution, but; EU scope visible. This is a provisional connection, not an outcome finding.</w:t>
      </w:r>
    </w:p>
    <w:p>
      <w:pPr>
        <w:pStyle w:val="SourceNote"/>
      </w:pPr>
      <w:r>
        <w:rPr>
          <w:b/>
        </w:rPr>
        <w:t>Available abstract (not full text):</w:t>
      </w:r>
      <w:r>
        <w:t xml:space="preserve"> Background Ambient air pollution is a major environmental cause of morbidity and mortality worldwide. Cities are generally hotspots for air pollution and disease. However, the exact extent of the health effects of air pollution at the city level is still largely unknown. We aimed to estimate the proportion of annual preventable deaths due to air pollution in almost 1000 cities in Europe. Methods We did a quantitative health impact assessment for the year 2015 to estimate the effect of air pollution exposure (PM 2·5 and NO 2 ) on natural-cause mortality for adult residents (aged ≥20 years) in 969 cities and 47 greater cities in Europe. We retrieved the cities and greater cities from the Urban Audit 2018 dataset and did the analysis at a 250 m grid cell level for 2015 data based on the global human settlement layer residential population. We estimated the annual premature mortality burden preventable if the WHO recommended values (ie, 10 μg/m 3 for PM 2·5 and 40 μg/m 3 for NO 2 ) were achieved and if air pollution concentrations were reduced to the lowest values measured in 2015 in European cities (ie, 3·7 μg/m 3 for PM 2·5 and 3·5 μg/m 3 for NO 2 ). We clustered and ranked the cities on the basis of population and age-standardised mortality burden associated with air pollution exposure. In addition, we did several uncertainty and sensitivity analyses to test the robustness of ou</w:t>
      </w:r>
    </w:p>
    <w:p>
      <w:pPr/>
      <w:r>
        <w:rPr>
          <w:b/>
        </w:rPr>
        <w:t>POSSIBLE 2020:</w:t>
      </w:r>
      <w:r>
        <w:t xml:space="preserve"> Alkaline air: changing perspectives on nitrogen and air pollution in an ammonia-rich world — https://doi.org/10.1098/rsta.2019.0315</w:t>
      </w:r>
    </w:p>
    <w:p>
      <w:pPr/>
      <w:r>
        <w:rPr>
          <w:b/>
        </w:rPr>
        <w:t>Shared claim-specific concepts:</w:t>
      </w:r>
      <w:r>
        <w:t xml:space="preserve"> air, pollution, present, leading, quality; EU scope visible. This is a provisional connection, not an outcome finding.</w:t>
      </w:r>
    </w:p>
    <w:p>
      <w:pPr>
        <w:pStyle w:val="SourceNote"/>
      </w:pPr>
      <w:r>
        <w:rPr>
          <w:b/>
        </w:rPr>
        <w:t>Available abstract (not full text):</w:t>
      </w:r>
      <w:r>
        <w:t xml:space="preserve"> Ammonia and ammonium have received less attention than other forms of air pollution, with limited progress in controlling emissions at UK, European and global scales. By contrast, these compounds have been of significant past interest to science and society, the recollection of which can inform future strategies. Sal ammoniac ( nūshādir , nao sha ) is found to have been extremely valuable in long-distance trade ( ca AD 600–1150) from Egypt and China, where 6–8 kg N could purchase a human life, while air pollution associated with nūshādir collection was attributed to this nitrogen form. Ammonia was one of the keys to alchemy—seen as an early experimental mesocosm to understand the world—and later became of interest as ‘alkaline air’ within the eighteenth century development of pneumatic chemistry. The same economic, chemical and environmental properties are found to make ammonia and ammonium of huge relevance today. Successful control of acidifying SO 2 and NO x emissions leaves atmospheric NH 3 in excess in many areas, contributing to particulate matter (PM 2.5 ) formation, while leading to a new significance of alkaline air, with adverse impacts on natural ecosystems. Investigations of epiphytic lichens and bog ecosystems show how the alkalinity effect of NH 3 may explain its having three to five times the adverse effect of ammonium and nitrate, respectively. It is concluded t</w:t>
      </w:r>
    </w:p>
    <w:p>
      <w:pPr/>
      <w:r>
        <w:rPr>
          <w:b/>
        </w:rPr>
        <w:t>POSSIBLE 2020:</w:t>
      </w:r>
      <w:r>
        <w:t xml:space="preserve"> Effects of global ship emissions on European air pollution levels — https://doi.org/10.5194/acp-20-11399-2020</w:t>
      </w:r>
    </w:p>
    <w:p>
      <w:pPr/>
      <w:r>
        <w:rPr>
          <w:b/>
        </w:rPr>
        <w:t>Shared claim-specific concepts:</w:t>
      </w:r>
      <w:r>
        <w:t xml:space="preserve"> air, pollution, both, but; EU scope visible. This is a provisional connection, not an outcome finding.</w:t>
      </w:r>
    </w:p>
    <w:p>
      <w:pPr>
        <w:pStyle w:val="SourceNote"/>
      </w:pPr>
      <w:r>
        <w:rPr>
          <w:b/>
        </w:rPr>
        <w:t>Available abstract (not full text):</w:t>
      </w:r>
      <w:r>
        <w:t xml:space="preserve"> Abstract. Ship emissions constitute a large, and so far poorly regulated, source of air pollution. Emissions are mainly clustered along major ship routes, both in open seas and close to densely populated shorelines. Major air pollutants emitted include sulfur dioxide, NOx and particles. Sulfur dioxide and NOx are both major contributors to the formation of secondary fine particles (PM2.5) and to acidification and eutrophication. In addition, NOx is a major precursor for ground-level ozone. This study is based on global and regional model calculations. The model runs are made with meteorology and emission data representative for year 2017, after the tightening of the SECA (Sulphur Emission Control Area) regulations in 2015, but before the global sulfur cap entering into force in 2020. We have also made model runs reducing sulfur emissions by 80 % corresponding to the 2020 requirements. This study is based on model sensitivity studies perturbing emissions from different sea areas: the Northern European SECA in the North Sea and the Baltic Sea, the Mediterranean Sea and the Black Sea, the Atlantic Ocean close to Europe, shipping in the rest of the world and finally all global ship emissions together. Sensitivity studies have also been made setting lower bounds on the effects of ship plumes on ozone formation. The results from the global and regional calculations are similar. Both </w:t>
      </w:r>
    </w:p>
    <w:p>
      <w:pPr/>
      <w:r>
        <w:rPr>
          <w:b/>
        </w:rPr>
        <w:t>POSSIBLE 2019:</w:t>
      </w:r>
      <w:r>
        <w:t xml:space="preserve"> Cardiovascular disease burden from ambient air pollution in Europe reassessed using novel hazard ratio functions — https://doi.org/10.1093/eurheartj/ehz135</w:t>
      </w:r>
    </w:p>
    <w:p>
      <w:pPr/>
      <w:r>
        <w:rPr>
          <w:b/>
        </w:rPr>
        <w:t>Shared claim-specific concepts:</w:t>
      </w:r>
      <w:r>
        <w:t xml:space="preserve"> air, pollution, leading, about; EU scope visible. This is a provisional connection, not an outcome finding.</w:t>
      </w:r>
    </w:p>
    <w:p>
      <w:pPr>
        <w:pStyle w:val="SourceNote"/>
      </w:pPr>
      <w:r>
        <w:rPr>
          <w:b/>
        </w:rPr>
        <w:t>Available abstract (not full text):</w:t>
      </w:r>
      <w:r>
        <w:t xml:space="preserve"> AIMS: Ambient air pollution is a major health risk, leading to respiratory and cardiovascular mortality. A recent Global Exposure Mortality Model, based on an unmatched number of cohort studies in many countries, provides new hazard ratio functions, calling for re-evaluation of the disease burden. Accordingly, we estimated excess cardiovascular mortality attributed to air pollution in Europe. METHODS AND RESULTS: The new hazard ratio functions have been combined with ambient air pollution exposure data to estimate the impacts in Europe and the 28 countries of the European Union (EU-28). The annual excess mortality rate from ambient air pollution in Europe is 790 000 [95% confidence interval (95% CI) 645 000-934 000], and 659 000 (95% CI 537 000-775 000) in the EU-28. Between 40% and 80% are due to cardiovascular events, which dominate health outcomes. The upper limit includes events attributed to other non-communicable diseases, which are currently not specified. These estimates exceed recent analyses, such as the Global Burden of Disease for 2015, by more than a factor of two. We estimate that air pollution reduces the mean life expectancy in Europe by about 2.2 years with an annual, attributable per capita mortality rate in Europe of 133/100 000 per year. CONCLUSION: We provide new data based on novel hazard ratio functions suggesting that the health impacts attributable to a</w:t>
      </w:r>
    </w:p>
    <w:p>
      <w:pPr/>
      <w:r>
        <w:rPr>
          <w:b/>
        </w:rPr>
        <w:t>POSSIBLE 2017:</w:t>
      </w:r>
      <w:r>
        <w:t xml:space="preserve"> Air pollution and social inequality in the European Union — https://openalex.org/W2897528287</w:t>
      </w:r>
    </w:p>
    <w:p>
      <w:pPr/>
      <w:r>
        <w:rPr>
          <w:b/>
        </w:rPr>
        <w:t>Shared claim-specific concepts:</w:t>
      </w:r>
      <w:r>
        <w:t xml:space="preserve"> air, pollution, but, about; EU scope visible. This is a provisional connection, not an outcome finding.</w:t>
      </w:r>
    </w:p>
    <w:p>
      <w:pPr>
        <w:pStyle w:val="SourceNote"/>
      </w:pPr>
      <w:r>
        <w:rPr>
          <w:b/>
        </w:rPr>
        <w:t>Available abstract (not full text):</w:t>
      </w:r>
      <w:r>
        <w:t xml:space="preserve"> Commonly, air pollution is treated by the European Union (EU) and its member states as a structural problem with technical, one-size-fit-all solutions. The EU has the ambition to follow the United Nation’s Sustainable Development Goals , Agenda 2030 , in which, for example, gender equality is highlighted. Yet, the legislation on toxic air does not explicitly mention how they aim to achieve social equality. Neither has it a gender or intersectional perspective, as far as I could find. Instead, the EU Sustainable Development Strategy rather focus on resource efficiency and ‘green’ economic growth as a trickle-down-theory solution. Since 2008 is clean air stated as a human right in the United Kingdom (UK), but tens of thousands living in UK die every year as a result of toxic air. The environmental law organisation ClientEarth has sued the UK government on their lack of action on this, and won a precedential case in the European Court of Justice in 2014. This study compares how the EU and ClientEarth speak about air pollution and social equality, foremost in regards to health and sustainable transport. None of the actors go into greater detail on how social categories such as those with lower socioeconomic status are affected differently by ambient air, and what can be done about it. The essay therefore concludes that legislation on toxic air needs to be contextualised to a greate</w:t>
      </w:r>
    </w:p>
    <w:p>
      <w:pPr>
        <w:pStyle w:val="Heading2"/>
      </w:pPr>
      <w:r>
        <w:t>970.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2020:</w:t>
      </w:r>
      <w:r>
        <w:t xml:space="preserve"> Patch test results of the European baseline series among 1309 patients in Turkey between 2013 and 2019 — https://doi.org/10.1111/cod.13653</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BACKGROUND: Prevalences of sensitivity to contact allergens change over time as a result of variations in allergen exposure. OBJECTIVES: The aim of the study was to describe trends in sensitisation to allergens of the European baseline series in Turkey between 2013 and 2019. METHODS: The patch test results of 1309 patients with suspected allergic contact dermatitis (ACD) were analysed retrospectively, and the prevalence of contact allergies to European baseline series allergens was compared with previous data (for 1998-2005). RESULTS: A total of 534 (40.8%) patients exhibited one or more positive patch test reaction. The five most frequent allergens were nickel sulfate (19.6%), potassium dichromate (6.5%), cobalt chloride (6%), Myroxylon pereirae resin (5%), and p-phenylenediamine (PPD; 3.7%). Statistically significant increases in the prevalence of sensitisation to methylchloroisothiazolinone/methylisothiazolinone (MCI/MI; P &lt; .001), Myroxylon pereirae resin (P &lt; .001), PPD (P = .008), and fragrance mix I (P = .036) were observed in the 2013 to 2019 period compared with the 1998 to 2005 period. Conversely, positive reactions to neomycin sulfate (P = .029), clioquinol (P = .031), and primin (P = .001) decreased significantly. CONCLUSION: This study provides a comprehensive profile of ACD in Turkey. The remarkable increase in the MI and MCI/MI contact allergy observed underlines</w:t>
      </w:r>
    </w:p>
    <w:p>
      <w:pPr/>
      <w:r>
        <w:rPr>
          <w:b/>
        </w:rPr>
        <w:t>POSSIBLE 2020:</w:t>
      </w:r>
      <w:r>
        <w:t xml:space="preserve"> The Role of Social Support in Machismo and Acceptance of Violence Among Adolescents in Europe: Lights4Violence Baseline Results — https://doi.org/10.1016/j.jadohealth.2020.09.007</w:t>
      </w:r>
    </w:p>
    <w:p>
      <w:pPr/>
      <w:r>
        <w:rPr>
          <w:b/>
        </w:rPr>
        <w:t>Shared claim-specific concepts:</w:t>
      </w:r>
      <w:r>
        <w:t xml:space="preserve"> baseline, spain, portugal; EU scope visible. This is a provisional connection, not an outcome finding.</w:t>
      </w:r>
    </w:p>
    <w:p>
      <w:pPr>
        <w:pStyle w:val="SourceNote"/>
      </w:pPr>
      <w:r>
        <w:rPr>
          <w:b/>
        </w:rPr>
        <w:t>Available abstract (not full text):</w:t>
      </w:r>
      <w:r>
        <w:t xml:space="preserve"> Purpose To analyze the potential association between social support, experiences of violence, and sociodemographic characteristics of adolescents and the likelihood of acceptance of violence and machismo in different European countries. Methods Cross-sectional design. We recruited 1,555 participants ages 13–16 from secondary schools in Alicante (Spain), Rome (Italy), Iasi (Romania), Matosinhos (Portugal), Poznan (Poland), and Cardiff (UK). We used linear regression models to identify how social support from teachers and parents, experiences of violence—dating violence, bullying, cyberbullying, abuse in childhood—and sociodemographic characteristics were associated with violent thinking, specifically: machismo and acceptance of violence. The analysis was stratified by sex. Results Acceptance of violence was higher for those who had lower perceived social support from parents (β girls = −154, p &lt; .001; β boys = −.114, p = .019) for both sexes. Perpetration of bullying and/or cyberbullying was associated with higher scores for machismo and acceptance of violence for both sexes (β girls = .067, p = .035; β boys = .225, p &lt; .001; (β girls = .118, p &lt; .001; β boys = .210, p &lt; .001). Being the victim of dating violence, having suffered physical and/or sexual abuse in childhood, and lower perceived social support from teachers were associated with higher scores for both machismo and ac</w:t>
      </w:r>
    </w:p>
    <w:p>
      <w:pPr/>
      <w:r>
        <w:rPr>
          <w:b/>
        </w:rPr>
        <w:t>POSSIBLE 2020:</w:t>
      </w:r>
      <w:r>
        <w:t xml:space="preserve"> Comparing interannual variability in three regional single-model initial-condition large ensembles (SMILEs) over Europe — https://doi.org/10.5194/esd-11-1013-2020</w:t>
      </w:r>
    </w:p>
    <w:p>
      <w:pPr/>
      <w:r>
        <w:rPr>
          <w:b/>
        </w:rPr>
        <w:t>Shared claim-specific concepts:</w:t>
      </w:r>
      <w:r>
        <w:t xml:space="preserve"> comparing, periods, increases, france, climate; EU scope visible. This is a provisional connection, not an outcome finding.</w:t>
      </w:r>
    </w:p>
    <w:p>
      <w:pPr>
        <w:pStyle w:val="SourceNote"/>
      </w:pPr>
      <w:r>
        <w:rPr>
          <w:b/>
        </w:rPr>
        <w:t>Available abstract (not full text):</w:t>
      </w:r>
      <w:r>
        <w:t xml:space="preserve"> Abstract. Single model large ensembles are widely used model experiments to estimate internal climate variability. The underlying assumption is that the internal variability (here: inter-annual variability) of the chosen model is a good approximation of the observed natural (inter-annual) variability. In this study, we test this assumption based on three regional climate model large ensembles (16 members of an EC-EARTH-RACMO ensemble, 21 members of a CESM-CCLM ensemble, 50 members of a CanESM-CRCM ensemble) for four European domains (British Isles, France, Mid-Europe, Alps). Simulated inter-annual variability is evaluated against E-OBS and the inter-annunal variability and its future change are compared across the ensembles. To the knowledge of the authors, this is the first comparison of regional large ensembles over Europe. Analysis comprises seasonal temperature and precipitation, as well as indicators for dry periods and heat waves. Results show a large consistency of all three ensembles with E-OBS data for most indicators and regions, validating the abilities of these ensembles to represent natural variability on the annual scale. EC-EARTH-RACMO shows the highest inter-annual variability for winter temperature and precipitation, whereas CESM-CCLM shows the highest variability for summer temperature and precipitation, as well as for heatwaves and dry periods. Despite these </w:t>
      </w:r>
    </w:p>
    <w:p>
      <w:pPr/>
      <w:r>
        <w:rPr>
          <w:b/>
        </w:rPr>
        <w:t>POSSIBLE 2020:</w:t>
      </w:r>
      <w:r>
        <w:t xml:space="preserve"> Machine learning for large-scale crop yield forecasting — https://doi.org/10.1016/j.agsy.2020.103016</w:t>
      </w:r>
    </w:p>
    <w:p>
      <w:pPr/>
      <w:r>
        <w:rPr>
          <w:b/>
        </w:rPr>
        <w:t>Shared claim-specific concepts:</w:t>
      </w:r>
      <w:r>
        <w:t xml:space="preserve"> baseline, much, france; EU scope visible. This is a provisional connection, not an outcome finding.</w:t>
      </w:r>
    </w:p>
    <w:p>
      <w:pPr>
        <w:pStyle w:val="SourceNote"/>
      </w:pPr>
      <w:r>
        <w:rPr>
          <w:b/>
        </w:rPr>
        <w:t>Available abstract (not full text):</w:t>
      </w:r>
      <w:r>
        <w:t xml:space="preserve"> Many studies have applied machine learning to crop yield prediction with a focus on specific case studies. The data and methods they used may not be transferable to other crops and locations. On the other hand, operational large-scale systems, such as the European Commission's MARS Crop Yield Forecasting System (MCYFS), do not use machine learning. Machine learning is a promising method especially when large amounts of data are being collected and published. We combined agronomic principles of crop modeling with machine learning to build a machine learning baseline for large-scale crop yield forecasting. The baseline is a workflow emphasizing correctness, modularity and reusability. For correctness, we focused on designing explainable predictors or features (in relation to crop growth and development) and applying machine learning without information leakage. We created features using crop simulation outputs and weather, remote sensing and soil data from the MCYFS database. We emphasized a modular and reusable workflow to support different crops and countries with small configuration changes. The workflow can be used to run repeatable experiments (e.g. early season or end of season predictions) using standard input data to obtain reproducible results. The results serve as a starting point for further optimizations. In our case studies, we predicted yield at regional level for f</w:t>
      </w:r>
    </w:p>
    <w:p>
      <w:pPr/>
      <w:r>
        <w:rPr>
          <w:b/>
        </w:rPr>
        <w:t>POSSIBLE 2017:</w:t>
      </w:r>
      <w:r>
        <w:t xml:space="preserve"> Migrating Huns and modified heads: Eigenshape analysis comparing intentionally modified crania from Hungary and Georgia in the Migration Period of Europe — https://doi.org/10.1371/journal.pone.0171064</w:t>
      </w:r>
    </w:p>
    <w:p>
      <w:pPr/>
      <w:r>
        <w:rPr>
          <w:b/>
        </w:rPr>
        <w:t>Shared claim-specific concepts:</w:t>
      </w:r>
      <w:r>
        <w:t xml:space="preserve"> comparing, baseline, period; EU scope visible. This is a provisional connection, not an outcome finding.</w:t>
      </w:r>
    </w:p>
    <w:p>
      <w:pPr>
        <w:pStyle w:val="SourceNote"/>
      </w:pPr>
      <w:r>
        <w:rPr>
          <w:b/>
        </w:rPr>
        <w:t>Available abstract (not full text):</w:t>
      </w:r>
      <w:r>
        <w:t xml:space="preserve"> An intentionally modified head is a visually distinctive sign of group identity. In the Migration Period of Europe (4th- 7th century AD) the practice of intentional cranial modification was common among several nomadic groups, but was strongly associated with the Huns from the Carpathian Basin in Hungary, where modified crania are abundant in archaeological sites. The frequency of modified crania increased substantially in the Mtskheta region of Georgia in this time period, but there are no records that Huns settled here. We compare the Migration Period modified skulls from Georgia with those from Hungary to test the hypothesis that the Huns were responsible for cranial modification in Georgia. We use extended eigenshape analysis to quantify cranial outlines, enabling a discriminant analysis to assess group separation and identify morphological differences. Twenty-one intentionally modified skulls from Georgia are compared with sixteen from Hungary, using nineteen unmodified crania from a modern population as a comparative baseline. Results indicate that modified crania can be differentiated from modern unmodified crania with 100% accuracy. The Hungarian and Georgian crania show some overlap in shape, but can be classified with 81% accuracy. Shape gradations along the main eigenvectors indicate that the Hungarian crania show little variation in cranial shape, in accordance with</w:t>
      </w:r>
    </w:p>
    <w:p>
      <w:pPr/>
      <w:r>
        <w:rPr>
          <w:b/>
        </w:rPr>
        <w:t>POSSIBLE 2016:</w:t>
      </w:r>
      <w:r>
        <w:t xml:space="preserve"> Time trends of contact allergy to the European baseline series in Lithuania — https://doi.org/10.1111/cod.12726</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BACKGROUND: Monitoring trends of positive patch test reactions is useful for epidemiological surveillance and contact allergy prevention, and has not previously been reported in Lithuania. OBJECTIVES: To examine and compare changes in the prevalence of contact allergy to European baseline series allergens in adults with suspected contact dermatitis during a 9-year period. METHODS: In this retrospective study, patch test results of 297 consecutive patients, tested with the European baseline series in 2014-2015, were analysed and compared with the data published earlier in Lithuania. RESULTS: The most common allergens were nickel sulfate (30.6%), methylisothiazolinone (MI) (13.5%), methylchloroisothiazolinone (MCI)/MI (7.4%), potassium dichromate (6.1%), cobalt chloride (6.1%), Myroxylon pereirae resin (5.4%), p-phenylenediamine (5.4%), fragrance mix I (4.7%), formaldehyde (4.4%), and methyldibromo glutaronitrile (3.7%). Increases in the prevalence of sensitization to MCI/MI (2.3% in 2006-2008 and 7.4% in 2014-2015; p &lt; 0.0001) and nickel sulfate (16.4% in 2006-2008 and 30.6% in 2014-2015; p &lt; 0.0001) and decreases in the prevalence of sensitization to paraben mix (3.2% in 2006-2008 and 0.3% in 2014-2015; p = 0.006) were observed. Prevalences for the other allergens remained stable or showed a decreasing trend (Myroxylon pereirae resin; p = 0.06). CONCLUSION: This study provides </w:t>
      </w:r>
    </w:p>
    <w:p>
      <w:pPr/>
      <w:r>
        <w:rPr>
          <w:b/>
        </w:rPr>
        <w:t>POSSIBLE 2015:</w:t>
      </w:r>
      <w:r>
        <w:t xml:space="preserve"> Influenza surveillance in E urope: comparing intensity levels calculated using the moving epidemic method — https://doi.org/10.1111/irv.12330</w:t>
      </w:r>
    </w:p>
    <w:p>
      <w:pPr/>
      <w:r>
        <w:rPr>
          <w:b/>
        </w:rPr>
        <w:t>Shared claim-specific concepts:</w:t>
      </w:r>
      <w:r>
        <w:t xml:space="preserve"> comparing, baseline, period, belgium, spain; EU scope visible. This is a provisional connection, not an outcome finding.</w:t>
      </w:r>
    </w:p>
    <w:p>
      <w:pPr>
        <w:pStyle w:val="SourceNote"/>
      </w:pPr>
      <w:r>
        <w:rPr>
          <w:b/>
        </w:rPr>
        <w:t>Available abstract (not full text):</w:t>
      </w:r>
      <w:r>
        <w:t xml:space="preserve"> OBJECTIVES: Although influenza-like illnesses (ILI) and acute respiratory illnesses (ARI) surveillance are well established in Europe, the comparability of intensity among countries and seasons remains an unresolved challenge. The objective is to compare the intensity of ILI and ARI in some European countries. DESIGN AND SETTING: Weekly ILI and ARI incidence rates and proportion of primary care consultations were modeled in 28 countries for the 1996/1997-2013/2014 seasons using the moving epidemic method (MEM). We calculated the epidemic threshold and three intensity thresholds, which delimit five intensity levels: baseline, low, medium, high, and very high. The intensity of 2013/2014 season is described and compared by country. RESULTS: The lowest ILI epidemic thresholds appeared in Sweden and Estonia (below 10 cases per 100 000) and the highest in Belgium, Denmark, Hungary, Poland, Serbia, and Slovakia (above 100 per 100 000). The 2009/2010 season was the most intense, with 35% of the countries showing high or very high intensity levels. The European epidemic period in season 2013/2014 started in January 2014 in Spain, Poland, and Greece. The intensity was between low and medium and only Greece reached the high intensity level, in weeks 7 to 9/2014. Some countries remained at the baseline level throughout the entire surveillance period. CONCLUSIONS: Epidemic and intensity thr</w:t>
      </w:r>
    </w:p>
    <w:p>
      <w:pPr/>
      <w:r>
        <w:rPr>
          <w:b/>
        </w:rPr>
        <w:t>POSSIBLE 2014:</w:t>
      </w:r>
      <w:r>
        <w:t xml:space="preserve"> The Importance of Baseline Surveys of Near-Surface Gas Geochemistry for CCS Monitoring, as Shown from Onshore Case Studies in Northern and Southern Europe — https://doi.org/10.2516/ogst/2014009</w:t>
      </w:r>
    </w:p>
    <w:p>
      <w:pPr/>
      <w:r>
        <w:rPr>
          <w:b/>
        </w:rPr>
        <w:t>Shared claim-specific concepts:</w:t>
      </w:r>
      <w:r>
        <w:t xml:space="preserve"> baseline, much, larger, climate; EU scope visible. This is a provisional connection, not an outcome finding.</w:t>
      </w:r>
    </w:p>
    <w:p>
      <w:pPr>
        <w:pStyle w:val="SourceNote"/>
      </w:pPr>
      <w:r>
        <w:rPr>
          <w:b/>
        </w:rPr>
        <w:t>Available abstract (not full text):</w:t>
      </w:r>
      <w:r>
        <w:t xml:space="preserve"> The monitoring of the integrity of onshore geological carbon capture and storage projects will require an approach that integrates various methods with different spatial and temporal resolutions. One method proven to be quite effective for site assessment, leakage monitoring, and leakage verification is near-surface gas geochemistry, which includes soil gas concentration and gas flux measurements. Anomalous concentrations or fluxes, relative to the natural background values, can indicate the potential occurrence of a leak. However the natural background can be quite variable, especially for CO2, due to biological production and accumulation in the soil that changes as a function of soil type, land use, geology, temperature, water content, and various other parameters. To better understand how these parameters influence natural, near-surface background values, and to examine the potential of different sampling strategies as a function of the survey goals, this paper reports results from two highly different case studies, one from northern Europe (Voulund, Denmark) and one from southern Europe (Sulcis, Sardinia, Italy). The small Voulund site, with its homogeneous soil, climate, and topography, was surveyed twice (in fall and in spring) within the EU-funded SiteChar project to examine the effects of different land use practices and seasons on baseline values. Forested land was fo</w:t>
      </w:r>
    </w:p>
    <w:p>
      <w:pPr>
        <w:pStyle w:val="Heading2"/>
      </w:pPr>
      <w:r>
        <w:t>971.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2023:</w:t>
      </w:r>
      <w:r>
        <w:t xml:space="preserve"> Examining research systems and models for local government: a systematic review — https://doi.org/10.1332/17442648y2023d000000002</w:t>
      </w:r>
    </w:p>
    <w:p>
      <w:pPr/>
      <w:r>
        <w:rPr>
          <w:b/>
        </w:rPr>
        <w:t>Shared claim-specific concepts:</w:t>
      </w:r>
      <w:r>
        <w:t xml:space="preserve"> systems, approach, but, optimal; EU scope visible. This is a provisional connection, not an outcome finding.</w:t>
      </w:r>
    </w:p>
    <w:p>
      <w:pPr>
        <w:pStyle w:val="SourceNote"/>
      </w:pPr>
      <w:r>
        <w:rPr>
          <w:b/>
        </w:rPr>
        <w:t>Available abstract (not full text):</w:t>
      </w:r>
      <w:r>
        <w:t xml:space="preserve"> Background: Local authorities (LA) are key in improving population health, and LA public health decision makers need support from appropriately organised research capacity; however, few models of LA research systems are known to exist. Aims and objectives: To explore potential and existing models of LA-based research systems. Methods: This mapping review and time-constrained systematic review synthesises conceptual and empirical literature from 12 health and social science databases, grey literature and reference/citation tracking. Three reviewers screened titles, abstracts and full texts of retrieved records, and extracted key data from included papers. Evidence was synthesised based on characteristics of research systems and quality-assessed for relevance, rigour and richness. Findings: Nine models were examined in depth. From these, we developed a typology of research systems. Few models were specifically designed for LA research activity; as a Whole System approach, the Local Authority Champions of Research model offers a potential blueprint. Useful lessons may be learned from UK Collaborations for Leadership in Applied Health Research, Academic Collaborative Centres in the Netherlands, local Research and Development units in Sweden, and generic University-Community partnerships. Discussion and conclusions: An optimal research system requires the coexistence of multiple sys</w:t>
      </w:r>
    </w:p>
    <w:p>
      <w:pPr/>
      <w:r>
        <w:rPr>
          <w:b/>
        </w:rPr>
        <w:t>POSSIBLE 2022:</w:t>
      </w:r>
      <w:r>
        <w:t xml:space="preserve"> Are Black Girls Exhibiting Puberty Earlier? Examining Implications of Race-Based Guidelines — https://doi.org/10.1542/peds.2021-055595</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From 1977 to 2013, the average age of thelarche, the first sign of puberty in girls, decreased by nearly 3 months per decade.1 This trend, along with rising rates of precocious puberty in girls, has significant implications for girls’ physical and psychosocial development, especially because early puberty has been linked to future health risks.2,3In 1997, the Pediatric Research in Office Setting study introduced race into the discourse surrounding pubertal timing trends.4 In a study of approximately 17 000 girls, Black girls at every age had more advanced breast development compared with White girls. Breast development had begun at age 6 years for 6.4% of Black and 2.8% of White girls and, by 8 years, 37.8% of Black and 10.5% of White girls.4 Because of these findings, the Pediatric Endocrine Society Drugs and Therapeutic Committee recommended new race-based criteria for defining precocious puberty.5 Proposed recommendations stated that breast development should be considered precocious in Black girls younger than 6 years and White girls younger than 7 years.5 Although these guidelines were never formally recognized, race has become widely accepted as a factor in the pubertal timing of girls and has been included in recent American Academy of Pediatrics (AAP) clinical reports6 and Pediatric Endocrine Society guidelines.7 As a result, many patients, caregivers, medical students,</w:t>
      </w:r>
    </w:p>
    <w:p>
      <w:pPr/>
      <w:r>
        <w:rPr>
          <w:b/>
        </w:rPr>
        <w:t>POSSIBLE 2022:</w:t>
      </w:r>
      <w:r>
        <w:t xml:space="preserve"> Re-examining post-acceptance model of information systems continuance: A revised theoretical model using MASEM approach — https://doi.org/10.1016/j.ijinfomgt.2022.102571</w:t>
      </w:r>
    </w:p>
    <w:p>
      <w:pPr/>
      <w:r>
        <w:rPr>
          <w:b/>
        </w:rPr>
        <w:t>Shared claim-specific concepts:</w:t>
      </w:r>
      <w:r>
        <w:t xml:space="preserve"> systems, approach, technology; EU scope not established. This is a provisional connection, not an outcome finding.</w:t>
      </w:r>
    </w:p>
    <w:p>
      <w:pPr>
        <w:pStyle w:val="SourceNote"/>
      </w:pPr>
      <w:r>
        <w:rPr>
          <w:b/>
        </w:rPr>
        <w:t>Available abstract (not full text):</w:t>
      </w:r>
      <w:r>
        <w:t xml:space="preserve"> This study extends the post-acceptance model of information systems (IS) continuance, which is widely used to explain users’ satisfaction and IS continuance intentions. The extended model includes additional variables such as perceived ease of use (PEOU), attitude, trust, and enjoyment. The proposed model was tested using meta-analytic structural equation modeling (MASEM). The analysis included 1,056 observations on fifteen relationships from 214 independent studies with a combined sample of 84,343. The results confirm the significance of all the relationships proposed in the original model. Furthermore, the findings indicate that PEOU directly influences perceived usefulness, satisfaction, and attitude. Trust and enjoyment both have a positive impact on users’ satisfaction and IS continuance, wherein the effect of enjoyment was higher than trust. post-consumption satisfaction resulted in a favorable attitude toward technology, which further affected IS continuance. From a theoretical perspective, the current study acknowledges the shift in users’ attitude toward technology and emphasizes the hedonic value of IS usage as users report a higher degree of satisfaction toward responsive, easy to use, and enjoyable technologies. Marketers should focus on the enjoyment and gratifications derived from technology to increase potential IS usage.</w:t>
      </w:r>
    </w:p>
    <w:p>
      <w:pPr/>
      <w:r>
        <w:rPr>
          <w:b/>
        </w:rPr>
        <w:t>POSSIBLE 2022:</w:t>
      </w:r>
      <w:r>
        <w:t xml:space="preserve"> #foodporn: examining Instagram food influencers through the systems model of creativity — https://doi.org/10.1080/22041451.2022.2137248</w:t>
      </w:r>
    </w:p>
    <w:p>
      <w:pPr/>
      <w:r>
        <w:rPr>
          <w:b/>
        </w:rPr>
        <w:t>Shared claim-specific concepts:</w:t>
      </w:r>
      <w:r>
        <w:t xml:space="preserve"> examines, systems; EU scope not established. This is a provisional connection, not an outcome finding.</w:t>
      </w:r>
    </w:p>
    <w:p>
      <w:pPr>
        <w:pStyle w:val="SourceNote"/>
      </w:pPr>
      <w:r>
        <w:rPr>
          <w:b/>
        </w:rPr>
        <w:t>Available abstract (not full text):</w:t>
      </w:r>
      <w:r>
        <w:t xml:space="preserve"> Social media influencers (SMIs) are having a profound impact on how diners seek information about culinary establishments and are redefining how the marketing industry promotes restaurants and brands. Although research has confirmed the value of an SMI’s electronic word of mouth (eWOM) endorsement on brand recognition and purchase intention, there is limited understanding of the creative practice of these individuals. To address this gap, this research examines Instagram food influencers in Australia, using the systems model of creativity to frame the research. This research found that as an individual agent in a system, Instagram food influencers are impacted by their personal experiences, their immersion in cultural domains, their understanding of the field’s preferences and engagement with its social system when creating content. These findings indicate that the systems model of creativity is a sound framework to understand the creative practice of SMIs.</w:t>
      </w:r>
    </w:p>
    <w:p>
      <w:pPr/>
      <w:r>
        <w:rPr>
          <w:b/>
        </w:rPr>
        <w:t>POSSIBLE 2022:</w:t>
      </w:r>
      <w:r>
        <w:t xml:space="preserve"> Examining virtual reality as a platform for developing mental models of industrial systems — https://doi.org/10.1111/jcal.12731</w:t>
      </w:r>
    </w:p>
    <w:p>
      <w:pPr/>
      <w:r>
        <w:rPr>
          <w:b/>
        </w:rPr>
        <w:t>Shared claim-specific concepts:</w:t>
      </w:r>
      <w:r>
        <w:t xml:space="preserve"> examines, systems, not, significantly, technology; EU scope not established. This is a provisional connection, not an outcome finding.</w:t>
      </w:r>
    </w:p>
    <w:p>
      <w:pPr>
        <w:pStyle w:val="SourceNote"/>
      </w:pPr>
      <w:r>
        <w:rPr>
          <w:b/>
        </w:rPr>
        <w:t>Available abstract (not full text):</w:t>
      </w:r>
      <w:r>
        <w:t xml:space="preserve"> Abstract Industrial systems can be complex and not intuitive to perceive. Therefore, students in technology and engineering programs can benefit from developing mental models of industrial systems during their journey in college. However, more often than not, these students do not have access to industrial facilities; thus, developing mental models for systems is a challenge. This paper examines the merit of an Immersive Virtual Reality (IVR) framework application in creating proper mental models for industrial systems in technology and engineering students. Two IVR applications were developed. One IVR application afforded interaction with components of a prefabricated industrial cooling water system (CWVR). In the other application, students designed and built industrial systems with IVR (system designer VR [SDVR]). SDVR facilitated constructive‐generative engagement. A group of 33 students was divided into two; one group (the Design, experimental group) was tasked with building a system with SDVR and interacting with the cooling water system in CWVR. The other group was tasked with directly interacting with the CWVR without building a system with SDVR (the Interaction, comparison group). Students' mental models of the cooling water system in CWVR were evaluated following completing the interaction experience with CWVR. The results demonstrate that the causal model notion of t</w:t>
      </w:r>
    </w:p>
    <w:p>
      <w:pPr/>
      <w:r>
        <w:rPr>
          <w:b/>
        </w:rPr>
        <w:t>POSSIBLE 2021:</w:t>
      </w:r>
      <w:r>
        <w:t xml:space="preserve"> A Model for Examining Challenges and Opportunities in Use of Cloud Computing for Health Information Systems — https://doi.org/10.3390/asi4010015</w:t>
      </w:r>
    </w:p>
    <w:p>
      <w:pPr/>
      <w:r>
        <w:rPr>
          <w:b/>
        </w:rPr>
        <w:t>Shared claim-specific concepts:</w:t>
      </w:r>
      <w:r>
        <w:t xml:space="preserve"> systems, but, not, technology; EU scope not established. This is a provisional connection, not an outcome finding.</w:t>
      </w:r>
    </w:p>
    <w:p>
      <w:pPr>
        <w:pStyle w:val="SourceNote"/>
      </w:pPr>
      <w:r>
        <w:rPr>
          <w:b/>
        </w:rPr>
        <w:t>Available abstract (not full text):</w:t>
      </w:r>
      <w:r>
        <w:t xml:space="preserve"> Health Information Systems (HIS) are becoming crucial for health providers, not only for keeping Electronic Health Records (EHR) but also because of the features they provide that can be lifesaving, thanks to the advances in Information Technology (IT). These advancements have led to increasing demands for additional features to these systems to improve their intelligence, reliability, and availability. All these features may be provisioned through the use of cloud computing in HIS. This study arrives at three dimensions pertinent to adoption of cloud computing in HIS through extensive interviews with experts, professional expertise and knowledge of one of the authors working in this area, and review of academic and practitioner literature. These dimensions are financial performance and cost; IT operational excellence and DevOps; and security, governance, and compliance. Challenges and drivers in each of these dimensions are detailed and operationalized to arrive at a model for HIS adoption. This proposed model detailed in this study can be employed by executive management of health organizations, especially senior clinical management positions like Chief Technology Officers (CTOs), Chief Information Officers (CIOs), and IT managers to make an informed decision on adoption of cloud computing for HIS. Use of cloud computing to support operational and financial excellence of heal</w:t>
      </w:r>
    </w:p>
    <w:p>
      <w:pPr/>
      <w:r>
        <w:rPr>
          <w:b/>
        </w:rPr>
        <w:t>POSSIBLE 2020:</w:t>
      </w:r>
      <w:r>
        <w:t xml:space="preserve"> Applying focused ethnographic methods: examining implications of intracultural diversity for nutrition interventions — https://doi.org/10.1093/nutrit/nuaa002</w:t>
      </w:r>
    </w:p>
    <w:p>
      <w:pPr/>
      <w:r>
        <w:rPr>
          <w:b/>
        </w:rPr>
        <w:t>Shared claim-specific concepts:</w:t>
      </w:r>
      <w:r>
        <w:t xml:space="preserve"> then, examines, implications, approach, but; EU scope not established. This is a provisional connection, not an outcome finding.</w:t>
      </w:r>
    </w:p>
    <w:p>
      <w:pPr>
        <w:pStyle w:val="SourceNote"/>
      </w:pPr>
      <w:r>
        <w:rPr>
          <w:b/>
        </w:rPr>
        <w:t>Available abstract (not full text):</w:t>
      </w:r>
      <w:r>
        <w:t xml:space="preserve"> This paper examines the implications of intracultural difference for the design and implementation of nutrition interventions. It raises the question of whether small-sample, mixed-method implementation research, using a focused ethnographic approach, has sufficient power to detect meaningful differences in cultural beliefs, values, perceptions, and attitudes that are important for the design and implementation of nutrition interventions. It first presents the theoretical framework that was used to guide the research, followed by a description of the methodology of the Focused Ethnographic Study for Infant and Young Child Feeding. It then uses the findings from recent research in Ghana to address the central question. The findings document strong elements of shared cultural consensus, but intracultural differences of importance, in relation to the planning and content of behavior change communication.</w:t>
      </w:r>
    </w:p>
    <w:p>
      <w:pPr/>
      <w:r>
        <w:rPr>
          <w:b/>
        </w:rPr>
        <w:t>POSSIBLE 2018:</w:t>
      </w:r>
      <w:r>
        <w:t xml:space="preserve"> Measuring learning gains and examining implications for student success in STEM — https://doi.org/10.1080/23752696.2018.1425096</w:t>
      </w:r>
    </w:p>
    <w:p>
      <w:pPr/>
      <w:r>
        <w:rPr>
          <w:b/>
        </w:rPr>
        <w:t>Shared claim-specific concepts:</w:t>
      </w:r>
      <w:r>
        <w:t xml:space="preserve"> implications, technology, mix; EU scope not established. This is a provisional connection, not an outcome finding.</w:t>
      </w:r>
    </w:p>
    <w:p>
      <w:pPr>
        <w:pStyle w:val="SourceNote"/>
      </w:pPr>
      <w:r>
        <w:rPr>
          <w:b/>
        </w:rPr>
        <w:t>Available abstract (not full text):</w:t>
      </w:r>
      <w:r>
        <w:t xml:space="preserve"> This article focuses on learning gains in the area of higher education STEM (science, technology, engineering, and mathematics) through new approaches to the formative assessment feedback cycle. Learning gains were examined for stratified randomized comparison and two treatment groups of 943 students organized into 41 laboratory sections in first-year chemistry. Treatment groups received either (i) support for conceptual understanding through a larger percentage of conceptual questions in online homework or (ii) the same mix of conceptual questions with differentiated answer feedback. The comparison group received the usual online homework and feedback for the course. Results showed no statistically significant difference among groups at pretest, yet both treatment groups showed statistically significant gains in learning outcomes over the original comparison group. Additional findings included (i) students in the treatment condition showed a 43% reduction in STEM ‘at risk’ identification by mid-course and (ii) a gender effect was identified.</w:t>
      </w:r>
    </w:p>
    <w:p>
      <w:pPr/>
      <w:r>
        <w:rPr>
          <w:b/>
        </w:rPr>
        <w:t>POSSIBLE 2016:</w:t>
      </w:r>
      <w:r>
        <w:t xml:space="preserve"> Commodification of natural resources and forest ecosystem services: examining implications for forest protection — https://doi.org/10.1017/s0376892916000436</w:t>
      </w:r>
    </w:p>
    <w:p>
      <w:pPr/>
      <w:r>
        <w:rPr>
          <w:b/>
        </w:rPr>
        <w:t>Shared claim-specific concepts:</w:t>
      </w:r>
      <w:r>
        <w:t xml:space="preserve"> implications, approach; EU scope not established. This is a provisional connection, not an outcome finding.</w:t>
      </w:r>
    </w:p>
    <w:p>
      <w:pPr>
        <w:pStyle w:val="SourceNote"/>
      </w:pPr>
      <w:r>
        <w:rPr>
          <w:b/>
        </w:rPr>
        <w:t>Available abstract (not full text):</w:t>
      </w:r>
      <w:r>
        <w:t xml:space="preserve"> SUMMARY Through the commodification of nature, the framing of the environment as a ‘natural resource’ or ‘ecosystem service’ has become increasingly prominent in international environmental governance. The economic capture approach is promoted by international organizations such as the United Nations Environmental Program (UNEP) through Reducing Emissions from Deforestation and Forest Degradation (REDD), Payments for Ecosystem Services (PES) and The Economics of Ecosystems and Biodiversity (TEEB). This paper will inquire as to how forest protection is related to issues of social and ecological justice, exploring whether forest exploitation based on the top-down managerial model fosters an unequitable distribution of resources. Both top-down and community-based approaches to forest protection will be critically examined and a more inclusive ethical framework to forest protection will be offered. The findings of this examination indicate the need for a renewed focus on existing examples of good practice in addressing both social and ecological need, as well as the necessity to address the less comfortable problem of where compromise appears less possible. The conclusion argues for the need to consider ecological justice as an important aspect of more socially orientated environmental justice for forest protection.</w:t>
      </w:r>
    </w:p>
    <w:p>
      <w:pPr/>
      <w:r>
        <w:rPr>
          <w:b/>
        </w:rPr>
        <w:t>POSSIBLE 2014:</w:t>
      </w:r>
      <w:r>
        <w:t xml:space="preserve"> RFID integrated systems in libraries: extending TAM model for empirically examining the use — https://doi.org/10.1108/jeim-10-2013-0079</w:t>
      </w:r>
    </w:p>
    <w:p>
      <w:pPr/>
      <w:r>
        <w:rPr>
          <w:b/>
        </w:rPr>
        <w:t>Shared claim-specific concepts:</w:t>
      </w:r>
      <w:r>
        <w:t xml:space="preserve"> systems, approach, significantly, technology; EU scope not established. This is a provisional connection, not an outcome finding.</w:t>
      </w:r>
    </w:p>
    <w:p>
      <w:pPr>
        <w:pStyle w:val="SourceNote"/>
      </w:pPr>
      <w:r>
        <w:rPr>
          <w:b/>
        </w:rPr>
        <w:t>Available abstract (not full text):</w:t>
      </w:r>
      <w:r>
        <w:t xml:space="preserve"> Purpose – The available literature suggest that the research on radio frequency identification (RFID)-related issues is largely concentrated on technical, organizational and implementation aspects, and comparatively lesser attention has been invested in understanding the use aspect of such library management systems. The purpose of this paper is to gain an understanding into the factors that influence the use of RFID systems in the library context by empirically testing the relevant constructs from the extended technology acceptance model (TAM). Design/methodology/approach – A questionnaire-based survey approach was employed for collecting the relevant data from 197 respondents. The respondents were the active users of a RFID-based library system. Findings – Findings from this study suggested that perceived usefulness and system quality positively influence the user attitude, and user attitude and system quality significantly influence the use of the RFID services. The paper concludes with outlining the salient points, limitations, and future research directions. Originality/value – The paper evaluates the role of a set of innovation attributes on the acceptance of RFID integrated systems in libraries. Owing to the scant literature availability in empirical investigations on adoption of RFID systems in libraries, the findings from this paper add value to the existing literature</w:t>
      </w:r>
    </w:p>
    <w:p>
      <w:pPr>
        <w:pStyle w:val="Heading2"/>
      </w:pPr>
      <w:r>
        <w:t>972.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2026:</w:t>
      </w:r>
      <w:r>
        <w:t xml:space="preserve"> AI literacy for K–12 education: an international Delphi study — https://doi.org/10.1080/10494820.2026.2649553</w:t>
      </w:r>
    </w:p>
    <w:p>
      <w:pPr/>
      <w:r>
        <w:rPr>
          <w:b/>
        </w:rPr>
        <w:t>Shared claim-specific concepts:</w:t>
      </w:r>
      <w:r>
        <w:t xml:space="preserve"> delphi, perspectives, role; EU scope not established. This is a provisional connection, not an outcome finding.</w:t>
      </w:r>
    </w:p>
    <w:p>
      <w:pPr>
        <w:pStyle w:val="SourceNote"/>
      </w:pPr>
      <w:r>
        <w:rPr>
          <w:b/>
        </w:rPr>
        <w:t>Available abstract (not full text):</w:t>
      </w:r>
      <w:r>
        <w:t xml:space="preserve"> Artificial intelligence (AI) is currently reshaping education around the world, but it is largely unclear what students need to learn about AI. The aim of this Delphi study is to identify consensus on central components of AI literacy in K–12 education by synthesizing views of diverse, interdisciplinary and international expert stakeholders. Through an online survey in three rounds, an international expert panel (n = 33, 27, 25) identified key components of AI literacy in K–12 education, particularly in relation to understanding and critically evaluating the role of AI in everyday life, recognizing and using AI in daily life, and describing and developing AI solutions to real-world problems. After the three Delphi rounds, consensus was obtained for eight out of 23 statements about AI literacy. These statements could be categorized under two main themes, foundational AI knowledge and critical perspectives, which partly include both societal and ethical components.The findings align with other recent AI literacy frameworks, but at the same time, our model outlines more limited, and therefore potentially more realistic and achievable, components that K–12 instructors can teach students, given adequate guidance, time, and professional development. The findings also corroborate recent research about critical thinking as something requiring content knowledge.</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2024:</w:t>
      </w:r>
      <w:r>
        <w:t xml:space="preserve"> Exploring the factors of employee turnover intentions in private education institutions in China: a Delphi study — https://doi.org/10.1080/23311975.2024.2413915</w:t>
      </w:r>
    </w:p>
    <w:p>
      <w:pPr/>
      <w:r>
        <w:rPr>
          <w:b/>
        </w:rPr>
        <w:t>Shared claim-specific concepts:</w:t>
      </w:r>
      <w:r>
        <w:t xml:space="preserve"> delphi, method, solicit, synthesize, within; EU scope not established. This is a provisional connection, not an outcome finding.</w:t>
      </w:r>
    </w:p>
    <w:p>
      <w:pPr>
        <w:pStyle w:val="SourceNote"/>
      </w:pPr>
      <w:r>
        <w:rPr>
          <w:b/>
        </w:rPr>
        <w:t>Available abstract (not full text):</w:t>
      </w:r>
      <w:r>
        <w:t xml:space="preserve"> Retaining a devoted and skilled workforce has become of paramount importance in China’s dynamic and competitive education sector. The consequences of employee turnover bear weight, especially for institutions striving for global excellence, impacting both institutional continuity and the quality of education. This study explores the factors influencing employee turnover intention within Chinese academic institutions and prioritizes these factors based on their significance. A two-round Delphi method was employed to solicit and synthesize expert opinions through iterative rounds. Nineteen experts from private education institutions in Fuzhou, China, were selected using a combination of purposeful and snowball sampling. In the first round, experts listed the factors contributing to employee turnover intentions, which were then analyzed using thematic analysis. In the second round, the experts ranked these dimensions from most to least important. The study identifies five pivotal factors affecting turnover intentions, listed in order of importance: (1) compensation, benefits, and employee recognition; (2) career development and advancement opportunities; (3) professional growth, training, and job security; (4) leadership, management support, and organizational culture; and (5) work-life balance and work environment. This research proffers actionable recommendations to discern and </w:t>
      </w:r>
    </w:p>
    <w:p>
      <w:pPr/>
      <w:r>
        <w:rPr>
          <w:b/>
        </w:rPr>
        <w:t>POSSIBLE 2024:</w:t>
      </w:r>
      <w:r>
        <w:t xml:space="preserve"> Development of an evidence‐based nursing practice program for preventing unplanned endotracheal extubations in the intensive care unit: A Delphi method study — https://doi.org/10.1111/jocn.17340</w:t>
      </w:r>
    </w:p>
    <w:p>
      <w:pPr/>
      <w:r>
        <w:rPr>
          <w:b/>
        </w:rPr>
        <w:t>Shared claim-specific concepts:</w:t>
      </w:r>
      <w:r>
        <w:t xml:space="preserve"> delphi, method, inquiry, synthesize; EU scope not established. This is a provisional connection, not an outcome finding.</w:t>
      </w:r>
    </w:p>
    <w:p>
      <w:pPr>
        <w:pStyle w:val="SourceNote"/>
      </w:pPr>
      <w:r>
        <w:rPr>
          <w:b/>
        </w:rPr>
        <w:t>Available abstract (not full text):</w:t>
      </w:r>
      <w:r>
        <w:t xml:space="preserve"> AIMS: This study aims to develop an evidence-based nursing practice program to prevent unplanned endotracheal extubation (UEE) among adult patients in the intensive care unit (ICU). DESIGN: This study uses the Delphi method to develop an evidence-based nursing practice program. METHODS: A comprehensive review of 18 databases and evidence-based websites was conducted to gather, assess and synthesize evidence on preventing UEEs in adult patients. Using this synthesized evidence, a questionnaire was formulated for further investigation. Subsequently, input was solicited from experts through Delphi surveys to establish an evidence-based nursing practice protocol for preventing UEEs in adult ICU patients. Consistency in consultation results guided subsequent rounds of consultation. RESULTS: The developed program comprised 43 evidence items categorized into nine dimensions, including risk assessment for unplanned extubation, sedation, analgesia, delirium, balloon management, psychosocial care, early extubation, catheter immobilization and protective restraints. Two rounds of expert inquiry yielded recovery rates of 94.7% and 100% for the first and second questionnaires, respectively. Kendall W values ranged from .224 to .353 (p &lt; .001). CONCLUSION: This study developed an evidence-based nursing practice program to prevent UEE in adult ICU patients, employing evidence-based practices </w:t>
      </w:r>
    </w:p>
    <w:p>
      <w:pPr/>
      <w:r>
        <w:rPr>
          <w:b/>
        </w:rPr>
        <w:t>POSSIBLE 2024:</w:t>
      </w:r>
      <w:r>
        <w:t xml:space="preserve"> International consensus on research priorities in hypospadias using a Delphi study approach — https://doi.org/10.1016/j.jpurol.2024.12.005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INTRODUCTION: Hypospadias is a common congenital anomaly of the male genitalia that poses significant management and treatment challenges. Gaining a comprehensive understanding of priority research questions in hypospadiology will be essential to reach agreement on the optimal approach to assessment, treatment, and outcome prediction for affected patients. METHODS: We employed a consensus-building Delphi method to identify and prioritize research questions in the hypospadias field. Additionally, we integrated questions sourced from the artificial intelligence platform ChatGPT to capture multiple perspectives. Engaging a diverse panel of experts including clinicians, researchers, and patient advocates from across the globe, the Delphi process aimed to distill collective expertise and insights through iterative rounds of structured questionnaires and feedback. RESULTS: The analysis identified key themes in hypospadias research, covering etiology, tissue engineering, pre-clinical models, device/technology evaluation, phenotyping, surgical techniques, surgical training and postoperative outcomes. These themes highlight crucial areas for future investigation to improve understanding of hypospadias, treatment options, and patient outcomes, thereby guiding both research and clinical practice. DISCUSSION: By harnessing the collective wisdom and perspectives of multiple stakeholders, th</w:t>
      </w:r>
    </w:p>
    <w:p>
      <w:pPr/>
      <w:r>
        <w:rPr>
          <w:b/>
        </w:rPr>
        <w:t>POSSIBLE 2023:</w:t>
      </w:r>
      <w:r>
        <w:t xml:space="preserve"> RAND Methodological Guidance for Conducting and Critically Appraising Delphi Panels — https://doi.org/10.7249/tla3082-1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Delphi method is an iterative, anonymous, structured, expert elicitation and stakeholder engagement technique often used to generate a group consensus. This manual provides methodological guidance and practical advice for what to consider when designing, implementing, and reporting Delphi panel results. It also includes the Delphi Critical Appraisal Tool, a checklist that researchers can use to assess a Delphi study's quality.</w:t>
      </w:r>
    </w:p>
    <w:p>
      <w:pPr/>
      <w:r>
        <w:rPr>
          <w:b/>
        </w:rPr>
        <w:t>POSSIBLE 2023:</w:t>
      </w:r>
      <w:r>
        <w:t xml:space="preserve"> Z-Delphi: A Z-Number-Based Delphi Technique for Technological Forecasting to Reduce Optimism/Pessimism Bias in Experts’ Convergent Opinions — https://doi.org/10.1007/s44196-023-00270-1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Abstract The Delphi technique is an indispensable instrument for technology forecasting. The method is, however, limited by ambiguity aversion, uncertainty, and statistical optimism/pessimism bias. To address the aforementioned limitations, we have proposed a fuzzy Delphi technique based on Z-numbers in this paper, as Z-numbers offer an effective framework to simulate human thinking. We generated basic probability assignments (BPAs) from the experts’ responses, considered statistical dispersion using Grey Clustering, and then developed Z-numbers. The proposed method is flexible and can be applied to forecast technological aspects based on subjective judgments. We consulted with 11 experts to forecast water-saving technology for dairy plants. Entropy was used to compare the proposed method to other fuzzy Delphi approaches. Compared to other fuzzy Delphi methods, we discovered that the proposed approach registers the lowest uncertainty. The proposed study suggests that fuzzy Delphi with reduced uncertainty can be highly impactful in critical fields like sustainable production. In the end, we have discussed the future research directions of the proposed study.</w:t>
      </w:r>
    </w:p>
    <w:p>
      <w:pPr/>
      <w:r>
        <w:rPr>
          <w:b/>
        </w:rPr>
        <w:t>POSSIBLE 2022:</w:t>
      </w:r>
      <w:r>
        <w:t xml:space="preserve"> A Conceptual Framework for Determining Quality Requirements for Mobile Learning Applications Using Delphi Method — https://doi.org/10.3390/electronics11050788</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development of mobile learning apps might fail due to poor selection of the suitable technical requirements for mobile devices. This will affect the quality of mobile learning applications and, thus, will increase the development cost of mobile learning apps. Due to the above issues, we need to determine the most appropriate technical quality requirements for the development of mobile learning apps that meet user requirements. To achieve that, we propose a comprehensive framework to capture the most suitable technical quality requirements for mobile learning apps. A Delphi method was used to collect, evaluate, and analyze the data for this study. As a result of our Delphi study, we have identified nineteen technical quality requirements, divided into six quality dimensions, for the development of mobile learning applications. The proposed framework is expected to be a guideline for mobile apps designers and developers to successfully develop mobile learning apps.</w:t>
      </w:r>
    </w:p>
    <w:p>
      <w:pPr/>
      <w:r>
        <w:rPr>
          <w:b/>
        </w:rPr>
        <w:t>POSSIBLE 2022:</w:t>
      </w:r>
      <w:r>
        <w:t xml:space="preserve"> Grand Challenges in global eye health: a global prioritisation process using Delphi method — https://doi.org/10.1016/s2666-7568(21)00302-0</w:t>
      </w:r>
    </w:p>
    <w:p>
      <w:pPr/>
      <w:r>
        <w:rPr>
          <w:b/>
        </w:rPr>
        <w:t>Shared claim-specific concepts:</w:t>
      </w:r>
      <w:r>
        <w:t xml:space="preserve"> used, delphi, method, systems, each; EU scope visible. This is a provisional connection, not an outcome finding.</w:t>
      </w:r>
    </w:p>
    <w:p>
      <w:pPr>
        <w:pStyle w:val="SourceNote"/>
      </w:pPr>
      <w:r>
        <w:rPr>
          <w:b/>
        </w:rPr>
        <w:t>Available abstract (not full text):</w:t>
      </w:r>
      <w:r>
        <w:t xml:space="preserve"> BACKGROUND: We undertook a Grand Challenges in Global Eye Health prioritisation exercise to identify the key issues that must be addressed to improve eye health in the context of an ageing population, to eliminate persistent inequities in health-care access, and to mitigate widespread resource limitations. METHODS: Drawing on methods used in previous Grand Challenges studies, we used a multi-step recruitment strategy to assemble a diverse panel of individuals from a range of disciplines relevant to global eye health from all regions globally to participate in a three-round, online, Delphi-like, prioritisation process to nominate and rank challenges in global eye health. Through this process, we developed both global and regional priority lists. FINDINGS: Between Sept 1 and Dec 12, 2019, 470 individuals complete round 1 of the process, of whom 336 completed all three rounds (round 2 between Feb 26 and March 18, 2020, and round 3 between April 2 and April 25, 2020) 156 (46%) of 336 were women, 180 (54%) were men. The proportion of participants who worked in each region ranged from 104 (31%) in sub-Saharan Africa to 21 (6%) in central Europe, eastern Europe, and in central Asia. Of 85 unique challenges identified after round 1, 16 challenges were prioritised at the global level; six focused on detection and treatment of conditions (cataract, refractive error, glaucoma, diabetic re</w:t>
      </w:r>
    </w:p>
    <w:p>
      <w:pPr/>
      <w:r>
        <w:rPr>
          <w:b/>
        </w:rPr>
        <w:t>POSSIBLE 2022:</w:t>
      </w:r>
      <w:r>
        <w:t xml:space="preserve"> Forecasting Food Innovations with a Delphi Study — https://doi.org/10.3390/foods11223723</w:t>
      </w:r>
    </w:p>
    <w:p>
      <w:pPr/>
      <w:r>
        <w:rPr>
          <w:b/>
        </w:rPr>
        <w:t>Shared claim-specific concepts:</w:t>
      </w:r>
      <w:r>
        <w:t xml:space="preserve"> delphi, method, food; EU scope not established. This is a provisional connection, not an outcome finding.</w:t>
      </w:r>
    </w:p>
    <w:p>
      <w:pPr>
        <w:pStyle w:val="SourceNote"/>
      </w:pPr>
      <w:r>
        <w:rPr>
          <w:b/>
        </w:rPr>
        <w:t>Available abstract (not full text):</w:t>
      </w:r>
      <w:r>
        <w:t xml:space="preserve"> Food innovations can create novel nutritious food, improve agricultural sustainability, and increase the agri-food industry's market profits. Our study proposes a consensus definition of food innovations and forecasts food innovations that will be available to consumers in the next five years by using a Delphi study. Thirteen experts aged 35 to 85 from the US and the UK researching or working in agriculture and nutrition, public health, the agri-food industry, or food policy participated in three rounds of this Delphi study. The experts were chosen using the snowball sampling method. This study followed the implementation and data analysis guidelines popularized by the Rand Corporation. The consensus definition for food innovations (with 76.9% agreement) was that 'food innovations aid in the development, production, or transportation of new food products, processes, or technology to promote human health, food security, or environmental sustainability'. The specific food innovations, which had over 69% agreement, are ranked as (1) plant-based meat alternatives, (2) personalized nutrition, (3) natural foods, (4) new genetically modified organisms, (5) regenerative agriculture, (6) urban agriculture, (7) packing innovations, (8) alternative flours, (9) improving shelf life, (10) supply chain technologies, (11) improved soil health, and (12) technology for traceability. The food in</w:t>
      </w:r>
    </w:p>
    <w:p>
      <w:pPr/>
      <w:r>
        <w:rPr>
          <w:b/>
        </w:rPr>
        <w:t>POSSIBLE 2021:</w:t>
      </w:r>
      <w:r>
        <w:t xml:space="preserve"> A Study on the Classification of Autonomous Functions of Unmanned Aircraft Using Delphi Method — https://doi.org/10.25052/kscm.2021.05.21.1.55</w:t>
      </w:r>
    </w:p>
    <w:p>
      <w:pPr/>
      <w:r>
        <w:rPr>
          <w:b/>
        </w:rPr>
        <w:t>Shared claim-specific concepts:</w:t>
      </w:r>
      <w:r>
        <w:t xml:space="preserve"> delphi, method, systems, each; EU scope not established. This is a provisional connection, not an outcome finding.</w:t>
      </w:r>
    </w:p>
    <w:p>
      <w:pPr>
        <w:pStyle w:val="SourceNote"/>
      </w:pPr>
      <w:r>
        <w:rPr>
          <w:b/>
        </w:rPr>
        <w:t>Available abstract (not full text):</w:t>
      </w:r>
      <w:r>
        <w:t xml:space="preserve"> The United States defines the autonomous control level of unmanned aircraft in 10 stages depending on their operational needs or technical maturity, and the level of interoperability in terms of integrated operation of manned and unmanned aircraft in 5 stages. However, it was difficult to find a case in which the autonomous functions of unmanned aircraft were systematically organized from the perspective of perception, planning, and control, which are the mechanisms of activities of autonomous systems. This study aims to systematically classify the autonomous functions of unmanned aircraft according to the mechanisms of autonomous systems in conjunction with aircraft activities. We establish a corresponding layer for each activity by dividing the mechanisms of autonomous systems leading to perception-planning-control into large, medium and small categories in conjunction with the activities of unmanned aircraft. The methodology uses Delphi Method to reflect experts</w:t>
      </w:r>
    </w:p>
    <w:p>
      <w:pPr>
        <w:pStyle w:val="Heading2"/>
      </w:pPr>
      <w:r>
        <w:t>973.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2023:</w:t>
      </w:r>
      <w:r>
        <w:t xml:space="preserve"> The Impact of Project Management Tools on Project Results: Evaluation of a Survey Among Managers Leading International Development Projects for four selected Central and Eastern European Donors — https://doi.org/10.2478/revecp-2023-0010</w:t>
      </w:r>
    </w:p>
    <w:p>
      <w:pPr/>
      <w:r>
        <w:rPr>
          <w:b/>
        </w:rPr>
        <w:t>Shared claim-specific concepts:</w:t>
      </w:r>
      <w:r>
        <w:t xml:space="preserve"> projects, evaluation, data; EU scope visible. This is a provisional connection, not an outcome finding.</w:t>
      </w:r>
    </w:p>
    <w:p>
      <w:pPr>
        <w:pStyle w:val="SourceNote"/>
      </w:pPr>
      <w:r>
        <w:rPr>
          <w:b/>
        </w:rPr>
        <w:t>Available abstract (not full text):</w:t>
      </w:r>
      <w:r>
        <w:t xml:space="preserve">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pPr/>
      <w:r>
        <w:rPr>
          <w:b/>
        </w:rPr>
        <w:t>POSSIBLE 2023:</w:t>
      </w:r>
      <w:r>
        <w:t xml:space="preserve"> Evaluation of 30 urban land surface models in the Urban‐PLUMBER project: Phase 1 results — https://doi.org/10.1002/qj.4589</w:t>
      </w:r>
    </w:p>
    <w:p>
      <w:pPr/>
      <w:r>
        <w:rPr>
          <w:b/>
        </w:rPr>
        <w:t>Shared claim-specific concepts:</w:t>
      </w:r>
      <w:r>
        <w:t xml:space="preserve"> evaluation, current, between; EU scope not established. This is a provisional connection, not an outcome finding.</w:t>
      </w:r>
    </w:p>
    <w:p>
      <w:pPr>
        <w:pStyle w:val="SourceNote"/>
      </w:pPr>
      <w:r>
        <w:rPr>
          <w:b/>
        </w:rPr>
        <w:t>Available abstract (not full text):</w:t>
      </w:r>
      <w:r>
        <w:t xml:space="preserve">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pPr/>
      <w:r>
        <w:rPr>
          <w:b/>
        </w:rPr>
        <w:t>POSSIBLE 2022:</w:t>
      </w:r>
      <w:r>
        <w:t xml:space="preserve"> EFFECTS OF UTILIZATION OF MONITORING AND EVALUATION RESULTS ON PROJECT PERFORMANCE — https://doi.org/10.46827/ejsss.v7i5.1294</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Globally, any organization's goal is to be effective, and efficient, attain its objectives and exceed in performance. The need to be successful and have a more remarkable performance has created the need for regular tracking of projects to ensure the project follows the right course for optimal performance. The role of NDMA in Kenya is very crucial in attaining the Kenya vision 2030, the big four agenda, and SDG 2 on ending hunger and achieving food security. Therefore, with this background, the research sought to substantiate the impact of utilization of monitoring, and evaluation results on the performance of drought resilience projects by the National Drought Management Authority (NDMA) in Mandera County. This study adopted systems theory and a descriptive research design. The study undertook a census survey where all the 60 members of the project under NDMA were studied. Data from primary and secondary sources were utilized and the researcher employed semi-structured questionnaires to collect data. Reliability and validity of research instruments and study results were attained by pilot testing the research instruments. SPSS statistical package using descriptive statistics was employed to analyze the collected data. Inferential statistics were applied to ascertain the relationship between independent and dependent variables. The findings show that utilization of monitoring </w:t>
      </w:r>
    </w:p>
    <w:p>
      <w:pPr/>
      <w:r>
        <w:rPr>
          <w:b/>
        </w:rPr>
        <w:t>POSSIBLE 2022:</w:t>
      </w:r>
      <w:r>
        <w:t xml:space="preserve"> System dynamics approach of knowledge transfer from projects to the project-based organization — https://doi.org/10.1108/ijmpb-06-2021-0142</w:t>
      </w:r>
    </w:p>
    <w:p>
      <w:pPr/>
      <w:r>
        <w:rPr>
          <w:b/>
        </w:rPr>
        <w:t>Shared claim-specific concepts:</w:t>
      </w:r>
      <w:r>
        <w:t xml:space="preserve"> projects, conceptual, gap, between; EU scope not established. This is a provisional connection, not an outcome finding.</w:t>
      </w:r>
    </w:p>
    <w:p>
      <w:pPr>
        <w:pStyle w:val="SourceNote"/>
      </w:pPr>
      <w:r>
        <w:rPr>
          <w:b/>
        </w:rPr>
        <w:t>Available abstract (not full text):</w:t>
      </w:r>
      <w:r>
        <w:t xml:space="preserve"> Purpose Although knowledge transfer in the context of projects and project-based organizations (PBOs) has gained increasing attention from academia and industry, it is not clear how knowledge transfers from projects to their parent PBOs. This research aims to explore the main factors influencing knowledge transfer from projects to their parent PBOs, and analyze how these factors integrate the transfer process as system components using the system dynamics (SD) method. Design/methodology/approach Based on the literature review, investigation and interview, this paper adopts the event analysis to obtain the influencing factors from historical cases and establishes a conceptual model of knowledge transfer from five dimensions, which simultaneously considers the knowledge sender, knowledge receiver and the relationship between the knowledge sender and receiver, knowledge features and transfer context. Then, the relationships between variables in the qualitative model were clarified, and a quantitative model including seven feedback loops was established using the SD model. Lastly, the system simulation and sensitivity analysis of the main parameters were realized in Vensim PLE software. Findings The simulation analysis results show that the model can simulate the knowledge transfer process from projects to the PBO to a certain extent. This research fully demonstrates the impact of </w:t>
      </w:r>
    </w:p>
    <w:p>
      <w:pPr/>
      <w:r>
        <w:rPr>
          <w:b/>
        </w:rPr>
        <w:t>POSSIBLE 2021:</w:t>
      </w:r>
      <w:r>
        <w:t xml:space="preserve"> PROJECT ACTIVITIES OF STUDENTS AND CRITERIA FOR EVALUATING RESULTS — https://doi.org/10.33989/2075-146x.2020.26.227655</w:t>
      </w:r>
    </w:p>
    <w:p>
      <w:pPr/>
      <w:r>
        <w:rPr>
          <w:b/>
        </w:rPr>
        <w:t>Shared claim-specific concepts:</w:t>
      </w:r>
      <w:r>
        <w:t xml:space="preserve"> projects, evaluation, thinking, between, activities; EU scope not established. This is a provisional connection, not an outcome finding.</w:t>
      </w:r>
    </w:p>
    <w:p>
      <w:pPr>
        <w:pStyle w:val="SourceNote"/>
      </w:pPr>
      <w:r>
        <w:rPr>
          <w:b/>
        </w:rPr>
        <w:t>Available abstract (not full text):</w:t>
      </w:r>
      <w:r>
        <w:t xml:space="preserve"> The article discusses the issues of organizing students' project work as some modern approach that allows integrating theoretical knowledge and practical skills required for working in modern conditions. Being one of the forms of organizing the educational process, the project activity contributes to improving the quality of education, democratization of the communication style between teachers and students. The purpose of the project activity is to create conditions for the formation of research skills of the students, the development of their creativity and logical thinking. In the presented work practical recommendations for the teachers who want to use projects in their courses are provided. A system of criteria according to which the student project will be evaluated has been developed. Criteria can be used as instructions that show what needs to be done to achieve the best results. The project evaluation is carried out not only at the stage of presentation and defense of the project, but also at the intermediate stages of its implementation.</w:t>
      </w:r>
    </w:p>
    <w:p>
      <w:pPr/>
      <w:r>
        <w:rPr>
          <w:b/>
        </w:rPr>
        <w:t>POSSIBLE 2021:</w:t>
      </w:r>
      <w:r>
        <w:t xml:space="preserve"> Urban-PLUMBER model evaluation project: initial results — https://doi.org/10.5194/egusphere-egu21-15230</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We present initial results of the Urban-PLUMBER international model evaluation project. This project assesses the performance of land surface models used in meteorological simulations of urban areas. Phase 1 included 24 models of varying complexity, from simple slab models through to multi-layer urban canopy models. 54 model output variables are requested, including primary surface energy fluxes, anthropogenic heat and moisture fluxes, soil variables, albedo, canopy and building air temperatures. This rich dataset is used to both compare model outputs with observations and to understand factors contributing to model performance. The project involved a number of other innovations including: An online portal (modelevaluation.org) is used to distribute site data and accept submissions. Upon submission to the portal participants are provided with variable near-instant compliance checks and analyses allowing participants to make corrections if required. A ten-year ERA5-derived spin up which overcomes the typically short period of urban flux tower observations and allows the entire observed period to be used in analyses. Testing models alongside simple empirical benchmarks (e.g. out-of-sample linear regression of turbulent fluxes on shortwave radiation) to assess if input information is used effectively. We also discuss the initial stages of Phase 2 which involves testing models at m</w:t>
      </w:r>
    </w:p>
    <w:p>
      <w:pPr/>
      <w:r>
        <w:rPr>
          <w:b/>
        </w:rPr>
        <w:t>POSSIBLE 2020:</w:t>
      </w:r>
      <w:r>
        <w:t xml:space="preserve"> Results of the Collaborative International Evaluated Library Organisation (CIELO) Project — https://doi.org/10.1051/epjconf/202023915003</w:t>
      </w:r>
    </w:p>
    <w:p>
      <w:pPr/>
      <w:r>
        <w:rPr>
          <w:b/>
        </w:rPr>
        <w:t>Shared claim-specific concepts:</w:t>
      </w:r>
      <w:r>
        <w:t xml:space="preserve"> projects, evaluation, data, between, activities; EU scope visible. This is a provisional connection, not an outcome finding.</w:t>
      </w:r>
    </w:p>
    <w:p>
      <w:pPr>
        <w:pStyle w:val="SourceNote"/>
      </w:pPr>
      <w:r>
        <w:rPr>
          <w:b/>
        </w:rPr>
        <w:t>Available abstract (not full text):</w:t>
      </w:r>
      <w:r>
        <w:t xml:space="preserve"> Simulation of nuclear systems requires complete data that represents the relevant nuclear physics. This requires many types of experimental measurements, theoretical physics, semi-empirical models and software systems, as well as experts to integrate and guide the process. This discipline is collectively known as nuclear data, and separate programmes within various European countries, the USA, Japan, Russia, and other OECD Nuclear Energy Agency (NEA) member countries have been operating for many decades. The NEA Working Party on International Nuclear Data Evaluation Co-operation (WPEC) exists to improve the quality and completeness of nuclear data by bringing together representatives of the major nuclear data evaluation projects of NEA member countries and selected Invitees. The Sub- and Expert Groups of the WPEC typically focus on specific technical topics, while the Collaborative International Evaluated Library Organisation Pilot Project (CIELO) was established to generate complete evaluations for a selection of the most important isotopes for criticality in nuclear technologies: 235,238U, 239Pu, 56Fe, 16O and 1H. This project stimulated numerous activities, resulting in major contributions to the Special Issue of the Nuclear Data Sheets journal and the production of a suite of new nuclear data evaluations that have been incorporated in major nuclear data libraries ENDF and J</w:t>
      </w:r>
    </w:p>
    <w:p>
      <w:pPr/>
      <w:r>
        <w:rPr>
          <w:b/>
        </w:rPr>
        <w:t>POSSIBLE 2020:</w:t>
      </w:r>
      <w:r>
        <w:t xml:space="preserve"> Optimization of Time and Cost for a Research Project by Project Crashing Method — https://doi.org/10.1088/1757-899x/998/1/012057</w:t>
      </w:r>
    </w:p>
    <w:p>
      <w:pPr/>
      <w:r>
        <w:rPr>
          <w:b/>
        </w:rPr>
        <w:t>Shared claim-specific concepts:</w:t>
      </w:r>
      <w:r>
        <w:t xml:space="preserve"> current, between, activities; EU scope not established. This is a provisional connection, not an outcome finding.</w:t>
      </w:r>
    </w:p>
    <w:p>
      <w:pPr>
        <w:pStyle w:val="SourceNote"/>
      </w:pPr>
      <w:r>
        <w:rPr>
          <w:b/>
        </w:rPr>
        <w:t>Available abstract (not full text):</w:t>
      </w:r>
      <w:r>
        <w:t xml:space="preserve"> Abstract The aim of current study is to access trade off between time and cost for the duration of a research project. A linear programming model (LPP) was developed and used for the same purpose. Normal and Crashing Costs for the project activities were obtained from the principal investigator of the project and were used for conducting the analysis in the excel solver. Maximum and minimum duration for the project was obtained through critical path method and crashing method respectively. The result of the study indicated significant reduction in project duration with normal increase in project cost. A small increase in the project cost with reduction of nearly 45 days in the project interval was observed. Nearly 5% increase in cost of the project was noticed with reduction of 15% in total project duration.</w:t>
      </w:r>
    </w:p>
    <w:p>
      <w:pPr>
        <w:pStyle w:val="Heading2"/>
      </w:pPr>
      <w:r>
        <w:t>974.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2022:</w:t>
      </w:r>
      <w:r>
        <w:t xml:space="preserve"> Implementing a probabilistic fire modeling system at the pan-European level — https://doi.org/10.14195/978-989-26-2298-9_174</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pPr/>
      <w:r>
        <w:rPr>
          <w:b/>
        </w:rPr>
        <w:t>POSSIBLE 2020:</w:t>
      </w:r>
      <w:r>
        <w:t xml:space="preserve"> Coupling prediction model for long‐term displacements of arch dams based on long short‐term memory network — https://doi.org/10.1002/stc.2548</w:t>
      </w:r>
    </w:p>
    <w:p>
      <w:pPr/>
      <w:r>
        <w:rPr>
          <w:b/>
        </w:rPr>
        <w:t>Shared claim-specific concepts:</w:t>
      </w:r>
      <w:r>
        <w:t xml:space="preserve"> long-term, reduction; EU scope not established. This is a provisional connection, not an outcome finding.</w:t>
      </w:r>
    </w:p>
    <w:p>
      <w:pPr>
        <w:pStyle w:val="SourceNote"/>
      </w:pPr>
      <w:r>
        <w:rPr>
          <w:b/>
        </w:rPr>
        <w:t>Available abstract (not full text):</w:t>
      </w:r>
      <w:r>
        <w:t xml:space="preserve"> The long-term safety and health monitoring of large dams has attracted increasing attention. In this paper, coupling prediction models based on long short-term memory (LSTM) network are proposed for the long-term deformation of arch dams. Principal component analysis (PCA) and moving average (MA) method, adopted to make dimension reduction for the input variables, are respectively combined with the LSTM to achieve two coupling prediction models, that is, LSTM-PCA and LSTM-MA. Lijiaxia arch dam, which has been in operation over 20 years, is taken as an analysis example. Compared with the traditional hydrostatic-seasonal-time model, the hydrostatic-seasonal-time thermal model, and the multilayer perceptron model, the proposed models show more effectiveness concerning the predicted displacements of the arch dam. The accuracy of the predicted results from the coupling prediction models is better. Furthermore, the coupling prediction models could capture the long-term characteristics and provide better prediction with short monitoring data. Compared with the LSTM-PCA model, the LSTM-MA model is more suitable for engineering applications due to its convenience.</w:t>
      </w:r>
    </w:p>
    <w:p>
      <w:pPr/>
      <w:r>
        <w:rPr>
          <w:b/>
        </w:rPr>
        <w:t>POSSIBLE 2019:</w:t>
      </w:r>
      <w:r>
        <w:t xml:space="preserve"> Quantitative sovereign default models and the European debt crisis — https://doi.org/10.1016/j.jinteco.2019.01.011</w:t>
      </w:r>
    </w:p>
    <w:p>
      <w:pPr/>
      <w:r>
        <w:rPr>
          <w:b/>
        </w:rPr>
        <w:t>Shared claim-specific concepts:</w:t>
      </w:r>
      <w:r>
        <w:t xml:space="preserve"> quantitative, framework, domestic; EU scope visible. This is a provisional connection, not an outcome finding.</w:t>
      </w:r>
    </w:p>
    <w:p>
      <w:pPr>
        <w:pStyle w:val="SourceNote"/>
      </w:pPr>
      <w:r>
        <w:rPr>
          <w:b/>
        </w:rPr>
        <w:t>Available abstract (not full text):</w:t>
      </w:r>
      <w:r>
        <w:t xml:space="preserve"> A large literature has developed quantitative versions of the Eaton and Gersovitz (1981) model to analyze default episodes on external debt. In this paper, we study whether the same framework can be applied to the analysis of debt crises in which domestic public debt plays a prominent role. We consider a model where a government can issue debt to both domestic and foreign investors, and we derive conditions under which their sum is the relevant state variable for default incentives. We then apply our framework to the European debt crisis. We show that matching the cyclicality of public debt—rather than that of external debt—allows the model to better capture the empirical distribution of interest rate spreads and gives rise to more realistic crises dynamics.</w:t>
      </w:r>
    </w:p>
    <w:p>
      <w:pPr/>
      <w:r>
        <w:rPr>
          <w:b/>
        </w:rPr>
        <w:t>POSSIBLE 2018:</w:t>
      </w:r>
      <w:r>
        <w:t xml:space="preserve"> Compact or spread? A quantitative spatial model of urban areas in Europe since 1990 — https://doi.org/10.1371/journal.pone.0192326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Changes in urban residential density represent an important issue in terms of land consumption, the conservation of ecosystems, air quality and related human health problems, as well as the consequential challenges for urban and regional planning. It is the decline of residential densities, in particular, that has often been used as the very definition of sprawl, describing a phenomenon that has been extensively studied in the United States and in Western Europe. Whilst these studies provide valuable insights into urbanization processes, only a handful of them have reflected the uneven dynamics of simultaneous urban growth and shrinkage, using residential density changes as a key indicator to uncover the underlying dynamics. This paper introduces a contrasting analysis of recent developments in both de- and re-concentration, defined as decreasing or increasing residential densities, respectively. Using a large sample of European cities, it detects differences in density changes between successional population growth/decline. The paper shows that dedensification, found in some large cities globally, is not a universal phenomenon in growing urban areas; neither the increasing disproportion between a declining demand for and an increasing supply of residential areas nor actual concentration processes in cities were found. Thus, the paper provides a new, very detailed perspective o</w:t>
      </w:r>
    </w:p>
    <w:p>
      <w:pPr/>
      <w:r>
        <w:rPr>
          <w:b/>
        </w:rPr>
        <w:t>POSSIBLE 2018:</w:t>
      </w:r>
      <w:r>
        <w:t xml:space="preserve"> Quantitative Sovereign Default Models and the European Debt Crisis — https://doi.org/10.3386/w24981</w:t>
      </w:r>
    </w:p>
    <w:p>
      <w:pPr/>
      <w:r>
        <w:rPr>
          <w:b/>
        </w:rPr>
        <w:t>Shared claim-specific concepts:</w:t>
      </w:r>
      <w:r>
        <w:t xml:space="preserve"> quantitative, framework, domestic; EU scope visible. This is a provisional connection, not an outcome finding.</w:t>
      </w:r>
    </w:p>
    <w:p>
      <w:pPr>
        <w:pStyle w:val="SourceNote"/>
      </w:pPr>
      <w:r>
        <w:rPr>
          <w:b/>
        </w:rPr>
        <w:t>Available abstract (not full text):</w:t>
      </w:r>
      <w:r>
        <w:t xml:space="preserve"> A large literature has developed quantitative versions of the Eaton and Gersovitz (1981) model to analyze default episodes on external debt.In this paper, we study whether the same framework can be applied to the analysis of debt crises in which domestic public debt plays a prominent role.We consider a model where a government can issue debt to both domestic and foreign investors, and we derive conditions under which their sum is the relevant state variable for default incentives.We then apply our framework to the European debt crisis.We show that matching the cyclicality of public debt ---rather than that of external debt---allows the model to better capture the empirical distribution of interest rate spreads and gives rise to more realistic crises dynamics.</w:t>
      </w:r>
    </w:p>
    <w:p>
      <w:pPr/>
      <w:r>
        <w:rPr>
          <w:b/>
        </w:rPr>
        <w:t>POSSIBLE 2016:</w:t>
      </w:r>
      <w:r>
        <w:t xml:space="preserve"> Reducing burden of disease from residential indoor air exposures in Europe (HEALTHVENT project) — https://doi.org/10.1186/s12940-016-0101-8</w:t>
      </w:r>
    </w:p>
    <w:p>
      <w:pPr/>
      <w:r>
        <w:rPr>
          <w:b/>
        </w:rPr>
        <w:t>Shared claim-specific concepts:</w:t>
      </w:r>
      <w:r>
        <w:t xml:space="preserve"> quantitative, framework; EU scope visible. This is a provisional connection, not an outcome finding.</w:t>
      </w:r>
    </w:p>
    <w:p>
      <w:pPr>
        <w:pStyle w:val="SourceNote"/>
      </w:pPr>
      <w:r>
        <w:rPr>
          <w:b/>
        </w:rPr>
        <w:t>Available abstract (not full text):</w:t>
      </w:r>
      <w:r>
        <w:t xml:space="preserve"> BACKGROUND: The annual burden of disease caused indoor air pollution, including polluted outdoor air used to ventilate indoor spaces, is estimated to correspond to a loss of over 2 million healthy life years in the European Union (EU). Based on measurements of the European Environment Agency (EEA), approximately 90 % of EU citizens live in areas where the World Health Organization (WHO) guidelines for air quality of particulate matter sized &lt; 2.5 mm (PM2.5) are not met. Since sources of pollution reside in both indoor and outdoor air, selecting the most appropriate ventilation strategy is not a simple and straightforward task. METHODS: A framework for developing European health-based ventilation guidelines was created in 2010-2013 in the EU-funded HEALTHVENT project. As a part of the project, the potential efficiency of control policies to health effects caused by residential indoor exposures of fine particulate matter (PM2.5), outdoor bioaerosols, volatile organic compounds (VOC), carbon oxide (CO) radon and dampness was estimated. The analysis was based on scenario comparison, using an outdoor-indoor mass-balance model and varying the ventilation rates. Health effects were estimated with burden of diseases (BoD) calculations taking into account asthma, cardiovascular (CV) diseases, acute toxication, respiratory infections, lung cancer and chronic obstructive pulmonary disease</w:t>
      </w:r>
    </w:p>
    <w:p>
      <w:pPr/>
      <w:r>
        <w:rPr>
          <w:b/>
        </w:rPr>
        <w:t>POSSIBLE 2016:</w:t>
      </w:r>
      <w:r>
        <w:t xml:space="preserve"> Congestion management in power systems - Long-term modeling framework and large-scale application — https://openalex.org/W3122947640</w:t>
      </w:r>
    </w:p>
    <w:p>
      <w:pPr/>
      <w:r>
        <w:rPr>
          <w:b/>
        </w:rPr>
        <w:t>Shared claim-specific concepts:</w:t>
      </w:r>
      <w:r>
        <w:t xml:space="preserve"> framework, analyzing, long-term; EU scope visible. This is a provisional connection, not an outcome finding.</w:t>
      </w:r>
    </w:p>
    <w:p>
      <w:pPr>
        <w:pStyle w:val="SourceNote"/>
      </w:pPr>
      <w:r>
        <w:rPr>
          <w:b/>
        </w:rPr>
        <w:t>Available abstract (not full text):</w:t>
      </w:r>
      <w:r>
        <w:t xml:space="preserve"> In liberalized power systems, generation and transmission services are unbundled, but remain tightly inter-linked. Congestion management in the transmission network is of crucial importance for the eÔ¨Éciency of these inter-linkages. DiÔ¨Äerent regulatory designs have been suggested, analyzed and followed, such as uniform zonal pricing with redispatch or nodal pricing. However, the literature has either focused on the short-term eÔ¨Éciency of congestion management or speciÔ¨Åc issues of timing investments. In contrast, this paper presents a generalized and Ô¨Çexible economic modeling framework based on a decomposed inter-temporal equilibrium model including generation, transmission, as well as their inter-linkages. Short and long-term effects of diÔ¨Äerent congestion management designs can hence be analyzed. SpeciÔ¨Åcally, we are able to identify and isolate implicit frictions and sources of ineÔ¨Éciencies in the diÔ¨Äerent regulatory designs, and to provide a comparative analysis including a benchmark against a Ô¨Årst-best welfare-optimal result. To demonstrate the applicability of our framework, we calibrate and numerically solve our model for a detailed representation of the Central Western European (CWE) region, consisting of 70 nodes and 174 power lines. Analyzing six diÔ¨Äerent congestion management designs until 2030, we show that compared to the Ô¨Årst-best benchmark, i</w:t>
      </w:r>
    </w:p>
    <w:p>
      <w:pPr/>
      <w:r>
        <w:rPr>
          <w:b/>
        </w:rPr>
        <w:t>POSSIBLE 2013:</w:t>
      </w:r>
      <w:r>
        <w:t xml:space="preserve"> Continental-scale assessment of provisioning soil functions in Europe — https://doi.org/10.1186/2192-1709-2-32</w:t>
      </w:r>
    </w:p>
    <w:p>
      <w:pPr/>
      <w:r>
        <w:rPr>
          <w:b/>
        </w:rPr>
        <w:t>Shared claim-specific concepts:</w:t>
      </w:r>
      <w:r>
        <w:t xml:space="preserve"> quantitative, framework; EU scope visible. This is a provisional connection, not an outcome finding.</w:t>
      </w:r>
    </w:p>
    <w:p>
      <w:pPr>
        <w:pStyle w:val="SourceNote"/>
      </w:pPr>
      <w:r>
        <w:rPr>
          <w:b/>
        </w:rPr>
        <w:t>Available abstract (not full text):</w:t>
      </w:r>
      <w:r>
        <w:t xml:space="preserve"> A framework is developed to link major soil functions to ecosystem services assessment. Provisioning soil functions—with primary linkages to ecosystem services—are evaluated on a continental scale in Europe. We defined major provisioning soil functions combining the approaches proposed by the Millennium Ecosystem Assessment and the Thematic Strategy for Soil Protection of the European Union. Soil productivity was evaluated by three main land use types (cropland, grassland, forest) using a validated expert model called SoilProd. Models include soil, climate and topographic criteria. Raw material provision capacity of soils was assessed on the basis of (i) organic carbon content and (ii) availability of soil materials for construction. A coherent system of soil function-based ecosystem services was compiled, taking into account major soil functions. We also produced new data on soil-based provisioning ecosystem services, including productivity and raw material availability. The attempts to cover the main human activities requiring materials of soil origin and to map the locations where those materials are available on a continental scale provide new insight to this field of research. Soil-based ecosystem services can be assessed by the evaluation of soil functions which play a role in the production of these services. Quantitative analysis and comparison of the spatial distributi</w:t>
      </w:r>
    </w:p>
    <w:p>
      <w:pPr>
        <w:pStyle w:val="Heading2"/>
      </w:pPr>
      <w:r>
        <w:t>975.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2025:</w:t>
      </w:r>
      <w:r>
        <w:t xml:space="preserve"> Disinformation as a Tool of Hybrid Action: Security, Political and Strategic Challenges for the European Union — https://doi.org/10.36682/a_2025_1_2</w:t>
      </w:r>
    </w:p>
    <w:p>
      <w:pPr/>
      <w:r>
        <w:rPr>
          <w:b/>
        </w:rPr>
        <w:t>Shared claim-specific concepts:</w:t>
      </w:r>
      <w:r>
        <w:t xml:space="preserve"> qualitative, tool, strategic, main; EU scope visible. This is a provisional connection, not an outcome finding.</w:t>
      </w:r>
    </w:p>
    <w:p>
      <w:pPr>
        <w:pStyle w:val="SourceNote"/>
      </w:pPr>
      <w:r>
        <w:rPr>
          <w:b/>
        </w:rPr>
        <w:t>Available abstract (not full text):</w:t>
      </w:r>
      <w:r>
        <w:t xml:space="preserve"> The article analyses disinformation as a key tool of hybrid warfare in the current deteriorating security situation and an environment marked by strategic uncertainty and instability, where the confrontation between democratic and authoritarian regimes is intensifying. In this context, disinformation has ceased to be merely a marginal phenomenon; instead, it has become a systematic tool for undermining democratic institutions, polarizing society, and eroding public trust. In this context, the European Union faces a growing need to safeguard the information space through coordinated measures at both domestic and international levels. The article draws on qualitative and comparative analyses of political strategies and documents, identifying the main weaknesses of current approaches and proposes strategic priorities, including the establishment of a legally binding framework, the strengthening of media literacy, the enhancement of technological capacities, and the promotion of global norm-setting. The article concludes by emphasizing that a successful response to disinformation requires not only technical solutions but, more importantly, educated, resilient, and critically minded citizens as the cornerstone of democratic society.</w:t>
      </w:r>
    </w:p>
    <w:p>
      <w:pPr/>
      <w:r>
        <w:rPr>
          <w:b/>
        </w:rPr>
        <w:t>POSSIBLE 2025:</w:t>
      </w:r>
      <w:r>
        <w:t xml:space="preserve"> Advantages and pitfalls of green public procurement as a European strategic tool — https://openalex.org/W7116591833</w:t>
      </w:r>
    </w:p>
    <w:p>
      <w:pPr/>
      <w:r>
        <w:rPr>
          <w:b/>
        </w:rPr>
        <w:t>Shared claim-specific concepts:</w:t>
      </w:r>
      <w:r>
        <w:t xml:space="preserve"> tool, strategic, support, sector; EU scope visible. This is a provisional connection, not an outcome finding.</w:t>
      </w:r>
    </w:p>
    <w:p>
      <w:pPr>
        <w:pStyle w:val="SourceNote"/>
      </w:pPr>
      <w:r>
        <w:rPr>
          <w:b/>
        </w:rPr>
        <w:t>Available abstract (not full text):</w:t>
      </w:r>
      <w:r>
        <w:t xml:space="preserve"> Public procurement, or the purchasing of goods and services by governments, is among the most powerful policy tools available to the public sector. Accounting for nearly 14 percent of European Union GDP, it shapes markets, signals priorities and can in principle create demand for transformative innovation. Green public procurement (GPP), which aims to include environmental considerations in the procurement process, has been identified as an important lever to deploy public spending in line with the EU's climate goals. In this paper, we examine GPP as a strategic tool to support the EU's decarbonisation, industrial and geopolitical objectives, and assess it in context of the EU's broader policy agenda. While we acknowledge the importance of GPP in the European decarbonisation process, we argue that its widespread use might also lead to policy tensions with the EU's other strategic objectives, such as fiscal stability and strategic autonomy. Throughout the paper, we illustrate how the interplay of these goals leads to trade-offs that are very complex to accommodate. While procurement can empower and add financial weight to European actions aimed at achieving strategic goals, including decarbonisation, it can only be effective if the EU's underlying strategic policy goals remain consistent with each other. Trying to fit procurement practices to multiple contrasting objectives migh</w:t>
      </w:r>
    </w:p>
    <w:p>
      <w:pPr/>
      <w:r>
        <w:rPr>
          <w:b/>
        </w:rPr>
        <w:t>POSSIBLE 2025:</w:t>
      </w:r>
      <w:r>
        <w:t xml:space="preserve"> ENHANCING REGIONAL COMPETITIVENESS THROUGH STRATEGIC MANAGEMENT OF TOURISM CLUSTERS: EVIDENCE FROM EUROPEAN COUNTRIES — https://openalex.org/W7220001405</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In the context of globalization and increasing interregional competition, tourism has become a crucial driver of regional economic development. One of the most effective mechanisms for strengthening the competitiveness of tourist destinations is the formation and strategic management of tourism clusters. This article examines the role of tourism clusters in enhancing regional competitiveness, with particular emphasis on the experience of European countries. The study analyzes theoretical approaches to cluster development, identifies key strategic management tools, and evaluates best practices applied in Europe. Using a qualitative and comparative methodology, the research highlights how coordinated governance, innovation, public–private partnerships, and sustainable development strategies contribute to successful tourism clusters. The findings demonstrate that strategically managed tourism clusters significantly improve regional competitiveness by increasing productivity, attracting investment, fostering innovation, and ensuring sustainable territorial development. The article concludes with recommendations that may be adapted for other regions seeking to strengthen their tourism potential through cluster-based approaches.</w:t>
      </w:r>
    </w:p>
    <w:p>
      <w:pPr/>
      <w:r>
        <w:rPr>
          <w:b/>
        </w:rPr>
        <w:t>POSSIBLE 2024:</w:t>
      </w:r>
      <w:r>
        <w:t xml:space="preserve"> Digital Tools in Strategic Global Sports Brand Management — https://doi.org/10.2478/jec-2024-0029</w:t>
      </w:r>
    </w:p>
    <w:p>
      <w:pPr/>
      <w:r>
        <w:rPr>
          <w:b/>
        </w:rPr>
        <w:t>Shared claim-specific concepts:</w:t>
      </w:r>
      <w:r>
        <w:t xml:space="preserve"> qualitative, tool, strategic, findings; EU scope visible. This is a provisional connection, not an outcome finding.</w:t>
      </w:r>
    </w:p>
    <w:p>
      <w:pPr>
        <w:pStyle w:val="SourceNote"/>
      </w:pPr>
      <w:r>
        <w:rPr>
          <w:b/>
        </w:rPr>
        <w:t>Available abstract (not full text):</w:t>
      </w:r>
      <w:r>
        <w:t xml:space="preserve"> Abstract Research Purpose. The purpose of this research is to examine the strategic use of digital tools in global sports brand management, with a focus on how these tools, including the Strategic Colour-Coded System (SCCS), can enhance global fan engagement. Research Methodology. This study employs a mixed-methods approach, combining qualitative analyses of sports marketing strategies with quantitative data on fan engagement and market penetration. It specifically investigates the implementation and impact of the SCCS in translating and distributing content to international audiences, evaluating its effectiveness in the context of global sports. Findings. The findings will display how the SCCS can enhance the global management of sports brands, facilitating deeper engagement with diverse audiences and enabling sports entities to effectively penetrate new markets. The study highlights how to connect with spectators in Europe and Asia utilizing SCCS and digital platforms. Originality and Practical Implications. This study introduces the Strategic Colour-Coded System (SCCS) for sports brand management, a digital tool that enhances global audience engagement by facilitating cross-cultural fan interaction and strengthening connections in a global sports context. It offers valuable insights for sports federations, clubs and marketers aiming to expand internationally.</w:t>
      </w:r>
    </w:p>
    <w:p>
      <w:pPr/>
      <w:r>
        <w:rPr>
          <w:b/>
        </w:rPr>
        <w:t>POSSIBLE 2024:</w:t>
      </w:r>
      <w:r>
        <w:t xml:space="preserve"> Rethinking Barriers and Enablers in Qualitative Health Research: Limitations, Alternatives, and Enhancements — https://doi.org/10.1177/10497323241230890</w:t>
      </w:r>
    </w:p>
    <w:p>
      <w:pPr/>
      <w:r>
        <w:rPr>
          <w:b/>
        </w:rPr>
        <w:t>Shared claim-specific concepts:</w:t>
      </w:r>
      <w:r>
        <w:t xml:space="preserve"> qualitative, researchers, findings; EU scope not established. This is a provisional connection, not an outcome finding.</w:t>
      </w:r>
    </w:p>
    <w:p>
      <w:pPr>
        <w:pStyle w:val="SourceNote"/>
      </w:pPr>
      <w:r>
        <w:rPr>
          <w:b/>
        </w:rPr>
        <w:t>Available abstract (not full text):</w:t>
      </w:r>
      <w:r>
        <w:t xml:space="preserve"> Explorations of barriers and enablers (or barriers and facilitators) to a desired health practice, implementation process, or intervention outcome have become so prevalent that they seem to be a default in much health services and public health research. In this article, we argue that decisions to frame research questions or analyses using barriers and enablers (B&amp;Es) should not be default. Contrary to the strengths of qualitative research, the B&amp;Es approach often bypasses critical reflexivity and can lead to shallow research findings with poor understanding of the phenomena of interest. The B&amp;Es approach is untheorised, relying on assumptions of linear, unidirectional processes, universally desirable outcomes, and binary thinking which are at odds with the rich understanding of context and complexity needed to respond to the challenges faced by health services and public health. We encourage researchers to develop research questions using informed deliberation that considers a range of approaches and their implications for producing meaningful knowledge. Alternatives and enhancements to the B&amp;Es approach are explored, including using 'whole package' methodologies; theories, conceptual frameworks, and sensitising ideas; and participatory methods. We also consider ways of advancing existing research on B&amp;Es rather than doing 'more of the same': researchers can usefully investiga</w:t>
      </w:r>
    </w:p>
    <w:p>
      <w:pPr/>
      <w:r>
        <w:rPr>
          <w:b/>
        </w:rPr>
        <w:t>POSSIBLE 2024:</w:t>
      </w:r>
      <w:r>
        <w:t xml:space="preserve"> Attitudes of European psychiatrists on psychedelics: a qualitative study — https://doi.org/10.3389/fpsyt.2024.1411234</w:t>
      </w:r>
    </w:p>
    <w:p>
      <w:pPr/>
      <w:r>
        <w:rPr>
          <w:b/>
        </w:rPr>
        <w:t>Shared claim-specific concepts:</w:t>
      </w:r>
      <w:r>
        <w:t xml:space="preserve"> qualitative, main, findings; EU scope visible. This is a provisional connection, not an outcome finding.</w:t>
      </w:r>
    </w:p>
    <w:p>
      <w:pPr>
        <w:pStyle w:val="SourceNote"/>
      </w:pPr>
      <w:r>
        <w:rPr>
          <w:b/>
        </w:rPr>
        <w:t>Available abstract (not full text):</w:t>
      </w:r>
      <w:r>
        <w:t xml:space="preserve"> Introduction and aim: It is important to understand how mental health practitioners view recent findings on psychedelic-assisted psychotherapy (PAP) as there is potential this treatment may be incorporated into clinical practice. The aim of our study was to explore how psychiatrists who are not involved in psychedelic research and who are located in the European region perceive psychedelics and PAP. Methods: We conducted online semi-structured interviews with 12 psychiatry specialists and psychiatry trainees from 8 European countries. Data were analyzed using a general inductive approach informed by codebook thematic analysis. Results: Based on the interviews, we developed four main themes and 14 sub-themes, including (1) Psychedelics hold potential, (2) Psychedelics are dangerous, (3) Future of psychedelics is uncertain, and (4) Psychiatry is ambivalent toward psychedelics. Discussion: Our respondents-psychiatrists acknowledged the potential of PAP but remained cautious and did not yet perceive its evidence base as robust enough. Education on psychedelics is lacking in medical and psychiatric training and should be improved to facilitate the involvement of mental health experts in decision-making on PAP.</w:t>
      </w:r>
    </w:p>
    <w:p>
      <w:pPr/>
      <w:r>
        <w:rPr>
          <w:b/>
        </w:rPr>
        <w:t>POSSIBLE 2023:</w:t>
      </w:r>
      <w:r>
        <w:t xml:space="preserve"> 4 Research Methods: Quantitative and Qualitative Approaches — https://doi.org/10.21832/9781800417151-006</w:t>
      </w:r>
    </w:p>
    <w:p>
      <w:pPr/>
      <w:r>
        <w:rPr>
          <w:b/>
        </w:rPr>
        <w:t>Shared claim-specific concepts:</w:t>
      </w:r>
      <w:r>
        <w:t xml:space="preserve"> qualitative, identify, discussed; EU scope not established. This is a provisional connection, not an outcome finding.</w:t>
      </w:r>
    </w:p>
    <w:p>
      <w:pPr>
        <w:pStyle w:val="SourceNote"/>
      </w:pPr>
      <w:r>
        <w:rPr>
          <w:b/>
        </w:rPr>
        <w:t>Available abstract (not full text):</w:t>
      </w:r>
      <w:r>
        <w:t xml:space="preserve"> The improvement and expansion of higher education have been priorities of our national development in Kenya.Within a span of thirty five years since independence, we have witnessed the creation of five public universities.Several private universities have also been established.In our national universities, more professional programmes have been developed at both undergraduate and postgraduate levels and several departments now offer Ph.D programmes through research.As one of many African countries that have suffered from the effects of colonialism and marginalization, Kenya has made tremendous progress in the field of higher education that should be desired for the wider region, now defined by the Preferential Trade Area (PTA) and the Common Market of East and Southern Africa (COMESA).There has, however, been a constant lack of locally available textbooks for use at both the undergraduate and postgraduate levels.Many departments continue to use imported textbooks at a great price in foreign exchange.Worse still, the teaching staff have to relate material in these texts to our local situation and experiences.With the onset of the third millennium and the ever-growing quest for information, there is a desperate need for people to write books in various areas of specialization that are relevant to our needs.One of the objectives of any institution of higher learning is to conduct </w:t>
      </w:r>
    </w:p>
    <w:p>
      <w:pPr>
        <w:pStyle w:val="Heading2"/>
      </w:pPr>
      <w:r>
        <w:t>976.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2024:</w:t>
      </w:r>
      <w:r>
        <w:t xml:space="preserve"> Trends in Air Pollution in Europe, 2000–2019 — https://doi.org/10.4209/aaqr.230237</w:t>
      </w:r>
    </w:p>
    <w:p>
      <w:pPr/>
      <w:r>
        <w:rPr>
          <w:b/>
        </w:rPr>
        <w:t>Shared claim-specific concepts:</w:t>
      </w:r>
      <w:r>
        <w:t xml:space="preserve"> similar, trends, over, slightly, decreased;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southern, distribution, albopictus;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trends, likely, increased, over;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Modeled Multidecadal Trends of Lightning and (Very) Large Hail in Europe and North America (1950–2021) — https://doi.org/10.1175/jamc-d-22-0195.1</w:t>
      </w:r>
    </w:p>
    <w:p>
      <w:pPr/>
      <w:r>
        <w:rPr>
          <w:b/>
        </w:rPr>
        <w:t>Shared claim-specific concepts:</w:t>
      </w:r>
      <w:r>
        <w:t xml:space="preserve"> trends, likely, simulated, northern, southern, north; EU scope visible. This is a provisional connection, not an outcome finding.</w:t>
      </w:r>
    </w:p>
    <w:p>
      <w:pPr>
        <w:pStyle w:val="SourceNote"/>
      </w:pPr>
      <w:r>
        <w:rPr>
          <w:b/>
        </w:rPr>
        <w:t>Available abstract (not full text):</w:t>
      </w:r>
      <w:r>
        <w:t xml:space="preserve">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pPr/>
      <w:r>
        <w:rPr>
          <w:b/>
        </w:rPr>
        <w:t>POSSIBLE 2023:</w:t>
      </w:r>
      <w:r>
        <w:t xml:space="preserve"> The future ozone trends in changing climate simulated with SOCOLv4 — https://doi.org/10.5194/acp-23-4801-2023</w:t>
      </w:r>
    </w:p>
    <w:p>
      <w:pPr/>
      <w:r>
        <w:rPr>
          <w:b/>
        </w:rPr>
        <w:t>Shared claim-specific concepts:</w:t>
      </w:r>
      <w:r>
        <w:t xml:space="preserve"> trends, likely, simulated, over; EU scope not established. This is a provisional connection, not an outcome finding.</w:t>
      </w:r>
    </w:p>
    <w:p>
      <w:pPr>
        <w:pStyle w:val="SourceNote"/>
      </w:pPr>
      <w:r>
        <w:rPr>
          <w:b/>
        </w:rPr>
        <w:t>Available abstract (not full text):</w:t>
      </w:r>
      <w:r>
        <w:t xml:space="preserve"> Abstract. This study evaluates the future evolution of atmospheric ozone between 2015 and 2099 simulated with the Earth System Model (ESM) SOCOLv4. Simulations have been performed based on two potential Shared Socioeconomic Pathways (SSP): the “middle-of-the-road” (SSP2-4.5) and “fossil-fueled” (SSP5-8.5) scenarios. In both scenarios, the model projects a decline in tropospheric ozone in the future that starts in the 2030s in SSP2-4.5 and after the 2060s in SSP5-8.5 due to a decrease in concentrations of ozone precursors like NOx and CO. The results also suggest a very likely ozone increase in the mesosphere, upper and middle stratosphere, as well as at high latitudes of the lower stratosphere. Under SSP5-8.5, the ozone increase in the stratosphere is higher because of stronger cooling (&gt; 1 °K/decade) induced by the greenhouse gases (GHG), which slows the catalytic ozone destruction cycles. In contrast, in the tropical lower stratosphere ozone concentrations decrease in both experiments and increase over the middle and high latitudes of both hemispheres due to the intensification of meridional transport, which is stronger in SSP5-8.5. No evidence was found of a decline in ozone levels in the lower stratosphere at mid-latitudes. In both future scenarios, the total column ozone is expected to be distinctly higher than present in mid-to-high latitudes and might be lower in the tro</w:t>
      </w:r>
    </w:p>
    <w:p>
      <w:pPr/>
      <w:r>
        <w:rPr>
          <w:b/>
        </w:rPr>
        <w:t>POSSIBLE 2021:</w:t>
      </w:r>
      <w:r>
        <w:t xml:space="preserve"> Trends in singlehood in young adulthood in Europe — https://doi.org/10.1016/j.alcr.2021.100449</w:t>
      </w:r>
    </w:p>
    <w:p>
      <w:pPr/>
      <w:r>
        <w:rPr>
          <w:b/>
        </w:rPr>
        <w:t>Shared claim-specific concepts:</w:t>
      </w:r>
      <w:r>
        <w:t xml:space="preserve"> trends, increased, over, shifts; EU scope visible. This is a provisional connection, not an outcome finding.</w:t>
      </w:r>
    </w:p>
    <w:p>
      <w:pPr>
        <w:pStyle w:val="SourceNote"/>
      </w:pPr>
      <w:r>
        <w:rPr>
          <w:b/>
        </w:rPr>
        <w:t>Available abstract (not full text):</w:t>
      </w:r>
      <w:r>
        <w:t xml:space="preserve"> Cultural and economic shifts such as increasing individualization and labor market uncertainty may have resulted in an increase in singlehood after leaving home. Using data from the European Social Survey, we compare cohorts born between 1930 and 1989 in 30 European countries. We show that there has been an increase in singlehood after leaving home, but primarily among women. Whereas the percentage of women who have lived in singlehood after leaving home increased with 11 percentage points from 41% to 52%, men experienced only a 3 percentage points' increase from 59% to 62%. This stronger trend among women could be the result of their increasing educational attainment and earning capacity. Event-history analyses show that the duration of singlehood has not changed over time. We call for more research on singlehood after leaving home as an event of interest during the transition to adulthood. As more than 50% of young adults nowadays live in singlehood after leaving home, singlehood is a key part of the transition to adulthood that deserves explicit attention.</w:t>
      </w:r>
    </w:p>
    <w:p>
      <w:pPr/>
      <w:r>
        <w:rPr>
          <w:b/>
        </w:rPr>
        <w:t>POSSIBLE 2021:</w:t>
      </w:r>
      <w:r>
        <w:t xml:space="preserve"> Dealing with trend uncertainty in empirical estimates of European rainfall climate for insurance risk management — https://doi.org/10.1002/met.2008</w:t>
      </w:r>
    </w:p>
    <w:p>
      <w:pPr/>
      <w:r>
        <w:rPr>
          <w:b/>
        </w:rPr>
        <w:t>Shared claim-specific concepts:</w:t>
      </w:r>
      <w:r>
        <w:t xml:space="preserve"> trends, related; EU scope visible. This is a provisional connection, not an outcome finding.</w:t>
      </w:r>
    </w:p>
    <w:p>
      <w:pPr>
        <w:pStyle w:val="SourceNote"/>
      </w:pPr>
      <w:r>
        <w:rPr>
          <w:b/>
        </w:rPr>
        <w:t>Available abstract (not full text):</w:t>
      </w:r>
      <w:r>
        <w:t xml:space="preserve"> Abstract The insurance industry uses mathematical models to estimate the risks due to future natural catastrophes. For climate‐related risks, historical climate data are a key ingredient used in making the models. Historical data for temperature and sea level often show clear and readily quantified climate change driven trends, and these trends would typically be accounted for when building risk models by adjusting earlier values to render the earlier data relevant to the future climate. For other climate variables, such as rainfall in many parts of the world, the questions of whether there are climate change driven trends in the historical data, and how to quantify them if there are, are less simple to answer. We investigate these questions in the context of European rainfall with a specific focus on how to deal with the uncertainty around trend estimates. We compare 10 empirical methodologies that one might use to model and predict trends, including traditional statistical testing and alternatives to statistical testing based on standard methods from model selection and model averaging. We emphasize prediction and risk assessment, rather than detection of trends, as our goal. Viewed in terms of this goal, the methods we consider each have qualitative and quantitative advantages and disadvantages. Understanding these advantages and disadvantages can help risk modellers make a </w:t>
      </w:r>
    </w:p>
    <w:p>
      <w:pPr/>
      <w:r>
        <w:rPr>
          <w:b/>
        </w:rPr>
        <w:t>POSSIBLE 2020:</w:t>
      </w:r>
      <w:r>
        <w:t xml:space="preserve"> Twenty-seven-year time trends in dementia incidence in Europe and the United States — https://doi.org/10.1212/wnl.0000000000010022</w:t>
      </w:r>
    </w:p>
    <w:p>
      <w:pPr/>
      <w:r>
        <w:rPr>
          <w:b/>
        </w:rPr>
        <w:t>Shared claim-specific concepts:</w:t>
      </w:r>
      <w:r>
        <w:t xml:space="preserve"> similar, trends, increased, over, north; EU scope visible. This is a provisional connection, not an outcome finding.</w:t>
      </w:r>
    </w:p>
    <w:p>
      <w:pPr>
        <w:pStyle w:val="SourceNote"/>
      </w:pPr>
      <w:r>
        <w:rPr>
          <w:b/>
        </w:rPr>
        <w:t>Available abstract (not full text):</w:t>
      </w:r>
      <w:r>
        <w:t xml:space="preserve"> OBJECTIVE: To determine changes in the incidence of dementia between 1988 and 2015. METHODS: This analysis was performed in aggregated data from individuals &gt;65 years of age in 7 population-based cohort studies in the United States and Europe from the Alzheimer Cohort Consortium. First, we calculated age- and sex-specific incidence rates for all-cause dementia, and then defined nonoverlapping 5-year epochs within each study to determine trends in incidence. Estimates of change per 10-year interval were pooled and results are presented combined and stratified by sex. RESULTS: Of 49,202 individuals, 4,253 (8.6%) developed dementia. The incidence rate of dementia increased with age, similarly for women and men, ranging from about 4 per 1,000 person-years in individuals aged 65-69 years to 65 per 1,000 person-years for those aged 85-89 years. The incidence rate of dementia declined by 13% per calendar decade (95% confidence interval [CI], 7%-19%), consistently across studies, and somewhat more pronouncedly in men than in women (24% [95% CI 14%-32%] vs 8% [0%-15%]). CONCLUSION: The incidence rate of dementia in Europe and North America has declined by 13% per decade over the past 25 years, consistently across studies. Incidence is similar for men and women, although declines were somewhat more profound in men. These observations call for sustained efforts to finding the causes for t</w:t>
      </w:r>
    </w:p>
    <w:p>
      <w:pPr/>
      <w:r>
        <w:rPr>
          <w:b/>
        </w:rPr>
        <w:t>POSSIBLE 2020:</w:t>
      </w:r>
      <w:r>
        <w:t xml:space="preserve"> Flood trends in Europe: are changes in small and big floods different? — https://doi.org/10.5194/hess-24-1805-2020</w:t>
      </w:r>
    </w:p>
    <w:p>
      <w:pPr/>
      <w:r>
        <w:rPr>
          <w:b/>
        </w:rPr>
        <w:t>Shared claim-specific concepts:</w:t>
      </w:r>
      <w:r>
        <w:t xml:space="preserve"> trends, over, southern, distribution, related;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r>
        <w:rPr>
          <w:b/>
        </w:rPr>
        <w:t>POSSIBLE 2020:</w:t>
      </w:r>
      <w:r>
        <w:t xml:space="preserve"> Differing Trends in United States and European Severe Thunderstorm Environments in a Warming Climate — https://doi.org/10.1175/bams-d-20-0004.1</w:t>
      </w:r>
    </w:p>
    <w:p>
      <w:pPr/>
      <w:r>
        <w:rPr>
          <w:b/>
        </w:rPr>
        <w:t>Shared claim-specific concepts:</w:t>
      </w:r>
      <w:r>
        <w:t xml:space="preserve"> trends, likely, over, southern, conditions, north; EU scope visible. This is a provisional connection, not an outcome finding.</w:t>
      </w:r>
    </w:p>
    <w:p>
      <w:pPr>
        <w:pStyle w:val="SourceNote"/>
      </w:pPr>
      <w:r>
        <w:rPr>
          <w:b/>
        </w:rPr>
        <w:t>Available abstract (not full text):</w:t>
      </w:r>
      <w:r>
        <w:t xml:space="preserve">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pPr/>
      <w:r>
        <w:rPr>
          <w:b/>
        </w:rPr>
        <w:t>POSSIBLE 2020:</w:t>
      </w:r>
      <w:r>
        <w:t xml:space="preserve"> Climate change impacts on trends and extremes in future heating and cooling demands over Europe — https://doi.org/10.1016/j.enbuild.2020.110397</w:t>
      </w:r>
    </w:p>
    <w:p>
      <w:pPr/>
      <w:r>
        <w:rPr>
          <w:b/>
        </w:rPr>
        <w:t>Shared claim-specific concepts:</w:t>
      </w:r>
      <w:r>
        <w:t xml:space="preserve"> trends, increased, over, decreased, distribution; EU scope visible. This is a provisional connection, not an outcome finding.</w:t>
      </w:r>
    </w:p>
    <w:p>
      <w:pPr>
        <w:pStyle w:val="SourceNote"/>
      </w:pPr>
      <w:r>
        <w:rPr>
          <w:b/>
        </w:rPr>
        <w:t>Available abstract (not full text):</w:t>
      </w:r>
      <w:r>
        <w:t xml:space="preserve">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pStyle w:val="Heading2"/>
      </w:pPr>
      <w:r>
        <w:t>977.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2013:</w:t>
      </w:r>
      <w:r>
        <w:t xml:space="preserve"> Composite Indicators as a Useful Tool for International Comparison: The Europe 2020 Example — https://doi.org/10.18267/j.pep.462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pStyle w:val="Heading2"/>
      </w:pPr>
      <w:r>
        <w:t>978.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2024:</w:t>
      </w:r>
      <w:r>
        <w:t xml:space="preserve"> Improving Students' Problem Solving Skills in Learning Problem Based Learning Integrated with Predict, Observe, Explain Model on Global Warming Material — https://doi.org/10.26877/jp2f.v15i4.928</w:t>
      </w:r>
    </w:p>
    <w:p>
      <w:pPr/>
      <w:r>
        <w:rPr>
          <w:b/>
        </w:rPr>
        <w:t>Shared claim-specific concepts:</w:t>
      </w:r>
      <w:r>
        <w:t xml:space="preserve"> integrated, warming; EU scope not established. This is a provisional connection, not an outcome finding.</w:t>
      </w:r>
    </w:p>
    <w:p>
      <w:pPr>
        <w:pStyle w:val="SourceNote"/>
      </w:pPr>
      <w:r>
        <w:rPr>
          <w:b/>
        </w:rPr>
        <w:t>Available abstract (not full text):</w:t>
      </w:r>
      <w:r>
        <w:t xml:space="preserve">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pPr/>
      <w:r>
        <w:rPr>
          <w:b/>
        </w:rPr>
        <w:t>POSSIBLE 2023:</w:t>
      </w:r>
      <w:r>
        <w:t xml:space="preserve"> Inter-hemispheric asymmetries in high-latitude electrodynamic forcing and the thermosphere during the October 8–9, 2012, geomagnetic storm: An integrated data–Model investigation — https://doi.org/10.3389/fspas.2023.1062265</w:t>
      </w:r>
    </w:p>
    <w:p>
      <w:pPr/>
      <w:r>
        <w:rPr>
          <w:b/>
        </w:rPr>
        <w:t>Shared claim-specific concepts:</w:t>
      </w:r>
      <w:r>
        <w:t xml:space="preserve"> integrated, observed, during, first, simulation, period; EU scope not established. This is a provisional connection, not an outcome finding.</w:t>
      </w:r>
    </w:p>
    <w:p>
      <w:pPr>
        <w:pStyle w:val="SourceNote"/>
      </w:pPr>
      <w:r>
        <w:rPr>
          <w:b/>
        </w:rPr>
        <w:t>Available abstract (not full text):</w:t>
      </w:r>
      <w:r>
        <w:t xml:space="preserve">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pPr/>
      <w:r>
        <w:rPr>
          <w:b/>
        </w:rPr>
        <w:t>POSSIBLE 2022:</w:t>
      </w:r>
      <w:r>
        <w:t xml:space="preserve"> Translating observed household energy behavior to agent-based technology choices in an integrated modeling framework — https://doi.org/10.1016/j.isci.2022.103905</w:t>
      </w:r>
    </w:p>
    <w:p>
      <w:pPr/>
      <w:r>
        <w:rPr>
          <w:b/>
        </w:rPr>
        <w:t>Shared claim-specific concepts:</w:t>
      </w:r>
      <w:r>
        <w:t xml:space="preserve"> integrated, observed; EU scope visible. This is a provisional connection, not an outcome finding.</w:t>
      </w:r>
    </w:p>
    <w:p>
      <w:pPr>
        <w:pStyle w:val="SourceNote"/>
      </w:pPr>
      <w:r>
        <w:rPr>
          <w:b/>
        </w:rPr>
        <w:t>Available abstract (not full text):</w:t>
      </w:r>
      <w:r>
        <w:t xml:space="preserve"> Decarbonizing the building sector depends on choices made at the household level, which are heterogeneous. Agent-based models are tools used to describe heterogeneous choices but require data-intensive calibration. This study analyzes a novel, cross-country European household-level survey, including sociodemographic characteristics, energy-saving habits, energy-saving investments, and metered household electricity consumption, to enhance the empirical grounding of an agent-based residential energy choice model. Applying cluster analysis to the data shows that energy consumption is not straightforwardly explained by sociodemographic classes, preferences, or attitudes, but some patterns emerge. Income consistently has the largest effect on demand, dwelling efficiency, and energy-saving investments, and the potential to improve a dwellings' energy use affects the efficiency investments made. Including the various sources of heterogeneity found to characterize the model agents affects the timing and speed of the transition. The results reinforce the need for grounding agent-based models in empirical data, to better understand energy transition dynamics.</w:t>
      </w:r>
    </w:p>
    <w:p>
      <w:pPr/>
      <w:r>
        <w:rPr>
          <w:b/>
        </w:rPr>
        <w:t>POSSIBLE 2021:</w:t>
      </w:r>
      <w:r>
        <w:t xml:space="preserve"> Model Calibration for a Rigid Hexapod-Based End-Effector with Integrated Force Sensors — https://doi.org/10.3390/s21103537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Integrated single-axis force sensors allow an accurate and cost-efficient force measurement in 6 degrees of freedom for hexapod structures and kinematics. Depending on the sensor placement, the measurement is affected by internal forces that need to be compensated for by a measurement model. Since the parameters of the model can change during machine usage, a fast and easy calibration procedure is requested. This work studies parameter identification procedures for force measurement models on the example of a rigid hexapod-based end-effector. First, measurement and identification models are presented and parameter sensitivities are analysed. Next, two excitation strategies are applied and discussed: identification from quasi-static poses and identification from accelerated continuous trajectories. Both poses and trajectories are optimized by different criteria and evaluated in comparison. Finally, the procedures are validated by experimental studies with reference payloads. In conclusion, both strategies allow accurate parameter identification within a fast procedure in an operational machine state.</w:t>
      </w:r>
    </w:p>
    <w:p>
      <w:pPr/>
      <w:r>
        <w:rPr>
          <w:b/>
        </w:rPr>
        <w:t>POSSIBLE 2020:</w:t>
      </w:r>
      <w:r>
        <w:t xml:space="preserve"> Integrated In Silico Models for the Prediction of No-Observed-(Adverse)-Effect Levels and Lowest-Observed-(Adverse)-Effect Levels in Rats for Sub-chronic Repeated-Dose Toxicity — https://doi.org/10.1021/acs.chemrestox.0c00176</w:t>
      </w:r>
    </w:p>
    <w:p>
      <w:pPr/>
      <w:r>
        <w:rPr>
          <w:b/>
        </w:rPr>
        <w:t>Shared claim-specific concepts:</w:t>
      </w:r>
      <w:r>
        <w:t xml:space="preserve"> integrated, first; EU scope not established. This is a provisional connection, not an outcome finding.</w:t>
      </w:r>
    </w:p>
    <w:p>
      <w:pPr>
        <w:pStyle w:val="SourceNote"/>
      </w:pPr>
      <w:r>
        <w:rPr>
          <w:b/>
        </w:rPr>
        <w:t>Available abstract (not full text):</w:t>
      </w:r>
      <w:r>
        <w:t xml:space="preserve"> Repeated-dose toxicity (RDT) is a critical endpoint for hazard characterization of chemicals and is assessed to derive safe levels of exposure for human health. Here we present the first attempt to model simultaneously no-observed-(adverse)-effect level (NO(A)EL) and lowest-observed-(adverse)-effect level (LO(A)EL). Classification and regression models were derived based on rat sub-chronic repeated dose toxicity data for 327 compounds from the Fraunhofer RepDose database. Multi-category classification models were built for both NO(A)EL and LO(A)EL though a consensus of statistics- and fragment-based algorithms, while regression models were based on quantitative relationships between the endpoints and SMILES-based attributes. NO(A)EL and LO(A)EL models were integrated, and predictions were compared to exclude inconsistent values. This strategy improved the performance of single models, leading to R 2 greater than 0.70, root-mean-square error (RMSE) lower than 0.60 (for regression models), and accuracy of 0.61–0.73 (for classification models) on the validation set, based on the endpoint and the threshold applied for selecting predictions. This study confirms the effectiveness of the modeling strategy presented here for assessing RDT of chemicals using in silico models.</w:t>
      </w:r>
    </w:p>
    <w:p>
      <w:pPr/>
      <w:r>
        <w:rPr>
          <w:b/>
        </w:rPr>
        <w:t>POSSIBLE 2019:</w:t>
      </w:r>
      <w:r>
        <w:t xml:space="preserve"> Design of a Novel Piezoelectric Energy Harvester Based on Integrated Multistage Force Amplification Frame — https://doi.org/10.1109/tmech.2019.2906999</w:t>
      </w:r>
    </w:p>
    <w:p>
      <w:pPr/>
      <w:r>
        <w:rPr>
          <w:b/>
        </w:rPr>
        <w:t>Shared claim-specific concepts:</w:t>
      </w:r>
      <w:r>
        <w:t xml:space="preserve"> integrated, during, show; EU scope not established. This is a provisional connection, not an outcome finding.</w:t>
      </w:r>
    </w:p>
    <w:p>
      <w:pPr>
        <w:pStyle w:val="SourceNote"/>
      </w:pPr>
      <w:r>
        <w:rPr>
          <w:b/>
        </w:rPr>
        <w:t>Available abstract (not full text):</w:t>
      </w:r>
      <w:r>
        <w:t xml:space="preserve"> This paper proposes a novel integrated multistage energy harvester to scavenge the mechanical energy from human footstep during walking. The device involves a four-stage force amplification using wedge mechanism, leverage mechanism, half-bridge mechanism, and bridge-type force amplifier. It is devised to magnify the input force exerted on a piezoelectric stack so as to enhance the power output. By fully exploiting the characteristics of the force amplification frame, the harvester also provides the function of position protection, which enables the bearing of large load and thereby protecting the piezoelectric stack. By this, the maximum displacement input is restricted to a certain range to ensure the walking comfort. A static analytical model of the energy harvester is established through the force analysis based on the stiffness matrix method. The main architectural parameters of the device are optimized by adopting a multiobjective genetic algorithm with ANSYS software. Moreover, a prototype is fabricated for experimental investigation. Experimental results show that the harvester exhibits a large force amplification ratio of 17.9 and high-peak power output of 50.8 mW across a matched resistor.</w:t>
      </w:r>
    </w:p>
    <w:p>
      <w:pPr/>
      <w:r>
        <w:rPr>
          <w:b/>
        </w:rPr>
        <w:t>POSSIBLE 2018:</w:t>
      </w:r>
      <w:r>
        <w:t xml:space="preserve"> Communicating Integrated Flood Inundation Information to Emergency Managers/First Responders, Public Sector Decision-Makers, Information Outlets, Communities, Citizens, and Researchers to Increase the Value of Observed Data and Model Forecasts for Flooding Events — https://openalex.org/W2787617875</w:t>
      </w:r>
    </w:p>
    <w:p>
      <w:pPr/>
      <w:r>
        <w:rPr>
          <w:b/>
        </w:rPr>
        <w:t>Shared claim-specific concepts:</w:t>
      </w:r>
      <w:r>
        <w:t xml:space="preserve"> integrated, observed, first; EU scope not established. This is a provisional connection, not an outcome finding.</w:t>
      </w:r>
    </w:p>
    <w:p>
      <w:pPr>
        <w:pStyle w:val="SourceNote"/>
      </w:pPr>
      <w:r>
        <w:rPr>
          <w:b/>
        </w:rPr>
        <w:t>Available abstract (not full text):</w:t>
      </w:r>
      <w:r>
        <w:t xml:space="preserve"> Unavailable</w:t>
      </w:r>
    </w:p>
    <w:p>
      <w:pPr/>
      <w:r>
        <w:rPr>
          <w:b/>
        </w:rPr>
        <w:t>POSSIBLE 2018:</w:t>
      </w:r>
      <w:r>
        <w:t xml:space="preserve"> The integrated motivational–volitional model of suicidal behaviour — https://doi.org/10.1098/rstb.2017.0268</w:t>
      </w:r>
    </w:p>
    <w:p>
      <w:pPr/>
      <w:r>
        <w:rPr>
          <w:b/>
        </w:rPr>
        <w:t>Shared claim-specific concepts:</w:t>
      </w:r>
      <w:r>
        <w:t xml:space="preserve"> integrated, about; EU scope not established. This is a provisional connection, not an outcome finding.</w:t>
      </w:r>
    </w:p>
    <w:p>
      <w:pPr>
        <w:pStyle w:val="SourceNote"/>
      </w:pPr>
      <w:r>
        <w:rPr>
          <w:b/>
        </w:rPr>
        <w:t>Available abstract (not full text):</w:t>
      </w:r>
      <w:r>
        <w:t xml:space="preserve"> Suicide is a major public health concern accounting for 800 000 deaths globally each year. Although there have been many advances in understanding suicide risk in recent decades, our ability to predict suicide is no better now than it was 50 years ago. There are many potential explanations for this lack of progress, but the absence, until recently, of comprehensive theoretical models that predict the emergence of suicidal ideation distinct from the transition between suicidal ideation and suicide attempts/suicide is key to this lack of progress. The current article presents the integrated motivational-volitional (IMV) model of suicidal behaviour, one such theoretical model. We propose that defeat and entrapment drive the emergence of suicidal ideation and that a group of factors, entitled volitional moderators (VMs), govern the transition from suicidal ideation to suicidal behaviour. According to the IMV model, VMs include access to the means of suicide, exposure to suicidal behaviour, capability for suicide (fearlessness about death and increased physical pain tolerance), planning, impulsivity, mental imagery and past suicidal behaviour. In this article, we describe the theoretical origins of the IMV model, the key premises underpinning the model, empirical tests of the model and future research directions.This article is part of the theme issue 'Evolutionary thanatology: impa</w:t>
      </w:r>
    </w:p>
    <w:p>
      <w:pPr/>
      <w:r>
        <w:rPr>
          <w:b/>
        </w:rPr>
        <w:t>POSSIBLE 2018:</w:t>
      </w:r>
      <w:r>
        <w:t xml:space="preserve"> An integrated phenology modelling framework in r — https://doi.org/10.1111/2041-210x.12970</w:t>
      </w:r>
    </w:p>
    <w:p>
      <w:pPr/>
      <w:r>
        <w:rPr>
          <w:b/>
        </w:rPr>
        <w:t>Shared claim-specific concepts:</w:t>
      </w:r>
      <w:r>
        <w:t xml:space="preserve"> integrated, first, climate, show; EU scope visible. This is a provisional connection, not an outcome finding.</w:t>
      </w:r>
    </w:p>
    <w:p>
      <w:pPr>
        <w:pStyle w:val="SourceNote"/>
      </w:pPr>
      <w:r>
        <w:rPr>
          <w:b/>
        </w:rPr>
        <w:t>Available abstract (not full text):</w:t>
      </w:r>
      <w:r>
        <w:t xml:space="preserve"> Abstract Phenology is a first‐order control on productivity and mediates the biophysical environment by altering albedo, surface roughness length and evapotranspiration. Accurate and transparent modelling of vegetation phenology is therefore key in understanding feedbacks between the biosphere and the climate system. Here, we present the phenor r package and modelling framework. The framework leverages measurements of vegetation phenology from four common phenology observation datasets, the PhenoCam network, the USA National Phenology Network (USA‐NPN), the Pan European Phenology Project (PEP725), MODIS phenology (MCD12Q2) combined with (global) retrospective and projected climate data. We show an example analysis, using the phenor modelling framework, which quickly and easily compares 20 included spring phenology models for three plant functional types. An analysis of model skill using the root mean squared (RMSE) error shows little or no difference regardless of model structure, corroborating previous studies. We argue that addressing this issue will require novel model development combined with easy data assimilation as facilitated by our framework. In conclusion, we hope the phenor phenology modelling framework in the r language and environment for statistical computing will facilitate reproducibility and community driven phenology model development, in order to increase th</w:t>
      </w:r>
    </w:p>
    <w:p>
      <w:pPr/>
      <w:r>
        <w:rPr>
          <w:b/>
        </w:rPr>
        <w:t>POSSIBLE 2018:</w:t>
      </w:r>
      <w:r>
        <w:t xml:space="preserve"> An Integrated Cytoskeletal Model of Neurite Outgrowth — https://doi.org/10.3389/fncel.2018.00447</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Understanding neurite outgrowth is important because it underlies the wiring of the nervous system during development and regeneration following trauma and disease. Despite a significant body of research, the underlying cytoskeletal and mechanical mechanisms of growth and guidance are still not fully understood. Here, we bring together quantitative data to develop an integrated mechanical model of axonal elongation. The strength of this approach is that by focusing on forces rather than individual processes in a quantitative framework, the relative contributions of different processes to neurite growth can be impartially considered. We begin this review by discussing the structural organization of neurons focusing on the actin and microtubule (MT) cytoskeletons. Then, recent studies on the biophysics of growth cones and axons are covered to develop a more integrated model of neurite growth. With this foundation, some of the “controversial” findings in this field are discussed. A central idea that develops is that neurons appear to be active fluids, which generate strong contractile forces in the growth cone and weaker contractile forces along the axon. As a result of subcellular gradients in forces and material properties, actin flows rapidly rearwards in the growth cone periphery and MTs flow forward in bulk along the axon. From this a picture emerges that a growth cone is muc</w:t>
      </w:r>
    </w:p>
    <w:p>
      <w:pPr>
        <w:pStyle w:val="Heading2"/>
      </w:pPr>
      <w:r>
        <w:t>979.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r>
        <w:rPr>
          <w:b/>
        </w:rPr>
        <w:t>POSSIBLE 2022:</w:t>
      </w:r>
      <w:r>
        <w:t xml:space="preserve"> FUTURISM: VLADIMIR MAYAKOVSKI'S URBANISM AND FUTURIST OUTLOOK — https://doi.org/10.21533/epiphany.v15i1.387</w:t>
      </w:r>
    </w:p>
    <w:p>
      <w:pPr/>
      <w:r>
        <w:rPr>
          <w:b/>
        </w:rPr>
        <w:t>Shared claim-specific concepts:</w:t>
      </w:r>
      <w:r>
        <w:t xml:space="preserve"> futurists, also, used; EU scope not established. This is a provisional connection, not an outcome finding.</w:t>
      </w:r>
    </w:p>
    <w:p>
      <w:pPr>
        <w:pStyle w:val="SourceNote"/>
      </w:pPr>
      <w:r>
        <w:rPr>
          <w:b/>
        </w:rPr>
        <w:t>Available abstract (not full text):</w:t>
      </w:r>
      <w:r>
        <w:t xml:space="preserve"> This article analyzes the poetry of Russian poet Vladimir Mayakovski (1893-1930), renowned as a main figure of the Russian Futurist movement. The study first introduces the futurist movement in literature that took place at the beginning of the twentieth century and locates it within formalist theory. Then, it dwells upon the characteristics of futurist poetry since this was the genre the futurists were mostly concerned with. The study moves towards its main objective by examining two characteristic poems, Morning (1912) and A Skyscraper Dissected (1929), bearing in mind the theme of urbanism which is common in the futurist literary movement. This analysis attempts to prove that Mayakovski used the theme of urbanism to criticize modern city life, unlike other futurists who used this theme to glorify it. The study will also look at an important aspect of Mayakovski’s poem About This in which he imagines life in the future. To carry out this thematic study, a critically analytical and descriptive method is used.</w:t>
      </w:r>
    </w:p>
    <w:p>
      <w:pPr/>
      <w:r>
        <w:rPr>
          <w:b/>
        </w:rPr>
        <w:t>POSSIBLE 2022:</w:t>
      </w:r>
      <w:r>
        <w:t xml:space="preserve"> The Real Pushkin: The Reinvention of Russia’s National Poet by the Futurists — https://openalex.org/W7132695165</w:t>
      </w:r>
    </w:p>
    <w:p>
      <w:pPr/>
      <w:r>
        <w:rPr>
          <w:b/>
        </w:rPr>
        <w:t>Shared claim-specific concepts:</w:t>
      </w:r>
      <w:r>
        <w:t xml:space="preserve"> futurists, different, not, way, studied, but; EU scope not established. This is a provisional connection, not an outcome finding.</w:t>
      </w:r>
    </w:p>
    <w:p>
      <w:pPr>
        <w:pStyle w:val="SourceNote"/>
      </w:pPr>
      <w:r>
        <w:rPr>
          <w:b/>
        </w:rPr>
        <w:t>Available abstract (not full text):</w:t>
      </w:r>
      <w:r>
        <w:t xml:space="preserve"> James Rann'sThe Unlikely Futurist is in itself a cultural artifact of its time.Dedicated to the complicated and controversial relation of the Russian Futurists to Russia's most celebrated national poet Alexander Pushkin, Rann's book is generally about mechanisms of cultural cancellation, reevaluation, and (re)appropriation of the past.Today when more and more artists and other significant figures (contemporary ones and those belonging to former times) are often reassessed in light of emerging moral considerations and ethical norms, it is important to understand why one group of people may want to change dramatically their attitude to their ancestors.The case of the Russian Futurists is a perfect material for such a study, since the group is known for its scandalous behavior, their willingness to break away from the tradition, and their provocative statements about Russia's cultural past.For example, the manifesto "A Slap in the Face of Public Taste" famously proposed to "throw Pushkin, Dostoevsky, Tolstoy and so on and so forth from the steamship of Modernity" (p.9).But as is often the case, the slogans are never quite as complex as the mindsets of the people who produce them.Such a performative way of rejecting the past is simultaneously an affirmation of its significance.Using this interesting controversy as a departure point, Rann sets out to explore the ways in which the Ru</w:t>
      </w:r>
    </w:p>
    <w:p>
      <w:pPr/>
      <w:r>
        <w:rPr>
          <w:b/>
        </w:rPr>
        <w:t>POSSIBLE 2020:</w:t>
      </w:r>
      <w:r>
        <w:t xml:space="preserve"> Becoming Futurists — https://doi.org/10.26481/dis.20200520tc</w:t>
      </w:r>
    </w:p>
    <w:p>
      <w:pPr/>
      <w:r>
        <w:rPr>
          <w:b/>
        </w:rPr>
        <w:t>Shared claim-specific concepts:</w:t>
      </w:r>
      <w:r>
        <w:t xml:space="preserve"> futurists, not, way, ways; EU scope not established. This is a provisional connection, not an outcome finding.</w:t>
      </w:r>
    </w:p>
    <w:p>
      <w:pPr>
        <w:pStyle w:val="SourceNote"/>
      </w:pPr>
      <w:r>
        <w:rPr>
          <w:b/>
        </w:rPr>
        <w:t>Available abstract (not full text):</w:t>
      </w:r>
      <w:r>
        <w:t xml:space="preserve"> Writing a PhD thesis is a solitary practice, yet I didn't write alone.Becoming Futurists was made possible by a life-giving ecosystem of friends, family, colleagues and students.In these few pages, I am finally able to thank everyone who has contributed to my growth.First and foremost, I am deeply grateful for my academic guide Marjolein van Asselt.I see in Marjolein a bright scholar who is not afraid to speak her mind and dares to break with conventions.To me, Marjolein is a true example, especially in how science can and should be connected to the world.By leading me the way, Marjolein helped me to rise and spread my wings.My sincere gratitude goes out to supervisor Harro van Lente, from the moment I got acquainted with Harro's academic work, I was captured by his sense of language.Harro helped me to structure my thoughts, making dozens of impressive overviews based on our lengthy academic conversations and guided me in the wonderful and particular world of Science and Technology Studies.Harro's trust, his comforting smile and his ways with words helped me to pass the much-anticipated finish line.</w:t>
      </w:r>
    </w:p>
    <w:p>
      <w:pPr/>
      <w:r>
        <w:rPr>
          <w:b/>
        </w:rPr>
        <w:t>POSSIBLE 2020:</w:t>
      </w:r>
      <w:r>
        <w:t xml:space="preserve"> Benedetta’s Futurist Novels — https://openalex.org/W3018827761</w:t>
      </w:r>
    </w:p>
    <w:p>
      <w:pPr/>
      <w:r>
        <w:rPr>
          <w:b/>
        </w:rPr>
        <w:t>Shared claim-specific concepts:</w:t>
      </w:r>
      <w:r>
        <w:t xml:space="preserve"> futurists, not, but, also, she; EU scope not established. This is a provisional connection, not an outcome finding.</w:t>
      </w:r>
    </w:p>
    <w:p>
      <w:pPr>
        <w:pStyle w:val="SourceNote"/>
      </w:pPr>
      <w:r>
        <w:rPr>
          <w:b/>
        </w:rPr>
        <w:t>Available abstract (not full text):</w:t>
      </w:r>
      <w:r>
        <w:t xml:space="preserve"> Benedetta Cappa Marinetti does not simply write novels, she constructs them. Over the span of ten years, Benedetta pairs narrative first with images, then with performative elements, and lastly, with letters. She applies her abstract and conceptual style to observable and palpable works. In her first novel, Le forze umane (1926), Benedetta parallels handwritten words to hand- drawn images, or what she terms as “graphic syntheses.” From this autobiographical beginning, Benedetta immerses her audience into the timeline of her own life events. Surpassing a simple documentary or chronological account, Benedetta embeds her own states of mind in the narrative, a practice also explored by Futurist Giuseppe Steiner. In her next novel, Viaggio di Garar� (1931), Benedetta continues to incorporate visuals into her narrative, however, not to convey states of mind, but to immerse the reader into another realm: the theater. Viaggio di Garar� is a “cosmic novel for the theater,” allowing the work to be flexibly read as both a script and a novel. Her final novel, Astra e il sottomarino (1936) evokes an epistolary model, continuing her interest in the participatory elements of script and narrative. Benedetta’s much overlooked literary narrative includes a female perspective missing from many of her fellow Futurists’ novels.</w:t>
      </w:r>
    </w:p>
    <w:p>
      <w:pPr/>
      <w:r>
        <w:rPr>
          <w:b/>
        </w:rPr>
        <w:t>POSSIBLE 2020:</w:t>
      </w:r>
      <w:r>
        <w:t xml:space="preserve"> Agriculture futurist: Don Ort — https://doi.org/10.1093/plphys/kiaa024</w:t>
      </w:r>
    </w:p>
    <w:p>
      <w:pPr/>
      <w:r>
        <w:rPr>
          <w:b/>
        </w:rPr>
        <w:t>Shared claim-specific concepts:</w:t>
      </w:r>
      <w:r>
        <w:t xml:space="preserve"> different, not, but, also, ways, political; EU scope not established. This is a provisional connection, not an outcome finding.</w:t>
      </w:r>
    </w:p>
    <w:p>
      <w:pPr>
        <w:pStyle w:val="SourceNote"/>
      </w:pPr>
      <w:r>
        <w:rPr>
          <w:b/>
        </w:rPr>
        <w:t>Available abstract (not full text):</w:t>
      </w:r>
      <w:r>
        <w:t xml:space="preserve"> Scientists have an ability to prove the predictions wrong, especially when it comes to meeting increasing food demand. In 1798, Thomas Malthus, an English political economist, published “An essay on the principle of population” in which he concluded that “The power of population is so superior to the power of the earth to produce subsistence for man, that premature death must in some shape or other visit the human race.” (Malthus, 1798). Over the centuries, this message has been repeated. For example, Paul Ehrlich’s 1968 book, The Population Bomb famously began with the statement “The battle to feed all of humanity is over. In the 1970s hundreds of millions of people will starve to death…” (Ehrlich, 1968). Through the expansion of cultivated land, intensification of inputs, and the adoption of resource-responsive dwarf varieties, the “Green Revolution” in the 60s and 70s, saw average annual production gains of 3.2% (1961–1980) across developing countries (80% of the gains due to yield ha−1 increases; e.g., Evenson and Gollin, 2003); forestalling a food crisis. Between 1981 and 2000, as world population grew by another 1.6 billion people, modern varieties and precision technologies continued to increase yield potential as well as reduce the yield gap between actual and potential yield. But analyses of production trends suggest the returns of the Green Revolution may be diminishi</w:t>
      </w:r>
    </w:p>
    <w:p>
      <w:pPr/>
      <w:r>
        <w:rPr>
          <w:b/>
        </w:rPr>
        <w:t>POSSIBLE 2019:</w:t>
      </w:r>
      <w:r>
        <w:t xml:space="preserve"> From Moscow to Simferopol: How the Russian Cubo-Futurists Accessed the Provinces — https://doi.org/10.1353/ths.2019.0003</w:t>
      </w:r>
    </w:p>
    <w:p>
      <w:pPr/>
      <w:r>
        <w:rPr>
          <w:b/>
        </w:rPr>
        <w:t>Shared claim-specific concepts:</w:t>
      </w:r>
      <w:r>
        <w:t xml:space="preserve"> futurists, radically, different, but, also, project; EU scope not established. This is a provisional connection, not an outcome finding.</w:t>
      </w:r>
    </w:p>
    <w:p>
      <w:pPr>
        <w:pStyle w:val="SourceNote"/>
      </w:pPr>
      <w:r>
        <w:rPr>
          <w:b/>
        </w:rPr>
        <w:t>Available abstract (not full text):</w:t>
      </w:r>
      <w:r>
        <w:t xml:space="preserve"> From Moscow to SimferopolHow the Russian Cubo-Futurists Accessed the Provinces Ryan Tvedt (bio) With their famous 1912 manifesto, "A Slap in the Face of Public Taste," the Russian cubo-futurists challenged what they derisively called the "common sense" and "good taste" of their audience. No more would they politely defer to the classics; even names such as Pushkin and Tolstoy felt suffocating, and the time had come to throw these writers "overboard" from what they called the "ship of modernity."1 The following year, two signatories to this document made an ad hoc journey into the provinces, advocating for the principles laid out in their manifesto, in what became known as the futurist tour. For the next three months, leading artists of the cubo-futurist movement traveled provincial cities espousing their radically anti-bourgeois avant-garde aesthetic to audiences far removed from the cosmopolitan urban centers that had helped incubate their philosophical program. Their rejection of Russia's most distinguished artists and writers, often through insult and mockery, ensured that the group would meet with resistance. Already accustomed to provoking backlash from audiences and city authorities alike in Moscow, the futurists would also antagonize provincial authorities and audiences in Imperial Russia who, at times, refused the group access to performance venues or reacted negatively</w:t>
      </w:r>
    </w:p>
    <w:p>
      <w:pPr/>
      <w:r>
        <w:rPr>
          <w:b/>
        </w:rPr>
        <w:t>POSSIBLE 2017:</w:t>
      </w:r>
      <w:r>
        <w:t xml:space="preserve"> The Anti-Neutral Suit: international legal futurists, 1914–2017 — https://doi.org/10.1093/lril/lrw023</w:t>
      </w:r>
    </w:p>
    <w:p>
      <w:pPr/>
      <w:r>
        <w:rPr>
          <w:b/>
        </w:rPr>
        <w:t>Shared claim-specific concepts:</w:t>
      </w:r>
      <w:r>
        <w:t xml:space="preserve"> futurists, not, but; EU scope not established. This is a provisional connection, not an outcome finding.</w:t>
      </w:r>
    </w:p>
    <w:p>
      <w:pPr>
        <w:pStyle w:val="SourceNote"/>
      </w:pPr>
      <w:r>
        <w:rPr>
          <w:b/>
        </w:rPr>
        <w:t>Available abstract (not full text):</w:t>
      </w:r>
      <w:r>
        <w:t xml:space="preserve"> The WWI artefact examined here is the Anti-Neutral Suit, designed in 1914 by the Futurist artist Giacomo Balla. Juxtaposing the Suit's materiality against that of some present-day anti-neutral outfits, I suggest that international law's most important (individual, collective) subjects are not, in fact, definitively peaceable and egalitarian but rather violently expansionist.</w:t>
      </w:r>
    </w:p>
    <w:p>
      <w:pPr/>
      <w:r>
        <w:rPr>
          <w:b/>
        </w:rPr>
        <w:t>POSSIBLE 2016:</w:t>
      </w:r>
      <w:r>
        <w:t xml:space="preserve"> Futurist Painting Sculpture (Plastic Dynamism) — https://openalex.org/W2753318073</w:t>
      </w:r>
    </w:p>
    <w:p>
      <w:pPr/>
      <w:r>
        <w:rPr>
          <w:b/>
        </w:rPr>
        <w:t>Shared claim-specific concepts:</w:t>
      </w:r>
      <w:r>
        <w:t xml:space="preserve"> futurists, not, only, but, also, political; EU scope visible. This is a provisional connection, not an outcome finding.</w:t>
      </w:r>
    </w:p>
    <w:p>
      <w:pPr>
        <w:pStyle w:val="SourceNote"/>
      </w:pPr>
      <w:r>
        <w:rPr>
          <w:b/>
        </w:rPr>
        <w:t>Available abstract (not full text):</w:t>
      </w:r>
      <w:r>
        <w:t xml:space="preserve"> This fiery and influential book, available for the first time in English, presents an Italian Futurist's radical ideas about art and architecture 'Futurist Painting Sculpture (Plastic Dynamism)', a truly radical book by Umberto Boccioni (1882-1916), claimed a central position in artistic debates of the 1910s and 1920s, exerting a powerful influence on the Italian Futurist movement as well as on the entire European historical avant-garde, including Dada and Constructivism. Today, Boccioni is best known as an artist whose paintings and sculptures are prized for their revolutionary aesthetic by American and European museums. But 'Futurist Painting Sculpture' demonstrates that he was also the foremost avant-garde theorist of his time. In his distinctive, exhilarating prose style, Boccioni not only articulates his own ideas about the Italian movement's underpinnings and goals but also systematizes the principles expressed in the vast array of manifestos that the Futurists had already produced. Featuring photographs of fifty-one key works and a large selection of manifestos devoted to the visual arts, Boccioni's book established the canon of Italian Futurist art for many years to come. First published in Italian in 1914, 'Futurist Painting Sculpture' has never been available in English-until now. This edition includes a critical introduction by Maria Elena Versari. Drawing on the ext</w:t>
      </w:r>
    </w:p>
    <w:p>
      <w:pPr>
        <w:pStyle w:val="Heading2"/>
      </w:pPr>
      <w:r>
        <w:t>980.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current, proposed, commission;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2019:</w:t>
      </w:r>
      <w:r>
        <w:t xml:space="preserve"> The ‘political’ roles of the European Commission — https://doi.org/10.1080/07036337.2019.1572135</w:t>
      </w:r>
    </w:p>
    <w:p>
      <w:pPr/>
      <w:r>
        <w:rPr>
          <w:b/>
        </w:rPr>
        <w:t>Shared claim-specific concepts:</w:t>
      </w:r>
      <w:r>
        <w:t xml:space="preserve"> different, current, system, commission;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r>
        <w:rPr>
          <w:b/>
        </w:rPr>
        <w:t>POSSIBLE 2018:</w:t>
      </w:r>
      <w:r>
        <w:t xml:space="preserve"> Is a 100% renewable European power system feasible by 2050? — https://doi.org/10.1016/j.apenergy.2018.08.109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In this study, we model seven scenarios for the European power system in 2050 based on 100% renewable energy sources, assuming different levels of future demand and technology availability, and compare them with a scenario which includes low-carbon non-renewable technologies. We find that a 100% renewable European power system could operate with the same level of system adequacy as today when relying on European resources alone, even in the most challenging weather year observed in the period from 1979 to 2015. However, based on our scenario results, realising such a system by 2050 would require: (i) a 90% increase in generation capacity to at least 1.9 TW (compared with 1 TW installed today), (ii) reliable cross-border transmission capacity at least 140 GW higher than current levels (60 GW), (iii) the well-managed integration of heat pumps and electric vehicles into the power system to reduce demand peaks and biogas requirements, (iv) the implementation of energy efficiency measures to avoid even larger increases in required biomass demand, generation and transmission capacity, (v) wind deployment levels of 7.5 GW y−1 (currently 10.6 GW y−1) to be maintained, while solar photovoltaic deployment to increase to at least 15 GW y−1 (currently 10.5 GW y−1), (vi) large-scale mobilisation of Europe’s biomass resources, with power sector biomass consumption reaching at least 8.5 EJ in</w:t>
      </w:r>
    </w:p>
    <w:p>
      <w:pPr/>
      <w:r>
        <w:rPr>
          <w:b/>
        </w:rPr>
        <w:t>POSSIBLE 2017:</w:t>
      </w:r>
      <w:r>
        <w:t xml:space="preserve"> Gap assessment in current soil monitoring networks across Europe for measuring soil functions — https://doi.org/10.1088/1748-9326/aa9c5c</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Soil is the most important natural resource for life on Earth after water. Given its fundamental role in sustaining the human population, both the availability and quality of soil must be managed sustainably and protected. To ensure sustainable management we need to understand the intrinsic functional capacity of different soils across Europe and how it changes over time. Soil monitoring is needed to support evidence-based policies to incentivise sustainable soil management. To this aim, we assessed which soil attributes can be used as potential indicators of five soil functions; (1) primary production, (2) water purification and regulation, (3) carbon sequestration and climate regulation, (4) soil biodiversity and habitat provisioning and (5) recycling of nutrients. We compared this list of attributes to existing national (regional) and EU-wide soil monitoring networks. The overall picture highlighted a clearly unbalanced dataset, in which predominantly chemical soil parameters were included, and soil biological and physical attributes were severely under represented. Methods applied across countries for indicators also varied. At a European scale, the LUCAS-soil survey was evaluated and again confirmed a lack of important soil biological parameters, such as C mineralisation rate, microbial biomass and earthworm community, and soil physical measures such as bulk density. In su</w:t>
      </w:r>
    </w:p>
    <w:p>
      <w:pPr/>
      <w:r>
        <w:rPr>
          <w:b/>
        </w:rPr>
        <w:t>POSSIBLE 2017:</w:t>
      </w:r>
      <w:r>
        <w:t xml:space="preserve"> Current state of the plastic waste recycling system in the European Union and in Germany — https://openalex.org/W2802287539</w:t>
      </w:r>
    </w:p>
    <w:p>
      <w:pPr/>
      <w:r>
        <w:rPr>
          <w:b/>
        </w:rPr>
        <w:t>Shared claim-specific concepts:</w:t>
      </w:r>
      <w:r>
        <w:t xml:space="preserve"> different, current, system, presented; EU scope visible. This is a provisional connection, not an outcome finding.</w:t>
      </w:r>
    </w:p>
    <w:p>
      <w:pPr>
        <w:pStyle w:val="SourceNote"/>
      </w:pPr>
      <w:r>
        <w:rPr>
          <w:b/>
        </w:rPr>
        <w:t>Available abstract (not full text):</w:t>
      </w:r>
      <w:r>
        <w:t xml:space="preserve"> The paper presents the results of the analysis of the current state in waste management of plastic bottles in Germany. A data overview of the differences in recycling policies between different countries in the European Union is presented. The application of twelve different polymeric materials by five different application sectors in Europe shows the predominated usage areas of selected polymeric materials. A detailed insight into the German Dual System (DSD) for plastic recycling is presented, with the reference to the famous label the "Green Dot". The evolution of the recovery rates of packaging in Germany from 1991 to 2014 is presented for glass, aluminium, tinplate, polymers, paper and cardboard and liquid packaging board. It was observed that the plastic recycling rate has risen from ~ 15 % to almost 100 %, i.e. nowadays almost the whole plastic waste is either incinerated or recycled. Current data for PET-bottles return is determined as well, and detailed current information regarding the deposit system is presented. The actual applications and specific data showing the industry sectors that use the PET from recovered bottles are presented.</w:t>
      </w:r>
    </w:p>
    <w:p>
      <w:pPr/>
      <w:r>
        <w:rPr>
          <w:b/>
        </w:rPr>
        <w:t>POSSIBLE 2015:</w:t>
      </w:r>
      <w:r>
        <w:t xml:space="preserve"> Current Trends in Urolithiasis Treatment in Various European Health Systems — https://doi.org/10.1159/000441041</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OBJECTIVE: In spite of readily available evidence-based guidelines on urolithiasis treatment, practical applications of treatments vary from country to country, or even within countries. The choice of treatment depends not only on the evidence, but often on general non-medical decision factors such as infrastructure, expertise, trends, patient demands, industry drive and reimbursement levels. In turn, many of these factors are interdependent and a result of the individual National Health System. METHOD: In an attempt to get a crude picture of trends and practices in stone treatment across Europe, a group of well-renowned international experts in the field were asked to reply to a set of standard questions relating to stone treatments, health systems and adherence to guidelines (level of evidence D = expert opinion). RESULTS: The above-mentioned interdependencies showed a varying picture in different countries. Overall, there is a trend away from lithotripsy and toward ureterorenoscopy. However, the choice of treatment is largely dependent on the affordability of infrastructure. Urologists may make choices based on the national reimbursement system, too. CONCLUSION: Without claiming to represent a scientifically sound study, this survey represents an interesting insight into a representative cross-section of European urological current practices and trends in urolithiasis treatm</w:t>
      </w:r>
    </w:p>
    <w:p>
      <w:pPr>
        <w:pStyle w:val="Heading2"/>
      </w:pPr>
      <w:r>
        <w:t>981.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2022:</w:t>
      </w:r>
      <w:r>
        <w:t xml:space="preserve"> The Role of the Second Law of Thermodynamics in Continuum Physics: A Muschik and Ehrentraut Theorem Revisited — https://doi.org/10.3390/sym14040763</w:t>
      </w:r>
    </w:p>
    <w:p>
      <w:pPr/>
      <w:r>
        <w:rPr>
          <w:b/>
        </w:rPr>
        <w:t>Shared claim-specific concepts:</w:t>
      </w:r>
      <w:r>
        <w:t xml:space="preserve"> regards, second, assumption, those; EU scope not established. This is a provisional connection, not an outcome finding.</w:t>
      </w:r>
    </w:p>
    <w:p>
      <w:pPr>
        <w:pStyle w:val="SourceNote"/>
      </w:pPr>
      <w:r>
        <w:rPr>
          <w:b/>
        </w:rPr>
        <w:t>Available abstract (not full text):</w:t>
      </w:r>
      <w:r>
        <w:t xml:space="preserve"> In continuum physics, constitutive equations model the material properties of physical systems. In those equations, material symmetry is taken into account by applying suitable representation theorems for symmetric and/or isotropic functions. Such mathematical representations must be in accordance with the second law of thermodynamics, which imposes that, in any thermodynamic process, the entropy production must be nonnegative. This requirement is fulfilled by assigning the constitutive equations in a form that guaranties that second law of thermodynamics is satisfied along arbitrary processes. Such an approach, in practice regards the second law of thermodynamics as a restriction on the constitutive equations, which must guarantee that any solution of the balance laws also satisfy the entropy inequality. This is a useful operative assumption, but not a consequence of general physical laws. Indeed, a different point of view, which regards the second law of thermodynamics as a restriction on the thermodynamic processes, i.e., on the solutions of the system of balance laws, is possible. This is tantamount to assuming that there are solutions of the balance laws that satisfy the entropy inequality, and solutions that do not satisfy it. In order to decide what is the correct approach, Muschik and Ehrentraut in 1996, postulated an amendment to the second law, which makes explicit th</w:t>
      </w:r>
    </w:p>
    <w:p>
      <w:pPr/>
      <w:r>
        <w:rPr>
          <w:b/>
        </w:rPr>
        <w:t>POSSIBLE 2022:</w:t>
      </w:r>
      <w:r>
        <w:t xml:space="preserve"> The Role of Second Law of Thermodynamics in Continuum Physics: A Muschik and Ehrentraut Theorem Revisited — https://doi.org/10.48550/arxiv.2202.01162</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Second law of thermodynamics imposes that in any thermodynamic process the entropy production must be nonnegative. In continuum physics such a requirement is fulfilled by postulating the constitutive equations which represent the material properties of the bodies in such a way that second law of thermodynamics is satisfied in arbitrary processes. Such an approach, first assumed in some pioneering papers by Coleman and Noll \cite{ColNol} and Coleman and Mizel \cite{ColMiz}, in practice regards second law of thermodynamics as a restriction on the constitutive equations, which must guarantee that any solution of the balance laws satisfies also the entropy inequality. As observed by Muschik and Ehrentraut \cite{MusEhr}, this is a useful operative assumption, but not a consequence of general physical laws. Indeed, a different point of view, which regards second law of thermodynamics as a restriction on the thermodynamic processes, i.e., on the solutions of the system of balance laws, is possible. This is tantamount to assume that there are solutions of the balance laws which satisfy the entropy inequality, and solutions which do not satisfy it. In order to decide what is the correct approach, Muschik and Erhentraut postulated an amendment to the second law, which makes explicit the evident but rather hidden assumption that in any point of the body the entropy production is zero if, </w:t>
      </w:r>
    </w:p>
    <w:p>
      <w:pPr/>
      <w:r>
        <w:rPr>
          <w:b/>
        </w:rPr>
        <w:t>POSSIBLE 2022:</w:t>
      </w:r>
      <w:r>
        <w:t xml:space="preserve"> A review of quantitative structure-activity relationship modelling approaches to predict the toxicity of mixtures — https://doi.org/10.1016/j.comtox.2022.100251</w:t>
      </w:r>
    </w:p>
    <w:p>
      <w:pPr/>
      <w:r>
        <w:rPr>
          <w:b/>
        </w:rPr>
        <w:t>Shared claim-specific concepts:</w:t>
      </w:r>
      <w:r>
        <w:t xml:space="preserve"> regards, modelling, techniques, potential; EU scope not established. This is a provisional connection, not an outcome finding.</w:t>
      </w:r>
    </w:p>
    <w:p>
      <w:pPr>
        <w:pStyle w:val="SourceNote"/>
      </w:pPr>
      <w:r>
        <w:rPr>
          <w:b/>
        </w:rPr>
        <w:t>Available abstract (not full text):</w:t>
      </w:r>
      <w:r>
        <w:t xml:space="preserve"> Exposure to chemicals generally occurs in the form of mixtures. However, the great majority of the toxicity data, upon which chemical safety decisions are based, relate only to single compounds. It is currently unfeasible to test a fully representative proportion of mixtures for potential harmful effects and, as such, in silico modelling provides a practical solution to inform safety assessment. Traditional methodologies for deriving estimations of mixture effects, exemplified by principles such as concentration addition (CA) and independent action (IA), are limited as regards the scope of chemical combinations to which they can reliably be applied. Development of appropriate quantitative structure-activity relationships (QSARs) has been put forward as a solution to the shortcomings present within these techniques – allowing for the potential formulation of versatile predictive tools capable of capturing the activities of a full contingent of possible mixtures. This review addresses the current state-of-the-art as regards application of QSAR towards mixture toxicity, discussing the challenges inherent in the task, whilst considering the strengths and limitations of existing approaches. Forty studies are examined within – through reference to several characteristic elements including the nature of the chemicals and endpoints modelled, the form of descriptors adopted, and the pri</w:t>
      </w:r>
    </w:p>
    <w:p>
      <w:pPr/>
      <w:r>
        <w:rPr>
          <w:b/>
        </w:rPr>
        <w:t>POSSIBLE 2021:</w:t>
      </w:r>
      <w:r>
        <w:t xml:space="preserve"> Relative risk aversion models: How plausible are their assumptions? — https://doi.org/10.1177/1043463121994087</w:t>
      </w:r>
    </w:p>
    <w:p>
      <w:pPr/>
      <w:r>
        <w:rPr>
          <w:b/>
        </w:rPr>
        <w:t>Shared claim-specific concepts:</w:t>
      </w:r>
      <w:r>
        <w:t xml:space="preserve"> regards, second, assumption, plausible; EU scope visible. This is a provisional connection, not an outcome finding.</w:t>
      </w:r>
    </w:p>
    <w:p>
      <w:pPr>
        <w:pStyle w:val="SourceNote"/>
      </w:pPr>
      <w:r>
        <w:rPr>
          <w:b/>
        </w:rPr>
        <w:t>Available abstract (not full text):</w:t>
      </w:r>
      <w:r>
        <w:t xml:space="preserve"> This work examines the validity of the two main assumptions of relative risk-aversion models of educational inequality. We compare the Breen-Goldthorpe (BG) and the Breen-Yaish (BY) models in terms of their assumptions about status maintenance motives and beliefs about the occupational risks associated with educational decisions. Concerning the first assumption, our contribution is threefold. First, we criticise the assumption of the BG model that families aim only at avoiding downward mobility and are insensitive to the prospects of upward mobility. We argue that the loss-aversion assumption proposed by BY is a more realistic formulation of status-maintenance motives. Second, we propose and implement a novel empirical approach to assess the validity of the loss-aversion assumption. Third, we present empirical results based on a sample of families of lower secondary school leavers indicating that families are sensitive to the prospects of both upward and downward mobility, and that the loss-aversion hypothesis of BY is empirically supported. As regards the risky choice assumption, we argue that families may not believe that more ambitious educational options entail occupational risks relative to less ambitious ones. We present empirical evidence indicating that, in France, the academic path is not perceived as a risky option. We conclude that, if the restrictive assumptions of </w:t>
      </w:r>
    </w:p>
    <w:p>
      <w:pPr/>
      <w:r>
        <w:rPr>
          <w:b/>
        </w:rPr>
        <w:t>POSSIBLE 2021:</w:t>
      </w:r>
      <w:r>
        <w:t xml:space="preserve"> Disorganization of Oscillatory Activity in Animal Models of Schizophrenia — https://doi.org/10.3389/fncir.2021.741767</w:t>
      </w:r>
    </w:p>
    <w:p>
      <w:pPr/>
      <w:r>
        <w:rPr>
          <w:b/>
        </w:rPr>
        <w:t>Shared claim-specific concepts:</w:t>
      </w:r>
      <w:r>
        <w:t xml:space="preserve"> activity, potential; EU scope not established. This is a provisional connection, not an outcome finding.</w:t>
      </w:r>
    </w:p>
    <w:p>
      <w:pPr>
        <w:pStyle w:val="SourceNote"/>
      </w:pPr>
      <w:r>
        <w:rPr>
          <w:b/>
        </w:rPr>
        <w:t>Available abstract (not full text):</w:t>
      </w:r>
      <w:r>
        <w:t xml:space="preserve"> Schizophrenia is a chronic, debilitating disorder with diverse symptomatology, including disorganized cognition and behavior. Despite considerable research effort, we have only a limited understanding of the underlying brain dysfunction. In this article, we review the potential role of oscillatory circuits in the disorder with a particular focus on the hippocampus, a region that encodes sequential information across time and space, as well as the frontal cortex. Several mechanistic explanations of schizophrenia propose that a loss of oscillatory synchrony between and within these brain regions may underlie some of the symptoms of the disorder. We describe how these oscillations are affected in several animal models of schizophrenia, including models of genetic risk, maternal immune activation (MIA) models, and models of NMDA receptor hypofunction. We then critically discuss the evidence for disorganized oscillatory activity in these models, with a focus on gamma, sharp wave ripple, and theta activity, including the role of cross-frequency coupling as a synchronizing mechanism. Finally, we focus on phase precession, which is an oscillatory phenomenon whereby individual hippocampal place cells systematically advance their firing phase against the background theta oscillation. Phase precession is important because it allows sequential experience to be compressed into a single 120 </w:t>
      </w:r>
    </w:p>
    <w:p>
      <w:pPr/>
      <w:r>
        <w:rPr>
          <w:b/>
        </w:rPr>
        <w:t>POSSIBLE 2021:</w:t>
      </w:r>
      <w:r>
        <w:t xml:space="preserve"> Comparing Human Activity Recognition Models Based on Complexity and Resource Usage — https://doi.org/10.3390/app11188473</w:t>
      </w:r>
    </w:p>
    <w:p>
      <w:pPr/>
      <w:r>
        <w:rPr>
          <w:b/>
        </w:rPr>
        <w:t>Shared claim-specific concepts:</w:t>
      </w:r>
      <w:r>
        <w:t xml:space="preserve"> regards, activity, techniques, performance; EU scope not established. This is a provisional connection, not an outcome finding.</w:t>
      </w:r>
    </w:p>
    <w:p>
      <w:pPr>
        <w:pStyle w:val="SourceNote"/>
      </w:pPr>
      <w:r>
        <w:rPr>
          <w:b/>
        </w:rPr>
        <w:t>Available abstract (not full text):</w:t>
      </w:r>
      <w:r>
        <w:t xml:space="preserve"> Human Activity Recognition (HAR) is a field with many contrasting application domains, from medical applications to ambient assisted living and sports applications. With ever-changing use cases and devices also comes a need for newer and better HAR approaches. Machine learning has long been one of the predominant techniques to recognize activities from extracted features. With the advent of deep learning techniques that push state of the art results in many different domains like natural language processing or computer vision, researchers have also started to build deep neural nets for HAR. With this increase in complexity, there also comes a necessity to compare the newer approaches to the previous state of the art algorithms. Not everything that is new is also better. Therefore, this paper aims to compare typical machine learning models like a Random Forest (RF) or a Support Vector Machine (SVM) to two commonly used deep neural net architectures, Convolutional Neural Nets (CNNs) and Recurrent Neural Nets (RNNs). Not only in regards to performance but also in regards to the complexity of the models. We measure complexity as the memory consumption, the mean prediction time and the number of trainable parameters of the models. To achieve comparable results, the models are all tested on the same publicly available dataset, the UCI HAR Smartphone dataset. With this combination of </w:t>
      </w:r>
    </w:p>
    <w:p>
      <w:pPr/>
      <w:r>
        <w:rPr>
          <w:b/>
        </w:rPr>
        <w:t>POSSIBLE 2020:</w:t>
      </w:r>
      <w:r>
        <w:t xml:space="preserve"> Ethical Challenges in European Parliamentary Debates with Regards to Audiovisual Sexual Risks on the Internet — https://doi.org/10.17576/jkmjc-2020-3602-17</w:t>
      </w:r>
    </w:p>
    <w:p>
      <w:pPr/>
      <w:r>
        <w:rPr>
          <w:b/>
        </w:rPr>
        <w:t>Shared claim-specific concepts:</w:t>
      </w:r>
      <w:r>
        <w:t xml:space="preserve"> regards, assumption; EU scope visible. This is a provisional connection, not an outcome finding.</w:t>
      </w:r>
    </w:p>
    <w:p>
      <w:pPr>
        <w:pStyle w:val="SourceNote"/>
      </w:pPr>
      <w:r>
        <w:rPr>
          <w:b/>
        </w:rPr>
        <w:t>Available abstract (not full text):</w:t>
      </w:r>
      <w:r>
        <w:t xml:space="preserve"> Within European political debate on audio-visual sexual risks for children on the Internet, liberal positions on freedom of expression (Article 19, Universal Declaration of Human Rights , 10 Dec. 1948) are balanced by protectionist approaches highlighting the need for child protection ( Convention on the Rights of the Child , 1989). Moreover, other political issues are raised with regards to ethical concerns, such as cultural diversity or censorship. Ethical considerations vary among European media systems due to different historical, cultural and political backgrounds. The hypothesis is that these ethical arguments reflect the historical and cultural diversity of the European scenario. Based on this assumption, the piece of research retrieved ethical reflections focused on audio-visual sexual risks on the Internet and the European media policy regarding child protection. A field study has been carried out through the online archive of European Parliament’s plenary. The corpus collected 45 European Parliamentary debates held between 2001 and 2016. Firstly, content analysis has been applied with ATLAS.ti; secondly, a hierarchical descendant classification has been carried out with the Alceste method (IRaMuTeQ). As a result, the defence of protectionist values, such as consumer and child protection, is justified by violence prevention. Moreover, ethical issues are related to prod</w:t>
      </w:r>
    </w:p>
    <w:p>
      <w:pPr/>
      <w:r>
        <w:rPr>
          <w:b/>
        </w:rPr>
        <w:t>POSSIBLE 2020:</w:t>
      </w:r>
      <w:r>
        <w:t xml:space="preserve"> A linguistically-informed way of introducing Japanese verbs to second language learners — https://doi.org/10.1515/jjl-2019-2017</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Abstract This paper describes how the Japanese speakers’ knowledge is organized in regards to verbs, and proposes a linguistically-informed way of introducing it to second language learners. It is maintained by a number of researchers that each verb is stored with the information of its argument structure in the speaker’s mental lexicon. That is, a given verb is stored with the information of how many arguments it takes and what types of arguments they are. In this paper, capitalizing on this assumption, we will maintain that the knowledge of the native speakers of Japanese is organized in such a way that if a verb gives rise to n-number of different meanings, there are n-number of lexical entries, and each such entry is independently stored with the information concerning the meaning of the verb, the verb arguments and their accompanying particles. After the description of the organization of Japanese speakers’ knowledge in regards to verbs, as an effective way of introducing this to Japanese language learners, the paper proposes the format of an innovative approach to Japanese verbs reference book. This proposed format capitalizes on full sentence definitions in the sense of the Collins Cobuild Dictionary.</w:t>
      </w:r>
    </w:p>
    <w:p>
      <w:pPr/>
      <w:r>
        <w:rPr>
          <w:b/>
        </w:rPr>
        <w:t>POSSIBLE 2020:</w:t>
      </w:r>
      <w:r>
        <w:t xml:space="preserve"> Life’s Simple 7 and Incident Hypertension: The REGARDS Study — https://doi.org/10.1161/jaha.120.016482</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Background The Life's Simple 7 (LS7) metric incorporates health behaviors (body mass index, diet, smoking, physical activity) and health factors (blood pressure, cholesterol, glucose) to estimate an individual's level of cardiovascular health. The association between cardiovascular health and incident hypertension is unresolved. Hypertension's threshold was recently lowered and it is unclear if better cardiovascular health is associated with lower risk of incident hypertension with the updated threshold or in a multirace cohort. We sought to assess the association between better LS7 score and risk of incident hypertension among Black and White adults using a 130/80 mm Hg hypertension threshold. Methods and Results We determined the association between LS7 metric and incident hypertension in the REGARDS (Reasons for Geographic and Racial Disparities in Stroke) study, including participants free of baseline hypertension (2003-2007) who completed a second visit between 2013 and 2016. Hypertension was defined as systolic/diastolic blood pressure ≥130/80 mm Hg or antihypertensive medication use. Each LS7 component was assigned 0 (poor), 1 (intermediate), or 2 (ideal) points. We generated a 14-point score by summing points. Among 2930 normotensive participants (20% Black, 80% White), the median (25th-75th percentiles) LS7 total score was 9 (8-10) points. Over a median follow-up of 9 </w:t>
      </w:r>
    </w:p>
    <w:p>
      <w:pPr/>
      <w:r>
        <w:rPr>
          <w:b/>
        </w:rPr>
        <w:t>POSSIBLE 2019:</w:t>
      </w:r>
      <w:r>
        <w:t xml:space="preserve"> Modelling Associative-Semantic Content as Regards the Logic-of-Semantics Dimension of the Adolescents’ Speech — https://doi.org/10.31470/2309-1797-2019-26-1-324-341</w:t>
      </w:r>
    </w:p>
    <w:p>
      <w:pPr/>
      <w:r>
        <w:rPr>
          <w:b/>
        </w:rPr>
        <w:t>Shared claim-specific concepts:</w:t>
      </w:r>
      <w:r>
        <w:t xml:space="preserve"> regards, modelling, activity, potential, strategies; EU scope not established. This is a provisional connection, not an outcome finding.</w:t>
      </w:r>
    </w:p>
    <w:p>
      <w:pPr>
        <w:pStyle w:val="SourceNote"/>
      </w:pPr>
      <w:r>
        <w:rPr>
          <w:b/>
        </w:rPr>
        <w:t>Available abstract (not full text):</w:t>
      </w:r>
      <w:r>
        <w:t xml:space="preserve"> Objective. The article deals with the analysis of the trends in the logic of the semantic organization of the speech and mental activity of adolescents as regards the dimension of the available semantic environment and that of the speech competences of an individual. It is stated that information about the world is systematized by human consciousness in the form of an associative-verbal field, whose producing and modelling is one of the ways of representing the speech competence of an individual shaping his/her destiny. Materials &amp; Methods. In view of the above, an empirical research of the distinctive features of expanding semantic content of the adolescents' speech consciousness as regards the dimension of the logic-of-semantics organization of the mental and speech activity was performed using the diagnostic potential of a free associative experiment. A system of relevant ways of construction and associative expansion of meanings in the semantic field of the speech consciousness of adolescents was chosen as the subject of the research. Results. Drawing on the results of the frequency analysis of the use of typical associative patterns for organizing the semantic field of speech, it was stated that the most represented among adolescents is a semantic way of reasoning based on the identification signs of the general contour of the trigger word at the level of its meaning. It w</w:t>
      </w:r>
    </w:p>
    <w:p>
      <w:pPr>
        <w:pStyle w:val="Heading2"/>
      </w:pPr>
      <w:r>
        <w:t>982.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2021:</w:t>
      </w:r>
      <w:r>
        <w:t xml:space="preserve"> EEG-Based Auditory Attention Detection and Its Possible Future Applications for Passive BCI — https://doi.org/10.3389/fcomp.2021.661178</w:t>
      </w:r>
    </w:p>
    <w:p>
      <w:pPr/>
      <w:r>
        <w:rPr>
          <w:b/>
        </w:rPr>
        <w:t>Shared claim-specific concepts:</w:t>
      </w:r>
      <w:r>
        <w:t xml:space="preserve"> different, possible, based; EU scope not established. This is a provisional connection, not an outcome finding.</w:t>
      </w:r>
    </w:p>
    <w:p>
      <w:pPr>
        <w:pStyle w:val="SourceNote"/>
      </w:pPr>
      <w:r>
        <w:rPr>
          <w:b/>
        </w:rPr>
        <w:t>Available abstract (not full text):</w:t>
      </w:r>
      <w:r>
        <w:t xml:space="preserve"> The ability to discriminate and attend one specific sound source in a complex auditory environment is a fundamental skill for efficient communication. Indeed, it allows us to follow a family conversation or discuss with a friend in a bar. This ability is challenged in hearing-impaired individuals and more precisely in those with a cochlear implant (CI). Indeed, due to the limited spectral resolution of the implant, auditory perception remains quite poor in a noisy environment or in presence of simultaneous auditory sources. Recent methodological advances allow now to detect, on the basis of neural signals, which auditory stream within a set of multiple concurrent streams an individual is attending to. This approach, called EEG-based auditory attention detection (AAD), is based on fundamental research findings demonstrating that, in a multi speech scenario, cortical tracking of the envelope of the attended speech is enhanced compared to the unattended speech. Following these findings, other studies showed that it is possible to use EEG/MEG (Electroencephalography/Magnetoencephalography) to explore auditory attention during speech listening in a Cocktail-party-like scenario. Overall, these findings make it possible to conceive next-generation hearing aids combining customary technology and AAD. Importantly, AAD has also a great potential in the context of passive BCI, in the educ</w:t>
      </w:r>
    </w:p>
    <w:p>
      <w:pPr/>
      <w:r>
        <w:rPr>
          <w:b/>
        </w:rPr>
        <w:t>POSSIBLE 2020:</w:t>
      </w:r>
      <w:r>
        <w:t xml:space="preserve"> Shoe feature recommendations for different running levels: A Delphi study — https://doi.org/10.1371/journal.pone.0236047</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Providing runners with footwear that match their functional needs has the potential to improve footwear comfort, enhance running performance and reduce the risk of overuse injuries. It is currently not known how footwear experts make decisions about different shoe features and their properties for runners of different levels. We performed a Delphi study in order to understand: 1) definitions of different runner levels, 2) which footwear features are considered important and 3) how these features should be prescribed for runners of different levels. Experienced academics, journalists, coaches, bloggers and physicians that examine the effects of footwear on running were recruited to participate in three rounds of a Delphi study. Three runner level definitions were refined throughout this study based on expert feedback. Experts were also provided a list of 20 different footwear features. They were asked which features were important and what the properties of those features should be. Twenty-four experts, most with 10+ years of experience, completed all three rounds of this study. These experts came to a consensus for the characteristics of three different running levels. They indicated that 12 of the 20 footwear features initially proposed were important for footwear design. Of these 12 features, experts came to a consensus on how to apply five footwear feature properties for all</w:t>
      </w:r>
    </w:p>
    <w:p>
      <w:pPr/>
      <w:r>
        <w:rPr>
          <w:b/>
        </w:rPr>
        <w:t>POSSIBLE 2020:</w:t>
      </w:r>
      <w:r>
        <w:t xml:space="preserve"> WHEN DIFFERENT ELECTIONS HAVE DIFFERENT SALIENCIES FOR VOTERS: MOST IMPORTANT AND CONSIDERATION (EVIDENCE FROM INDONESIAN VOTERS) — https://doi.org/10.18510/hssr.2020.8462</w:t>
      </w:r>
    </w:p>
    <w:p>
      <w:pPr/>
      <w:r>
        <w:rPr>
          <w:b/>
        </w:rPr>
        <w:t>Shared claim-specific concepts:</w:t>
      </w:r>
      <w:r>
        <w:t xml:space="preserve"> important, different, considered, data; EU scope not established. This is a provisional connection, not an outcome finding.</w:t>
      </w:r>
    </w:p>
    <w:p>
      <w:pPr>
        <w:pStyle w:val="SourceNote"/>
      </w:pPr>
      <w:r>
        <w:rPr>
          <w:b/>
        </w:rPr>
        <w:t>Available abstract (not full text):</w:t>
      </w:r>
      <w:r>
        <w:t xml:space="preserve"> Purpose of the study: Generally, the purpose of this study is to explain the salience of each form of election for voters. To explain that, this study examines which election is perceived as the most important election for voters, and what matters are considered by voters in each election, especially in the most important election and money politics. Methodology: The data are drawn from a survey of 800 respondents in Central Java during the 2019 Indonesian elections. The survey asked two questions; which election they perceive as the most important election ("what is the most important election for you?"), and what matters they consider when voting for a candidate ("what is your consideration in each election?"). The dataset also includes variables related to money politics. Main Findings: Voters have different importances and considerations in various forms of elections. More voters see the executive election as the most important than the legislative election in every level of election. More voters consider the program in the legislative elections, while more voters consider the figure of candidates in the executive elections. But in more detail, there are various patterns. Applications of this study: Referring to the number of elections in Indonesia, this finding can help the government, electoral commission, or activists to develop better strategies for educating citizens. </w:t>
      </w:r>
    </w:p>
    <w:p>
      <w:pPr/>
      <w:r>
        <w:rPr>
          <w:b/>
        </w:rPr>
        <w:t>POSSIBLE 2020:</w:t>
      </w:r>
      <w:r>
        <w:t xml:space="preserve"> Knowledge workers’ stated preferences for important characteristics of activity-based workspaces — https://doi.org/10.1080/09613218.2020.1726169</w:t>
      </w:r>
    </w:p>
    <w:p>
      <w:pPr/>
      <w:r>
        <w:rPr>
          <w:b/>
        </w:rPr>
        <w:t>Shared claim-specific concepts:</w:t>
      </w:r>
      <w:r>
        <w:t xml:space="preserve"> important, different, possible; EU scope not established. This is a provisional connection, not an outcome finding.</w:t>
      </w:r>
    </w:p>
    <w:p>
      <w:pPr>
        <w:pStyle w:val="SourceNote"/>
      </w:pPr>
      <w:r>
        <w:rPr>
          <w:b/>
        </w:rPr>
        <w:t>Available abstract (not full text):</w:t>
      </w:r>
      <w:r>
        <w:t xml:space="preserve"> It is important for organizations to support employees with suitable workspaces during different activities. Increasingly the activity-based office is seen as the optimal solution, as it provides people with choice between different types of workspaces to perform specific activities. This study addresses the trade-offs knowledge workers make when choosing a workspace for performing three different categories of activities (individual concentration work, informal interactions, and formal interactions). A stated choice experiment was performed through a questionnaire among 251 Dutch knowledge workers in 14 organizations, measuring preferences for hypothetical workspaces described by their six most relevant aspects. Multinomial logit models were estimated to identify the workspace preferences during each activity. Additionally, Latent class models were estimated to find possible segments of workers with specific preferences that need to be supported differently by workplace managers. Findings showed that preferences for psychosocial design aspects (noise, workspace enclosure and control) were more important for workspace selection than indoor environmental quality aspects. They also show more differences between specific activities. Also, not everybody finds full enclosure important for individual concentrated work, and relatively older employees appear to be more critical about w</w:t>
      </w:r>
    </w:p>
    <w:p>
      <w:pPr/>
      <w:r>
        <w:rPr>
          <w:b/>
        </w:rPr>
        <w:t>POSSIBLE 2020:</w:t>
      </w:r>
      <w:r>
        <w:t xml:space="preserve"> Possible Roles for Basal Levels of (p)ppGpp: Growth Efficiency Vs. Surviving Stress — https://doi.org/10.3389/fmicb.2020.592718</w:t>
      </w:r>
    </w:p>
    <w:p>
      <w:pPr/>
      <w:r>
        <w:rPr>
          <w:b/>
        </w:rPr>
        <w:t>Shared claim-specific concepts:</w:t>
      </w:r>
      <w:r>
        <w:t xml:space="preserve"> important, different, possible, over; EU scope not established. This is a provisional connection, not an outcome finding.</w:t>
      </w:r>
    </w:p>
    <w:p>
      <w:pPr>
        <w:pStyle w:val="SourceNote"/>
      </w:pPr>
      <w:r>
        <w:rPr>
          <w:b/>
        </w:rPr>
        <w:t>Available abstract (not full text):</w:t>
      </w:r>
      <w:r>
        <w:t xml:space="preserve"> Two (p)ppGpp nucleotide analogs, sometimes abbreviated simply as ppGpp, are widespread in bacteria and plants. Their name alarmone reflects a view of their function as intracellular hormone-like protective alarms that can increase a hundred-fold when sensing any of an array of physical or nutritional dangers, such as abrupt starvation, that trigger lifesaving adjustments of global gene expression and physiology. The diversity of mechanisms for stress-specific adjustments of this sort is large and further compounded by almost infinite microbial diversity. The central question raised by this review is whether the small basal levels of (p)ppGpp functioning during balanced growth serve very different roles than alarmone-like functions. Recent discoveries that abrupt amino acid starvation of E. coli, accompanied by very high levels of ppGpp, occasion surprising instabilities of tRNA, rRNA and ribosomes raises new questions. Is this destabilization a mode of regulation linearly related to (p)ppGpp over the entire continuum of (p)ppGpp levels, including balanced growth? Are regulatory mechanisms exerted by basal (p)ppGpp levels fundamentally different than for high levels? There is evidence from studies of other organisms suggesting special regulatory features of basal levels compared to burst of (p)ppGpp. Those differences seem to be important even during bacterial infection, suggest</w:t>
      </w:r>
    </w:p>
    <w:p>
      <w:pPr/>
      <w:r>
        <w:rPr>
          <w:b/>
        </w:rPr>
        <w:t>POSSIBLE 2020:</w:t>
      </w:r>
      <w:r>
        <w:t xml:space="preserve"> Performance Comparison of Gesture Recognition System Based on Different Classifiers — https://doi.org/10.1109/tcds.2020.2969297</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The hand plays a very important role in our daily life, and the amputees suffer a lot from the loss of hands or upper limbs. Hence, assisting devices are desired urgently. Today, the prosthetic hands based on surface electromyography (sEMG) signals can recognize many hand gestures, but some problems still exist. To identify more gestures, some recognition systems require multiple electrodes, which are unable to be applied to the amputees with less residual muscles. Meanwhile, better computing performance is required as the number of electrodes increases, which is difficult to be applied to the real-time embedded systems. In this article, we aim to recognize six hand gestures by using sEMG sensors as little as possible. To realize this goal, we compare the accuracy and processing time of different feature extraction and classification methods offline, and the results indicate that the combination of time-domain features and backpropagation neural network has better performance. In total, nine subjects participated in the offline experiments, and the accuracy is up to 95.46% by employing two sEMG sensors to recognize six hand gestures.</w:t>
      </w:r>
    </w:p>
    <w:p>
      <w:pPr/>
      <w:r>
        <w:rPr>
          <w:b/>
        </w:rPr>
        <w:t>POSSIBLE 2019:</w:t>
      </w:r>
      <w:r>
        <w:t xml:space="preserve"> Comparing different supervised machine learning algorithms for disease prediction — https://doi.org/10.1186/s12911-019-1004-8</w:t>
      </w:r>
    </w:p>
    <w:p>
      <w:pPr/>
      <w:r>
        <w:rPr>
          <w:b/>
        </w:rPr>
        <w:t>Shared claim-specific concepts:</w:t>
      </w:r>
      <w:r>
        <w:t xml:space="preserve"> important, different, considered, data; EU scope not established. This is a provisional connection, not an outcome finding.</w:t>
      </w:r>
    </w:p>
    <w:p>
      <w:pPr>
        <w:pStyle w:val="SourceNote"/>
      </w:pPr>
      <w:r>
        <w:rPr>
          <w:b/>
        </w:rPr>
        <w:t>Available abstract (not full text):</w:t>
      </w:r>
      <w:r>
        <w:t xml:space="preserve"> BACKGROUND: Supervised machine learning algorithms have been a dominant method in the data mining field. Disease prediction using health data has recently shown a potential application area for these methods. This study ai7ms to identify the key trends among different types of supervised machine learning algorithms, and their performance and usage for disease risk prediction. METHODS: In this study, extensive research efforts were made to identify those studies that applied more than one supervised machine learning algorithm on single disease prediction. Two databases (i.e., Scopus and PubMed) were searched for different types of search items. Thus, we selected 48 articles in total for the comparison among variants supervised machine learning algorithms for disease prediction. RESULTS: We found that the Support Vector Machine (SVM) algorithm is applied most frequently (in 29 studies) followed by the Naïve Bayes algorithm (in 23 studies). However, the Random Forest (RF) algorithm showed superior accuracy comparatively. Of the 17 studies where it was applied, RF showed the highest accuracy in 9 of them, i.e., 53%. This was followed by SVM which topped in 41% of the studies it was considered. CONCLUSION: This study provides a wide overview of the relative performance of different variants of supervised machine learning algorithms for disease prediction. This important information </w:t>
      </w:r>
    </w:p>
    <w:p>
      <w:pPr>
        <w:pStyle w:val="Heading2"/>
      </w:pPr>
      <w:r>
        <w:t>983.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2019:</w:t>
      </w:r>
      <w:r>
        <w:t xml:space="preserve"> Economic Reforms and the Burdens of Transition — https://doi.org/10.1017/9781108752466.005</w:t>
      </w:r>
    </w:p>
    <w:p>
      <w:pPr/>
      <w:r>
        <w:rPr>
          <w:b/>
        </w:rPr>
        <w:t>Shared claim-specific concepts:</w:t>
      </w:r>
      <w:r>
        <w:t xml:space="preserve"> starting, reforms, eurozone; EU scope visible. This is a provisional connection, not an outcome finding.</w:t>
      </w:r>
    </w:p>
    <w:p>
      <w:pPr>
        <w:pStyle w:val="SourceNote"/>
      </w:pPr>
      <w:r>
        <w:rPr>
          <w:b/>
        </w:rPr>
        <w:t>Available abstract (not full text):</w:t>
      </w:r>
      <w:r>
        <w:t xml:space="preserve">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pPr/>
      <w:r>
        <w:rPr>
          <w:b/>
        </w:rPr>
        <w:t>POSSIBLE 2018:</w:t>
      </w:r>
      <w:r>
        <w:t xml:space="preserve"> Structural reforms in Europe: a comparative overview — https://doi.org/10.51952/9781447335870.ch002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https://doi.org/10.1332/policypress/9781447335863.003.0002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https://doi.org/10.56687/9781447335870-005</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The Crisis of Functionalism and the Reform of European Economic Governance — https://doi.org/10.12797/politeja.12.2015.37.15</w:t>
      </w:r>
    </w:p>
    <w:p>
      <w:pPr/>
      <w:r>
        <w:rPr>
          <w:b/>
        </w:rPr>
        <w:t>Shared claim-specific concepts:</w:t>
      </w:r>
      <w:r>
        <w:t xml:space="preserve"> reforms, governance, eurozone; EU scope visible. This is a provisional connection, not an outcome finding.</w:t>
      </w:r>
    </w:p>
    <w:p>
      <w:pPr>
        <w:pStyle w:val="SourceNote"/>
      </w:pPr>
      <w:r>
        <w:rPr>
          <w:b/>
        </w:rPr>
        <w:t>Available abstract (not full text):</w:t>
      </w:r>
      <w:r>
        <w:t xml:space="preserve"> This paper studies the impact of the sovereign debt crisis on the development of the process of European integration and the constitutional framework of the EU. The first section focuses on the causes of the sovereign debt crisis, analysing the structural deficits and weaknesses of the Economic and Monetary Union (EMU). The second section looks at the reforms, which have been progressively adopted by the Eurozone to overcome the crisis and prevent the collapse of the single currency. The third section reflects on the longstanding contradictions of the integration process, in terms of its legitimacy and effectiveness, which the crisis has definitely highlighted demanding an effective solution. In this regard, the paper argues that the sovereign debt crisis represents a turning point in the history of European unification, marking the limits of the functionalist approach of integration and demanding a re‑launch of the constitutional project in order to provide the monetary union with a veritable economic government.</w:t>
      </w:r>
    </w:p>
    <w:p>
      <w:pPr/>
      <w:r>
        <w:rPr>
          <w:b/>
        </w:rPr>
        <w:t>POSSIBLE 2018:</w:t>
      </w:r>
      <w:r>
        <w:t xml:space="preserve"> Financial and Institutional Reforms for an Entrepreneurial Society — https://doi.org/10.1007/s11187-018-0001-0</w:t>
      </w:r>
    </w:p>
    <w:p>
      <w:pPr/>
      <w:r>
        <w:rPr>
          <w:b/>
        </w:rPr>
        <w:t>Shared claim-specific concepts:</w:t>
      </w:r>
      <w:r>
        <w:t xml:space="preserve"> reforms, three; EU scope visible. This is a provisional connection, not an outcome finding.</w:t>
      </w:r>
    </w:p>
    <w:p>
      <w:pPr>
        <w:pStyle w:val="SourceNote"/>
      </w:pPr>
      <w:r>
        <w:rPr>
          <w:b/>
        </w:rPr>
        <w:t>Available abstract (not full text):</w:t>
      </w:r>
      <w:r>
        <w:t xml:space="preserve"> In this paper, we introduce the special issue on Financial and Institutional Reforms for an Entrepreneurial Society in Europe. There are many reasons for Europe to want to make the transition to a more Entrepreneurial Society. And for decades now, policy makers are trying to bring that transition about with variations on the “educate, deregulate and finance” approach to entrepreneurship. We argue that more fundamental reforms are required to improve the entrepreneurial ecosystem and bring about this transition. We then discuss the 12 contributions that pertain to five different facets of the entrepreneurial ecosystem. The first two papers address the most fundamental institutional foundations of the ecosystem. The next three papers discuss the (lack of) access to knowledge and incentives to start innovative entrepreneurial ventures. That is followed by three papers that focus on the institutions that (fail to) channel financial resources to such ventures and two papers that analyze the relevance of labor market institutions. The special issue concludes with two papers investigating how the interplay of institutions and productive entrepreneurship results in economic growth.</w:t>
      </w:r>
    </w:p>
    <w:p>
      <w:pPr/>
      <w:r>
        <w:rPr>
          <w:b/>
        </w:rPr>
        <w:t>POSSIBLE 2017:</w:t>
      </w:r>
      <w:r>
        <w:t xml:space="preserve"> The reform of the European economic governance: critical aspects — https://openalex.org/W2786315619</w:t>
      </w:r>
    </w:p>
    <w:p>
      <w:pPr/>
      <w:r>
        <w:rPr>
          <w:b/>
        </w:rPr>
        <w:t>Shared claim-specific concepts:</w:t>
      </w:r>
      <w:r>
        <w:t xml:space="preserve"> governance, agreed; EU scope visible. This is a provisional connection, not an outcome finding.</w:t>
      </w:r>
    </w:p>
    <w:p>
      <w:pPr>
        <w:pStyle w:val="SourceNote"/>
      </w:pPr>
      <w:r>
        <w:rPr>
          <w:b/>
        </w:rPr>
        <w:t>Available abstract (not full text):</w:t>
      </w:r>
      <w:r>
        <w:t xml:space="preserve"> This work has the ambition to show and analyse some of the critical aspects of the reform of the EU economic governance put in place in the wake of the sovereign debt crisis. The analysis starts from the very reasons which brought to the birth of EMU, from the failure of the international monetary system agreed in Bretton Woods to the Maastricht Treaty.</w:t>
      </w:r>
    </w:p>
    <w:p>
      <w:pPr/>
      <w:r>
        <w:rPr>
          <w:b/>
        </w:rPr>
        <w:t>POSSIBLE 2017:</w:t>
      </w:r>
      <w:r>
        <w:t xml:space="preserve"> Reforming the European Union Emissions Trading System (EU ETS) — https://doi.org/10.14279/depositonce-5946</w:t>
      </w:r>
    </w:p>
    <w:p>
      <w:pPr/>
      <w:r>
        <w:rPr>
          <w:b/>
        </w:rPr>
        <w:t>Shared claim-specific concepts:</w:t>
      </w:r>
      <w:r>
        <w:t xml:space="preserve"> governance, three; EU scope visible. This is a provisional connection, not an outcome finding.</w:t>
      </w:r>
    </w:p>
    <w:p>
      <w:pPr>
        <w:pStyle w:val="SourceNote"/>
      </w:pPr>
      <w:r>
        <w:rPr>
          <w:b/>
        </w:rPr>
        <w:t>Available abstract (not full text):</w:t>
      </w:r>
      <w:r>
        <w:t xml:space="preserve"> Given the need to reduce greenhouse gas emissions to decrease the risk of dangerous climate change, economists have often argued in favour of carbon pricing. Carbon pricing can essentially take two forms: an emissions trading system or a carbon tax. The European Union chose the former option and implemented the EU ETS in 2005, the first large scale carbon market. As a first mover in experimenting with such regulatory instruments, the EU ETS case offers qualitative and quantitative insights of foremost importance for emerging carbon markets worldwide. This thesis is divided into two parts. Part I provides ex-post learnings on the EU ETS price formation and policy design. Part II offers an ex-ante perspective by exploring the expansion of the European carbon market. Both parts pay particular attention to a central feature of the EU ETS: its political nature as a government created market. This institutional perspective on the EU ETS, which seeks to take into consideration the impact of politics and institutions on market functioning, is at the heart of this thesis. It brings a new lens to examine emissions trading as well as draws on the experience of other policy fields, notably monetary policy. Following the drop of permit prices in the EU ETS, intense discussions emerged on the need to and modality for reforming the market, which is the focus of Part I of this thesis. Yet, eva</w:t>
      </w:r>
    </w:p>
    <w:p>
      <w:pPr/>
      <w:r>
        <w:rPr>
          <w:b/>
        </w:rPr>
        <w:t>POSSIBLE 2016:</w:t>
      </w:r>
      <w:r>
        <w:t xml:space="preserve"> THE REFORM OF NATIONAL SOCIAL-ECONOMIC SYSTEMS AND EUROPEAN REFORM — https://openalex.org/W4381135264</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The paper proposes to analyze from a national and European perspective the reform possibilities of public policies which regard the social-economic sphere. We thus take into consideration the analysis of the public policies’ evolution regarding the health system, pensions system, demographic stimulation and the undertaking of key-structural reforms for economy and administration. Resources marked as necessary for a reform are burdened by new challenges emerged on the international agenda: a new economic crisis with starting point in China, managing evolutions on fuel markets, managing the refugees exodus situation which forces the European Union’s frontiers, etc. Establishing social-economic security at national level as well as in the European Union depends on the pragmatism of economic and social policies as well as on the courage to start a reform.</w:t>
      </w:r>
    </w:p>
    <w:p>
      <w:pPr/>
      <w:r>
        <w:rPr>
          <w:b/>
        </w:rPr>
        <w:t>POSSIBLE 2016:</w:t>
      </w:r>
      <w:r>
        <w:t xml:space="preserve"> From National Enclaves to Supporting Offices: an Analysis of the 1999 Reform of European Commissioners’ Cabinets — https://doi.org/10.30950/jcer.v12i3.724</w:t>
      </w:r>
    </w:p>
    <w:p>
      <w:pPr/>
      <w:r>
        <w:rPr>
          <w:b/>
        </w:rPr>
        <w:t>Shared claim-specific concepts:</w:t>
      </w:r>
      <w:r>
        <w:t xml:space="preserve"> reforms, article, three; EU scope visible. This is a provisional connection, not an outcome finding.</w:t>
      </w:r>
    </w:p>
    <w:p>
      <w:pPr>
        <w:pStyle w:val="SourceNote"/>
      </w:pPr>
      <w:r>
        <w:rPr>
          <w:b/>
        </w:rPr>
        <w:t>Available abstract (not full text):</w:t>
      </w:r>
      <w:r>
        <w:t xml:space="preserve"> This article analyses the transformation of European commissioners’ private offices (cabinets) from national enclaves to supporting offices. Structural changes were caused by a reform by then-Commission President Prodi in 1999. To analyse this reform, a typology based on management literature is developed. The reform is characterised as ‘big bang’: it was strategically planned by a leader, transformational and affected the entire cabinet system. The most important measures were that at least three nationalities and three Commission officials were required in cabinets. These and other measures anticipated changing demands towards cabinets caused by the 2004/7 enlargement and the Kinnock reforms. This article closes a gap in research on the Commission, in which cabinets are seldom analysed in their own right. It complements earlier evidence on change in cabinets by explaining why and how structural changes evoked a functional transformation. This contributes to the broader research agenda on change in the functioning of the Commission. Content analysis of primary sources (Prodi’s speeches and publications, expert interviews and a biographic database) and recent academic publications contribute to the analysis.</w:t>
      </w:r>
    </w:p>
    <w:p>
      <w:pPr/>
      <w:r>
        <w:rPr>
          <w:b/>
        </w:rPr>
        <w:t>POSSIBLE 2014:</w:t>
      </w:r>
      <w:r>
        <w:t xml:space="preserve"> Reforming the European Union’s Common Fisheries Policy: Why was there a successful reform of the Common Fisheries Policy possible in 2013, after years of ineffective policy and unsuccessful attempts at reforms? — https://openalex.org/W1500832518</w:t>
      </w:r>
    </w:p>
    <w:p>
      <w:pPr/>
      <w:r>
        <w:rPr>
          <w:b/>
        </w:rPr>
        <w:t>Shared claim-specific concepts:</w:t>
      </w:r>
      <w:r>
        <w:t xml:space="preserve"> reforms, agreed, possible; EU scope visible. This is a provisional connection, not an outcome finding.</w:t>
      </w:r>
    </w:p>
    <w:p>
      <w:pPr>
        <w:pStyle w:val="SourceNote"/>
      </w:pPr>
      <w:r>
        <w:rPr>
          <w:b/>
        </w:rPr>
        <w:t>Available abstract (not full text):</w:t>
      </w:r>
      <w:r>
        <w:t xml:space="preserve"> In January 2014 a reformed CFP came into force in the EU. The reformed policy tackled many of the policy field’s troubled areas and offered realistic solutions for elements of the policy which had been criticised for years by academics, stakeholders and even EU institutions. The purpose of this thesis is to explain how the reformed policy came about and in doing so it adopts a case study design which allows for an in-depth study of the policy field. The thesis’ material is primarily made up of official documents and secondary sources. In order to help clear up the complexities of the recent changes and understand the process involved, a theoretical framework was created that makes use of punctuated equilibrium theory, path dependency and the concept of policy windows. The paper’s findings suggest that the reforms which came into effect in 2014 are a part of a path dependent process that dates back to the 1990s. However, in order to place the CFP on this path, an event was required to rupture the equilibrium of the policy field. This destabilising event came about through international environmental negotiations at the UN. This would allow the European Commission to act as a policy entrepreneur and push for further reaching policy changes. However, for years the Council of Ministers withstood fundamental changes and a policy window was required to create the conditions where the</w:t>
      </w:r>
    </w:p>
    <w:p>
      <w:pPr>
        <w:pStyle w:val="Heading2"/>
      </w:pPr>
      <w:r>
        <w:t>984.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2023:</w:t>
      </w:r>
      <w:r>
        <w:t xml:space="preserve"> Low flow sensitivity to water withdrawals in Central and Southwestern Europe under 2 K global warming — https://doi.org/10.1088/1748-9326/acec60</w:t>
      </w:r>
    </w:p>
    <w:p>
      <w:pPr/>
      <w:r>
        <w:rPr>
          <w:b/>
        </w:rPr>
        <w:t>Shared claim-specific concepts:</w:t>
      </w:r>
      <w:r>
        <w:t xml:space="preserve"> water, withdrawals, decrease, freshwater; EU scope visible. This is a provisional connection, not an outcome finding.</w:t>
      </w:r>
    </w:p>
    <w:p>
      <w:pPr>
        <w:pStyle w:val="SourceNote"/>
      </w:pPr>
      <w:r>
        <w:rPr>
          <w:b/>
        </w:rPr>
        <w:t>Available abstract (not full text):</w:t>
      </w:r>
      <w:r>
        <w:t xml:space="preserve">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pPr/>
      <w:r>
        <w:rPr>
          <w:b/>
        </w:rPr>
        <w:t>POSSIBLE 2023:</w:t>
      </w:r>
      <w:r>
        <w:t xml:space="preserve"> Simulated discharge statistics in Central and Southwestern Europe considering water use under 2K global warming — https://doi.org/10.5281/zenodo.8132867</w:t>
      </w:r>
    </w:p>
    <w:p>
      <w:pPr/>
      <w:r>
        <w:rPr>
          <w:b/>
        </w:rPr>
        <w:t>Shared claim-specific concepts:</w:t>
      </w:r>
      <w:r>
        <w:t xml:space="preserve"> water, withdrawals, between, resources; EU scope visible. This is a provisional connection, not an outcome finding.</w:t>
      </w:r>
    </w:p>
    <w:p>
      <w:pPr>
        <w:pStyle w:val="SourceNote"/>
      </w:pPr>
      <w:r>
        <w:rPr>
          <w:b/>
        </w:rPr>
        <w:t>Available abstract (not full text):</w:t>
      </w:r>
      <w:r>
        <w:t xml:space="preserve"> We provide a novel, high-resolution hydrological modelling dataset using pseudo-global warming climate data as forcing to the Community Water Model (CWatM). CWatM is a state-of-the-art large-scale rainfall-runoff and channel routing water resources model that is process-based and used to quantify water supply, as well as human water withdrawals from different sectors (industry, domestic, agriculture) and multiple sources representing the effects of water infrastructure, including reservoirs, groundwater pumping and irrigation canals. CWatM is forced by a pseudo-global warming (PGW) experiment from 1981 to 2010. PGW simulations resemble historical weather patterns and events under globally warmer conditions (here, 2 K global warming) by perturbing historical, reanalysis-driven regional climate simulations. We performed simulations considering regular incremental adjustments of the historical water withdrawals (ranging between +/- 50% of historic water withdrawals) under PGW conditions. That range represents an ad hoc and simplified representation of multiple possible future water management scenarios across Southwestern and Central Europe. The approach allows us to investigate the effects of changing water withdrawals under 2 K global warming. Especially in Western and Central Europe, the projected impacts on low flows highly depend on the chosen water withdrawal assumption. The</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electricity, increase, increasing;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The water, land, and carbon intensity of electricity production: The case of South Africa — https://doi.org/10.1016/j.jclepro.2023.136945</w:t>
      </w:r>
    </w:p>
    <w:p>
      <w:pPr/>
      <w:r>
        <w:rPr>
          <w:b/>
        </w:rPr>
        <w:t>Shared claim-specific concepts:</w:t>
      </w:r>
      <w:r>
        <w:t xml:space="preserve"> water, electricity, production, increase, decrease, resources; EU scope not established. This is a provisional connection, not an outcome finding.</w:t>
      </w:r>
    </w:p>
    <w:p>
      <w:pPr>
        <w:pStyle w:val="SourceNote"/>
      </w:pPr>
      <w:r>
        <w:rPr>
          <w:b/>
        </w:rPr>
        <w:t>Available abstract (not full text):</w:t>
      </w:r>
      <w:r>
        <w:t xml:space="preserve"> Electricity production has a significant impact on the Water-Energy-Food nexus sectors as it requires substantial amounts of water and land, whilst also being a primary polluter of these resources. In addition, electricity production is a key contributor to global carbon emissions . With electricity production predicted to increase by over 50% by 2050, the impact of electricity production on water and land resources , as well as on carbon emissions , will need to be significantly reduced. This is particularly important in countries facing water, energy, and food scarcity and insecurity, such as South Africa . This paper therefore investigates the impact of electricity production on the Water-Energy-Food nexus sectors and on carbon emissions in South Africa. To do this, we conduct a lifecycle assessment of the water and land required for electricity production, as well as its carbon emissions in South Africa, by electricity source, and under key scenarios. The results from the Integrated Resource Plan 2030 scenario show that despite a 34% increase in electricity production targeted from 2018 to 2030 in South Africa, the water and land requirements, and the carbon emissions of electricity production would decrease by 29%, 9%, and 5.5%, respectively. Compared to the Business-as-Usual 2030 scenario, it was shown that the water and land requirements and carbon emissions of electrici</w:t>
      </w:r>
    </w:p>
    <w:p>
      <w:pPr/>
      <w:r>
        <w:rPr>
          <w:b/>
        </w:rPr>
        <w:t>POSSIBLE 2023:</w:t>
      </w:r>
      <w:r>
        <w:t xml:space="preserve"> Optimizing biomass pathways to bioenergy and biochar application in electricity generation, biodiesel production, and biohydrogen production — https://doi.org/10.1007/s10311-023-01613-2</w:t>
      </w:r>
    </w:p>
    <w:p>
      <w:pPr/>
      <w:r>
        <w:rPr>
          <w:b/>
        </w:rPr>
        <w:t>Shared claim-specific concepts:</w:t>
      </w:r>
      <w:r>
        <w:t xml:space="preserve"> electricity, production, increase; EU scope not established. This is a provisional connection, not an outcome finding.</w:t>
      </w:r>
    </w:p>
    <w:p>
      <w:pPr>
        <w:pStyle w:val="SourceNote"/>
      </w:pPr>
      <w:r>
        <w:rPr>
          <w:b/>
        </w:rPr>
        <w:t>Available abstract (not full text):</w:t>
      </w:r>
      <w:r>
        <w:t xml:space="preserve"> Abstract The current energy crisis, depletion of fossil fuels, and global climate change have made it imperative to find alternative sources of energy that are both economically sustainable and environmentally friendly. Here we review various pathways for converting biomass into bioenergy and biochar and their applications in producing electricity, biodiesel, and biohydrogen. Biomass can be converted into biofuels using different methods, including biochemical and thermochemical conversion methods. Determining which approach is best relies on the type of biomass involved, the desired final product, and whether or not it is economically sustainable. Biochemical conversion methods are currently the most widely used for producing biofuels from biomass, accounting for approximately 80% of all biofuels produced worldwide. Ethanol and biodiesel are the most prevalent biofuels produced via biochemical conversion processes. Thermochemical conversion is less used than biochemical conversion, accounting for approximately 20% of biofuels produced worldwide. Bio-oil and syngas, commonly manufactured from wood chips, agricultural waste, and municipal solid waste, are the major biofuels produced by thermochemical conversion. Biofuels produced from biomass have the potential to displace up to 27% of the world's transportation fuel by 2050, which could result in a reduction in greenhouse gas e</w:t>
      </w:r>
    </w:p>
    <w:p>
      <w:pPr/>
      <w:r>
        <w:rPr>
          <w:b/>
        </w:rPr>
        <w:t>POSSIBLE 2022:</w:t>
      </w:r>
      <w:r>
        <w:t xml:space="preserve"> 21st Century water withdrawal decoupling: A pathway to a more water-wise world? — https://doi.org/10.1016/j.wre.2022.100197</w:t>
      </w:r>
    </w:p>
    <w:p>
      <w:pPr/>
      <w:r>
        <w:rPr>
          <w:b/>
        </w:rPr>
        <w:t>Shared claim-specific concepts:</w:t>
      </w:r>
      <w:r>
        <w:t xml:space="preserve"> water, withdrawals, increase, increasing, resources; EU scope not established. This is a provisional connection, not an outcome finding.</w:t>
      </w:r>
    </w:p>
    <w:p>
      <w:pPr>
        <w:pStyle w:val="SourceNote"/>
      </w:pPr>
      <w:r>
        <w:rPr>
          <w:b/>
        </w:rPr>
        <w:t>Available abstract (not full text):</w:t>
      </w:r>
      <w:r>
        <w:t xml:space="preserve"> Human demand for adequate water resources and supplies has been and will continue to be a fundamental issue in the 21st century due to rapid population growth, growing economies and globalization, and increasing water pollution, among others. Water withdrawals in regions which are already encountering scarcity will impose intensifying pressure on water resources locally and globally, threatening the achievement of long-term sustainable development targets. Decoupling has increasingly been recognized and incorporated in policy making as a way to reconcile limitless economic growth with environmental pressures. Filling evident literature gaps, the current state and projected future decoupling factors of water withdrawals in relation to GDP are assessed through decoupling and regression analyzes for 155 countries and 12 potential socioeconomic development pathway scenarios. Findings suggest that average levels of water withdrawal decoupling are moderate in 2025 but will increase throughout the century in all countries. By 2075, average water withdrawal decoupling becomes common and widespread, with high decoupling factors across the world. Yet, some countries and regions will continue to lag behind in this development. GDP growth is the most significant driver of water withdrawals. Climate and regional differences among countries are major influential factors on decoupling outcome</w:t>
      </w:r>
    </w:p>
    <w:p>
      <w:pPr/>
      <w:r>
        <w:rPr>
          <w:b/>
        </w:rPr>
        <w:t>POSSIBLE 2022:</w:t>
      </w:r>
      <w:r>
        <w:t xml:space="preserve"> The delusive accuracy of global irrigation water withdrawal estimates — https://doi.org/10.1038/s41467-022-30731-8</w:t>
      </w:r>
    </w:p>
    <w:p>
      <w:pPr/>
      <w:r>
        <w:rPr>
          <w:b/>
        </w:rPr>
        <w:t>Shared claim-specific concepts:</w:t>
      </w:r>
      <w:r>
        <w:t xml:space="preserve"> water, withdrawals, freshwater; EU scope not established. This is a provisional connection, not an outcome finding.</w:t>
      </w:r>
    </w:p>
    <w:p>
      <w:pPr>
        <w:pStyle w:val="SourceNote"/>
      </w:pPr>
      <w:r>
        <w:rPr>
          <w:b/>
        </w:rPr>
        <w:t>Available abstract (not full text):</w:t>
      </w:r>
      <w:r>
        <w:t xml:space="preserve"> Miscalculating the volumes of water withdrawn for irrigation, the largest consumer of freshwater in the world, jeopardizes sustainable water management. Hydrological models quantify water withdrawals, but their estimates are unduly precise. Model imperfections need to be appreciated to avoid policy misjudgements.</w:t>
      </w:r>
    </w:p>
    <w:p>
      <w:pPr/>
      <w:r>
        <w:rPr>
          <w:b/>
        </w:rPr>
        <w:t>POSSIBLE 2021:</w:t>
      </w:r>
      <w:r>
        <w:t xml:space="preserve"> Irrigated areas drive irrigation water withdrawals — https://doi.org/10.1038/s41467-021-24508-8</w:t>
      </w:r>
    </w:p>
    <w:p>
      <w:pPr/>
      <w:r>
        <w:rPr>
          <w:b/>
        </w:rPr>
        <w:t>Shared claim-specific concepts:</w:t>
      </w:r>
      <w:r>
        <w:t xml:space="preserve"> water, withdrawals, freshwater, resources; EU scope not established. This is a provisional connection, not an outcome finding.</w:t>
      </w:r>
    </w:p>
    <w:p>
      <w:pPr>
        <w:pStyle w:val="SourceNote"/>
      </w:pPr>
      <w:r>
        <w:rPr>
          <w:b/>
        </w:rPr>
        <w:t>Available abstract (not full text):</w:t>
      </w:r>
      <w:r>
        <w:t xml:space="preserve"> A sustainable management of global freshwater resources requires reliable estimates of the water demanded by irrigated agriculture. This has been attempted by the Food and Agriculture Organization (FAO) through country surveys and censuses, or through Global Models, which compute irrigation water withdrawals with sub-models on crop types and calendars, evapotranspiration, irrigation efficiencies, weather data and irrigated areas, among others. Here we demonstrate that these strategies err on the side of excess complexity, as the values reported by FAO and outputted by Global Models are largely conditioned by irrigated areas and their uncertainty. Modelling irrigation water withdrawals as a function of irrigated areas yields almost the same results in a much parsimonious way, while permitting the exploration of all model uncertainties. Our work offers a robust and more transparent approach to estimate one of the most important indicators guiding our policies on water security worldwide.</w:t>
      </w:r>
    </w:p>
    <w:p>
      <w:pPr/>
      <w:r>
        <w:rPr>
          <w:b/>
        </w:rPr>
        <w:t>POSSIBLE 2021:</w:t>
      </w:r>
      <w:r>
        <w:t xml:space="preserve"> Global water scarcity including surface water quality and expansions of clean water technologies — https://doi.org/10.1088/1748-9326/abbfc3</w:t>
      </w:r>
    </w:p>
    <w:p>
      <w:pPr/>
      <w:r>
        <w:rPr>
          <w:b/>
        </w:rPr>
        <w:t>Shared claim-specific concepts:</w:t>
      </w:r>
      <w:r>
        <w:t xml:space="preserve"> water, withdrawals, increase; EU scope not established. This is a provisional connection, not an outcome finding.</w:t>
      </w:r>
    </w:p>
    <w:p>
      <w:pPr>
        <w:pStyle w:val="SourceNote"/>
      </w:pPr>
      <w:r>
        <w:rPr>
          <w:b/>
        </w:rPr>
        <w:t>Available abstract (not full text):</w:t>
      </w:r>
      <w:r>
        <w:t xml:space="preserve"> Abstract Water scarcity threatens people in various regions, and has predominantly been studied from a water quantity perspective only. Here we show that global water scarcity is driven by both water quantity and water quality issues, and quantify expansions in clean water technologies (i.e. desalination and treated wastewater reuse) to ‘reduce the number of people suffering from water scarcity’ as urgently required by UN’s Sustainable Development Goal 6. Including water quality (i.e. water temperature, salinity, organic pollution and nutrients) contributes to an increase in percentage of world’s population currently suffering from severe water scarcity from an annual average of 30% (22%–35% monthly range; water quantity only) to 40% (31%–46%; both water quantity and quality). Water quality impacts are in particular high in severe water scarcity regions, such as in eastern China and India. In these regions, excessive sectoral water withdrawals do not only contribute to water scarcity from a water quantity perspective, but polluted return flows degrade water quality, exacerbating water scarcity. We show that expanding desalination (from 2.9 to 13.6 billion m 3 month −1 ) and treated wastewater uses (from 1.6 to 4.0 billion m 3 month −1 ) can strongly reduce water scarcity levels and the number of people affected, especially in Asia, although the side effects (e.g. brine, energy </w:t>
      </w:r>
    </w:p>
    <w:p>
      <w:pPr>
        <w:pStyle w:val="Heading2"/>
      </w:pPr>
      <w:r>
        <w:t>985.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2023:</w:t>
      </w:r>
      <w:r>
        <w:t xml:space="preserve"> Bridging dialogic pedagogy and argumentation theory through critical questions — https://doi.org/10.5195/dpj.2023.548</w:t>
      </w:r>
    </w:p>
    <w:p>
      <w:pPr/>
      <w:r>
        <w:rPr>
          <w:b/>
        </w:rPr>
        <w:t>Shared claim-specific concepts:</w:t>
      </w:r>
      <w:r>
        <w:t xml:space="preserve"> critical, considered, article, construct; EU scope not established. This is a provisional connection, not an outcome finding.</w:t>
      </w:r>
    </w:p>
    <w:p>
      <w:pPr>
        <w:pStyle w:val="SourceNote"/>
      </w:pPr>
      <w:r>
        <w:rPr>
          <w:b/>
        </w:rPr>
        <w:t>Available abstract (not full text):</w:t>
      </w:r>
      <w:r>
        <w:t xml:space="preserve">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pPr/>
      <w:r>
        <w:rPr>
          <w:b/>
        </w:rPr>
        <w:t>POSSIBLE 2023:</w:t>
      </w:r>
      <w:r>
        <w:t xml:space="preserve"> ‘And yet’ … Critical questions, complicated conversations: curating a TYA curriculum — https://doi.org/10.1080/13569783.2023.2232734</w:t>
      </w:r>
    </w:p>
    <w:p>
      <w:pPr/>
      <w:r>
        <w:rPr>
          <w:b/>
        </w:rPr>
        <w:t>Shared claim-specific concepts:</w:t>
      </w:r>
      <w:r>
        <w:t xml:space="preserve"> critical, considered, article; EU scope not established. This is a provisional connection, not an outcome finding.</w:t>
      </w:r>
    </w:p>
    <w:p>
      <w:pPr>
        <w:pStyle w:val="SourceNote"/>
      </w:pPr>
      <w:r>
        <w:rPr>
          <w:b/>
        </w:rPr>
        <w:t>Available abstract (not full text):</w:t>
      </w:r>
      <w:r>
        <w:t xml:space="preserve">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pPr/>
      <w:r>
        <w:rPr>
          <w:b/>
        </w:rPr>
        <w:t>POSSIBLE 2022:</w:t>
      </w:r>
      <w:r>
        <w:t xml:space="preserve"> A Network of Argumentation Schemes and Critical Questions — https://doi.org/10.22329/il.v42i4.6877</w:t>
      </w:r>
    </w:p>
    <w:p>
      <w:pPr/>
      <w:r>
        <w:rPr>
          <w:b/>
        </w:rPr>
        <w:t>Shared claim-specific concepts:</w:t>
      </w:r>
      <w:r>
        <w:t xml:space="preserve"> critical, use, construct; EU scope not established. This is a provisional connection, not an outcome finding.</w:t>
      </w:r>
    </w:p>
    <w:p>
      <w:pPr>
        <w:pStyle w:val="SourceNote"/>
      </w:pPr>
      <w:r>
        <w:rPr>
          <w:b/>
        </w:rPr>
        <w:t>Available abstract (not full text):</w:t>
      </w:r>
      <w:r>
        <w:t xml:space="preserve"> In this paper, we devise a network that consists of argumentation schemes and critical questions that participants in debates can use to easily construct arguments that attack or support former arguments. As a prototype, we build a potential network of argumentation schemes and critical questions with a practical reasoning scheme at its center. The usefulness of a NASCQ in constructing and reconstructing complex arguments and in formal argumentation is also explored along with argumentation more broadly.</w:t>
      </w:r>
    </w:p>
    <w:p>
      <w:pPr/>
      <w:r>
        <w:rPr>
          <w:b/>
        </w:rPr>
        <w:t>POSSIBLE 2020:</w:t>
      </w:r>
      <w:r>
        <w:t xml:space="preserve"> Massive islands — https://doi.org/10.1007/jhep09(2020)121</w:t>
      </w:r>
    </w:p>
    <w:p>
      <w:pPr/>
      <w:r>
        <w:rPr>
          <w:b/>
        </w:rPr>
        <w:t>Shared claim-specific concepts:</w:t>
      </w:r>
      <w:r>
        <w:t xml:space="preserve"> question, massive, use; EU scope not established. This is a provisional connection, not an outcome finding.</w:t>
      </w:r>
    </w:p>
    <w:p>
      <w:pPr>
        <w:pStyle w:val="SourceNote"/>
      </w:pPr>
      <w:r>
        <w:rPr>
          <w:b/>
        </w:rPr>
        <w:t>Available abstract (not full text):</w:t>
      </w:r>
      <w:r>
        <w:t xml:space="preserve"> A bstract We comment on the role of the graviton mass in recent calculations of the Page curve using holographic ideas. All reliable calculations of the Page curve in more than 2+1 spacetime dimensions have been performed in systems with massive gravitons. A crucial ingredient in these calculations is the formation of islands, regions that contribute to the entropy of degrees of freedom located elsewhere. While most often simply ignored, it is indeed true that mass of the graviton does not appear to significantly affect the calculations that appeared in the literature. We use the freedom to change the graviton mass to give an extremely simple model of analytically tractable island formation in general dimensions. We do however note that if one attempts to take the limit of zero graviton mass, any contribution from the islands disappears. This raises the question to what extent entanglement islands can play a role in standard massless gravity.</w:t>
      </w:r>
    </w:p>
    <w:p>
      <w:pPr/>
      <w:r>
        <w:rPr>
          <w:b/>
        </w:rPr>
        <w:t>POSSIBLE 2019:</w:t>
      </w:r>
      <w:r>
        <w:t xml:space="preserve"> Facial recognition technology in schools: critical questions and concerns — https://doi.org/10.1080/17439884.2020.1686014</w:t>
      </w:r>
    </w:p>
    <w:p>
      <w:pPr/>
      <w:r>
        <w:rPr>
          <w:b/>
        </w:rPr>
        <w:t>Shared claim-specific concepts:</w:t>
      </w:r>
      <w:r>
        <w:t xml:space="preserve"> critical, question, article, whether; EU scope not established. This is a provisional connection, not an outcome finding.</w:t>
      </w:r>
    </w:p>
    <w:p>
      <w:pPr>
        <w:pStyle w:val="SourceNote"/>
      </w:pPr>
      <w:r>
        <w:rPr>
          <w:b/>
        </w:rPr>
        <w:t>Available abstract (not full text):</w:t>
      </w:r>
      <w:r>
        <w:t xml:space="preserve"> Facial recognition technology is now being introduced across various aspects of public life. This includes the burgeoning integration of facial recognition and facial detection into compulsory schooling to address issues such as campus security, automated registration and student emotion detection. So far, these technologies have largely been seen as routine additions to school systems with already extensive cultures of monitoring and surveillance. While critical commentators are beginning to question the pedagogical limitations of facially driven learning, other this article contends that school-based facial recognition presents a number of other social challenges and concerns that merit specific attention. This includes the likelihood of facial recognition technology altering the nature of schools and schooling along divisive, authoritarian and oppressive lines. Against this background, the article considers whether or not a valid case can ever be made for allowing this form of technology in schools.</w:t>
      </w:r>
    </w:p>
    <w:p>
      <w:pPr/>
      <w:r>
        <w:rPr>
          <w:b/>
        </w:rPr>
        <w:t>POSSIBLE 2018:</w:t>
      </w:r>
      <w:r>
        <w:t xml:space="preserve"> Some critical questions — https://doi.org/10.4324/9780429431333-4</w:t>
      </w:r>
    </w:p>
    <w:p>
      <w:pPr/>
      <w:r>
        <w:rPr>
          <w:b/>
        </w:rPr>
        <w:t>Shared claim-specific concepts:</w:t>
      </w:r>
      <w:r>
        <w:t xml:space="preserve"> critical, question, considered, whether; EU scope not established. This is a provisional connection, not an outcome finding.</w:t>
      </w:r>
    </w:p>
    <w:p>
      <w:pPr>
        <w:pStyle w:val="SourceNote"/>
      </w:pPr>
      <w:r>
        <w:rPr>
          <w:b/>
        </w:rPr>
        <w:t>Available abstract (not full text):</w:t>
      </w:r>
      <w:r>
        <w:t xml:space="preserve"> This chapter is concerned with the main questions that should be asked about social work recording, including some already raised in the literature. N. S. Dumas has asked such a question in connection with the American Rehabilitation Service. He indicated that the answer depended on whether or not the following assumptions held good: that the critical deficiency under which most rehabilitation workers operate is the lack of relevant information and that better communication among rehabilitation personnel improve organizational performances. Ada Eliot Sheffield identified the topical and chronological organization of the narrative. Sheffield saw some advantages of chronological recording. Discussions of recording in methods of work other than social casework are by no means numerous, but it is clear that recording is considered of very great importance in groupwork, community work and residential work. George W. Goetschius offers one way of recording in community work, but suggests exhaustively that systems of recording will differ according to agency policy, and field-work circumstances.</w:t>
      </w:r>
    </w:p>
    <w:p>
      <w:pPr/>
      <w:r>
        <w:rPr>
          <w:b/>
        </w:rPr>
        <w:t>POSSIBLE 2017:</w:t>
      </w:r>
      <w:r>
        <w:t xml:space="preserve"> On Critical Service Recovery After Massive Network Failures — https://doi.org/10.1109/tnet.2017.2688330</w:t>
      </w:r>
    </w:p>
    <w:p>
      <w:pPr/>
      <w:r>
        <w:rPr>
          <w:b/>
        </w:rPr>
        <w:t>Shared claim-specific concepts:</w:t>
      </w:r>
      <w:r>
        <w:t xml:space="preserve"> critical, massive, use; EU scope not established. This is a provisional connection, not an outcome finding.</w:t>
      </w:r>
    </w:p>
    <w:p>
      <w:pPr>
        <w:pStyle w:val="SourceNote"/>
      </w:pPr>
      <w:r>
        <w:rPr>
          <w:b/>
        </w:rPr>
        <w:t>Available abstract (not full text):</w:t>
      </w:r>
      <w:r>
        <w:t xml:space="preserve"> This paper addresses the problem of efficiently restoring sufficient resources in a communications network to support the demand of mission critical services after a large-scale disruption. We give a formulation of the problem as a mixed integer linear programming and show that it is NP-hard. We propose a polynomial time heuristic, called iterative split and prune (ISP) that decomposes the original problem recursively into smaller problems, until it determines the set of network components to be restored. ISP's decisions are guided by the use of a new notion of demand-based centrality of nodes. We performed extensive simulations by varying the topologies, the demand intensity, the number of critical services, and the disruption model. Compared with several greedy approaches, ISP performs better in terms of total cost of repaired components, and does not result in any demand loss. It performs very close to the optimal when the demand is low with respect to the supply network capacities, thanks to the ability of the algorithm to maximize sharing of repaired resources.</w:t>
      </w:r>
    </w:p>
    <w:p>
      <w:pPr/>
      <w:r>
        <w:rPr>
          <w:b/>
        </w:rPr>
        <w:t>POSSIBLE 2017:</w:t>
      </w:r>
      <w:r>
        <w:t xml:space="preserve"> Critical discussions on the Massive Open Online Course (MOOC) in India and China — https://openalex.org/W2780843825</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Massive Open Online Courses (MOOCs) have been a relatively recent entrant in the field of online learning, yet with their “massiveness” and “openness” were posited to have the potential to transform learning and development in developing countries by providing willing learners with ready access to knowledge and Higher Education (HE). Early research has shown that MOOCs have mostly been deepening, rather than broadening, access to education. Yet they have strengthened in numbers since their inception. The current article situates the discourse around MOOCs from the unique perspectives of India and China with three broad objectives of sharing MOOC development in these countries, conducting a high-level discussion of the potential value of MOOCs for their HE systems and critiquing current issues with MOOC development there. This discussion is timely, since MOOC discourse in the international literature has swung between trumpeting MOOCs as “disruptive” technologies to warning of the “MOOC delusion”. We find that the concept and practice of MOOC in India and China are emerging. From the supply side, there is a need to focus on sound design, quality and accessible delivery, multi-lingual facilitation and efficient regulation of MOOC-credits, besides development of critical literacies for MOOCs in learners to realize the potential and promise of the MOOC.</w:t>
      </w:r>
    </w:p>
    <w:p>
      <w:pPr>
        <w:pStyle w:val="Heading2"/>
      </w:pPr>
      <w:r>
        <w:t>986.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2021:</w:t>
      </w:r>
      <w:r>
        <w:t xml:space="preserve"> The role of demand response in the future renewable northern European energy system — https://doi.org/10.1016/j.energy.2021.121336</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pPr/>
      <w:r>
        <w:rPr>
          <w:b/>
        </w:rPr>
        <w:t>POSSIBLE 2020:</w:t>
      </w:r>
      <w:r>
        <w:t xml:space="preserve"> Organ donation in the US and Europe: The supply vs demand imbalance — https://doi.org/10.1016/j.trre.2020.100585</w:t>
      </w:r>
    </w:p>
    <w:p>
      <w:pPr/>
      <w:r>
        <w:rPr>
          <w:b/>
        </w:rPr>
        <w:t>Shared claim-specific concepts:</w:t>
      </w:r>
      <w:r>
        <w:t xml:space="preserve"> increasing, gap; EU scope visible. This is a provisional connection, not an outcome finding.</w:t>
      </w:r>
    </w:p>
    <w:p>
      <w:pPr>
        <w:pStyle w:val="SourceNote"/>
      </w:pPr>
      <w:r>
        <w:rPr>
          <w:b/>
        </w:rPr>
        <w:t>Available abstract (not full text):</w:t>
      </w:r>
      <w:r>
        <w:t xml:space="preserve"> Organ donation and transplantation remain the best and most cost-effective clinical solution for end-stage organ failure. Several agencies across the US and Europe provide legislative, regulatory, and humanitarian services to generate smoother applications in all transplantation processes and donor-recipient relationships. US and European statistics present nine types of grafts, with kidneys being the most transplanted organ worldwide. However, organ shortage, religion, underrepresented minority groups, difficulties in obtaining consent, lack of understanding, and general ethical concerns present challenging barriers to organ donation, reflecting the complexity of graft procurement and allocation. Breaking down these barriers to reduce the organ-supply imbalance requires an appropriate multifaceted approach. Some of the key areas include increasing the potential donor pool and consent rates, apt organ allocation, and improving organ health. Additionally, suitable policies and standardized guidelines for both donors and recipients, alongside educational initiatives, are needed to ensure patient safety and global awareness. Looking forward, novel and effective research plans and initiatives are needed if we are to avoid a colossal supply-demand gap.</w:t>
      </w:r>
    </w:p>
    <w:p>
      <w:pPr/>
      <w:r>
        <w:rPr>
          <w:b/>
        </w:rPr>
        <w:t>POSSIBLE 2020:</w:t>
      </w:r>
      <w:r>
        <w:t xml:space="preserve"> Location Dependent Spectrum Pricing of Private LTE and 5G Networks in Europe — https://doi.org/10.21203/rs.3.rs-21169/v1</w:t>
      </w:r>
    </w:p>
    <w:p>
      <w:pPr/>
      <w:r>
        <w:rPr>
          <w:b/>
        </w:rPr>
        <w:t>Shared claim-specific concepts:</w:t>
      </w:r>
      <w:r>
        <w:t xml:space="preserve"> dependent; EU scope visible. This is a provisional connection, not an outcome finding.</w:t>
      </w:r>
    </w:p>
    <w:p>
      <w:pPr>
        <w:pStyle w:val="SourceNote"/>
      </w:pPr>
      <w:r>
        <w:rPr>
          <w:b/>
        </w:rPr>
        <w:t>Available abstract (not full text):</w:t>
      </w:r>
      <w:r>
        <w:t xml:space="preserve"> Abstract Emerging private LTE and 5G services and applications have created need for local radio spectrum licensing. The existing pricing models for licenses do not work well in this context. This paper introduces three new location dependent pricing methods that aim to produce more accurate pricing for local licenses. We use Traficom Frequency Fee as our base-case general spectrum pricing model, and we replace the population density based location coefficient with proxies such as employee density, value added per employee, and rent prices. By comparing the differences in the prices yielded by the models, we show that the new models can in some cases identify high demand areas like hospitals and industrial districts better than the original population density based model. Additionally, we conclude that the original population density based model and the new employee density based model could be used together to capture both the consumer and the industrial spectrum demand simultaneously.</w:t>
      </w:r>
    </w:p>
    <w:p>
      <w:pPr/>
      <w:r>
        <w:rPr>
          <w:b/>
        </w:rPr>
        <w:t>POSSIBLE 2019:</w:t>
      </w:r>
      <w:r>
        <w:t xml:space="preserve"> How Does Credit Supply Expansion Affect the Real Economy? The Productive Capacity and Household Demand Channels — https://doi.org/10.1111/jofi.12869</w:t>
      </w:r>
    </w:p>
    <w:p>
      <w:pPr/>
      <w:r>
        <w:rPr>
          <w:b/>
        </w:rPr>
        <w:t>Shared claim-specific concepts:</w:t>
      </w:r>
      <w:r>
        <w:t xml:space="preserve"> expansion, increasing; EU scope not established. This is a provisional connection, not an outcome finding.</w:t>
      </w:r>
    </w:p>
    <w:p>
      <w:pPr>
        <w:pStyle w:val="SourceNote"/>
      </w:pPr>
      <w:r>
        <w:rPr>
          <w:b/>
        </w:rPr>
        <w:t>Available abstract (not full text):</w:t>
      </w:r>
      <w:r>
        <w:t xml:space="preserve"> ABSTRACT Credit supply expansion can affect an economy by increasing productive capacity or by boosting household demand. In this study, we develop a test to determine if the household demand channel is present, and we implement the test using both a natural experiment in the United States in the 1980s and an international panel of 56 countries over the last several decades. Consistent with the importance of the household demand channel, we find that credit supply expansion boosts nontradable sector employment and the price of nontradable goods, with limited effects on tradable sector employment. Such credit expansions amplify the business cycle and lead to more severe recessions.</w:t>
      </w:r>
    </w:p>
    <w:p>
      <w:pPr/>
      <w:r>
        <w:rPr>
          <w:b/>
        </w:rPr>
        <w:t>POSSIBLE 2019:</w:t>
      </w:r>
      <w:r>
        <w:t xml:space="preserve"> Stam Portugal and its expansion through Europe — https://openalex.org/W2971433702</w:t>
      </w:r>
    </w:p>
    <w:p>
      <w:pPr/>
      <w:r>
        <w:rPr>
          <w:b/>
        </w:rPr>
        <w:t>Shared claim-specific concepts:</w:t>
      </w:r>
      <w:r>
        <w:t xml:space="preserve"> expansion, increasing, gap; EU scope visible. This is a provisional connection, not an outcome finding.</w:t>
      </w:r>
    </w:p>
    <w:p>
      <w:pPr>
        <w:pStyle w:val="SourceNote"/>
      </w:pPr>
      <w:r>
        <w:rPr>
          <w:b/>
        </w:rPr>
        <w:t>Available abstract (not full text):</w:t>
      </w:r>
      <w:r>
        <w:t xml:space="preserve"> Executive Summary (1/2) -This internationalization project is structured in 3 phases.It starts with a brief overview of the company and the industry, followed by the Strategic Decisions (Market Selection, Resources and Capabilities, Entry Modes and Distribution Channels), ending with a Business Plan for a 6-year period (Marketing, Operational and Financial) -Stam was founded 47 years ago by an entrepreneur, Francisco Faria, and it is, today, the leader in the Brazilian market of locks and padlocks.The company's excess capacity in Brazil and the connections of its shareholders to the European market created the desire to expand the business overseas, having as final goal increasing its profits.Stam Brazil and the other shareholders intend to open a logistics centre in Portugal and expand in the padlock segment to 2-3 countries in the next 3-5 years-Starting with the Market Selection, Country Clustering and Country Ranking were the first steps to select the best markets for Stam to enter Europe.They were used to assess the attractiveness of the European Union Countries.From the Country Clustering, the Western Cluster was identified as the most suitable option, and through the Country Ranking, it was possible to conclude that the top 5 most attractive countries were Belgium, France, Italy, Luxembourg, and Spain -The final step in this Market Selection is to perform an In-Depth Ana</w:t>
      </w:r>
    </w:p>
    <w:p>
      <w:pPr/>
      <w:r>
        <w:rPr>
          <w:b/>
        </w:rPr>
        <w:t>POSSIBLE 2018:</w:t>
      </w:r>
      <w:r>
        <w:t xml:space="preserve"> Robust demand should continue in 2018 — https://doi.org/10.1021/cen-09602-cover9</w:t>
      </w:r>
    </w:p>
    <w:p>
      <w:pPr/>
      <w:r>
        <w:rPr>
          <w:b/>
        </w:rPr>
        <w:t>Shared claim-specific concepts:</w:t>
      </w:r>
      <w:r>
        <w:t xml:space="preserve"> likely, continued, expansion, production; EU scope visible. This is a provisional connection, not an outcome finding.</w:t>
      </w:r>
    </w:p>
    <w:p>
      <w:pPr>
        <w:pStyle w:val="SourceNote"/>
      </w:pPr>
      <w:r>
        <w:rPr>
          <w:b/>
        </w:rPr>
        <w:t>Available abstract (not full text):</w:t>
      </w:r>
      <w:r>
        <w:t xml:space="preserve"> Persistent growth in the U.S., continued economic expansion in Asia, and a renewal of demand in Europe all bode well for specialty chemical output in 2018, according to the American Chemistry Council. The trade association projects a 3.0% global production rise in 2018 after a 2.5% increase in 2017. Ever optimistic, ACC had expected output to jump 3.3% in 2017. But despite an overall pickup in the global economy, some industries that depend on specialty chemicals, such as oil and gas drilling, were weak, ACC says. Industry observers say the elements are in place for a better 2018. Ray Will, a director at the consulting firm IHS Markit, discerns a number of trends likely to increase demand for specialty chemicals. Among them are a shift to electric vehicles and a move away from the use of fluorochemical coolants in home refrigerators. China, Will says, plans to establish a system of</w:t>
      </w:r>
    </w:p>
    <w:p>
      <w:pPr/>
      <w:r>
        <w:rPr>
          <w:b/>
        </w:rPr>
        <w:t>POSSIBLE 2018:</w:t>
      </w:r>
      <w:r>
        <w:t xml:space="preserve"> A review of demand side flexibility potential in Northern Europe — https://doi.org/10.1016/j.rser.2018.03.104</w:t>
      </w:r>
    </w:p>
    <w:p>
      <w:pPr/>
      <w:r>
        <w:rPr>
          <w:b/>
        </w:rPr>
        <w:t>Shared claim-specific concepts:</w:t>
      </w:r>
      <w:r>
        <w:t xml:space="preserve"> increasing, production, between; EU scope visible. This is a provisional connection, not an outcome finding.</w:t>
      </w:r>
    </w:p>
    <w:p>
      <w:pPr>
        <w:pStyle w:val="SourceNote"/>
      </w:pPr>
      <w:r>
        <w:rPr>
          <w:b/>
        </w:rPr>
        <w:t>Available abstract (not full text):</w:t>
      </w:r>
      <w:r>
        <w:t xml:space="preserve"> The number of regional and national power systems with a high share of wind and solar power in the world is quickly increasing. The background for this development is improved technology, decreasing costs, and increased concern regarding environmental problems of competing technologies such as fossil fuels . For the future there are large possibilities for increasing the renewable electricity share. However, variable renewable power production has to be balanced. Demand side flexibility offers an interesting approach to the balancing issues. The aim of this paper is to compare flexibility potentials and how they were estimated in seven Northern European countries in order to compare general challenges and results as well as the connection between used method and results. The total flexibility is estimated to 12–23 GW in a system with a total peak load of 77 GW.</w:t>
      </w:r>
    </w:p>
    <w:p>
      <w:pPr/>
      <w:r>
        <w:rPr>
          <w:b/>
        </w:rPr>
        <w:t>POSSIBLE 2018:</w:t>
      </w:r>
      <w:r>
        <w:t xml:space="preserve"> Cereal yield gaps across Europe — https://doi.org/10.1016/j.eja.2018.09.003</w:t>
      </w:r>
    </w:p>
    <w:p>
      <w:pPr/>
      <w:r>
        <w:rPr>
          <w:b/>
        </w:rPr>
        <w:t>Shared claim-specific concepts:</w:t>
      </w:r>
      <w:r>
        <w:t xml:space="preserve"> whether, increasing, production, gap, between, food; EU scope visible. This is a provisional connection, not an outcome finding.</w:t>
      </w:r>
    </w:p>
    <w:p>
      <w:pPr>
        <w:pStyle w:val="SourceNote"/>
      </w:pPr>
      <w:r>
        <w:rPr>
          <w:b/>
        </w:rPr>
        <w:t>Available abstract (not full text):</w:t>
      </w:r>
      <w:r>
        <w:t xml:space="preserve"> Europe accounts for around 20% of the global cereal production and is a net exporter of ca. 15% of that production. Increasing global demand for cereals justifies questions as to where and by how much Europe’s production can be increased to meet future global market demands, and how much additional nitrogen (N) crops would require. The latter is important as environmental concern and legislation are equally important as production aims in Europe. Here, we used a country-by-country, bottom-up approach to establish statistical estimates of actual grain yield, and compare these to modelled estimates of potential yields for either irrigated or rainfed conditions. In this way, we identified the yield gaps and the opportunities for increased cereal production for wheat, barley and maize, which represent 90% of the cereals grown in Europe. The combined mean annual yield gap of wheat, barley, maize was 239 Mt, or 42% of the yield potential. The national yield gaps ranged between 10 and 70%, with small gaps in many north-western European countries, and large gaps in eastern and south-western Europe. Yield gaps for rainfed and irrigated maize were consistently lower than those of wheat and barley. If the yield gaps of maize, wheat and barley would be reduced from 42% to 20% of potential yields, this would increase annual cereal production by 128 Mt (39%). Potential for higher cereal prod</w:t>
      </w:r>
    </w:p>
    <w:p>
      <w:pPr/>
      <w:r>
        <w:rPr>
          <w:b/>
        </w:rPr>
        <w:t>POSSIBLE 2016:</w:t>
      </w:r>
      <w:r>
        <w:t xml:space="preserve"> Impacts of +2 °C global warming on winter tourism demand in Europe — https://doi.org/10.1016/j.cliser.2016.07.003</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temperatures and snow scarce winter seasons challenge the winter tourism industry. In this study the impacts of +2 °C global warming on winter tourism demand in Europe’s ski tourism related NUTS-3 regions are quantified. Using time series regression models, the relationship between natural snow conditions and monthly overnight stays is estimated. Based on these model results, we quantify the risk of tourism demand losses due to weather variability and assess the potential impacts of climate change. Hereby, the concept of Weather-Value at Risk (0.95) is applied. Snow data are provided by the hydrological model VIC, which is forced by E-OBS data to obtain historical snow values for tourism model calibration and forced by EURO-CORDEX climate simulations to obtain snow projections until 2100. Under +2 °C warming, the weather-induced risk of losses in winter overnight stays related to skiing tourism in Europe amounts to up to 10.1 million nights per winter season, which is +7.3 million overnight stays additionally at risk compared to the reference period (1971–2000). Among the top four European skiing tourism nations – Austria, France, Italy and Switzerland – France and Switzerland show the lowest increase in risk of losses in winter overnight stays. The highest weather-induced risk of losses in winter overnight stays – in the reference period as well as in the +2 °C scen</w:t>
      </w:r>
    </w:p>
    <w:p>
      <w:pPr/>
      <w:r>
        <w:rPr>
          <w:b/>
        </w:rPr>
        <w:t>POSSIBLE 2015:</w:t>
      </w:r>
      <w:r>
        <w:t xml:space="preserve"> Global biomass production potentials exceed expected future demand without the need for cropland expansion — https://doi.org/10.1038/ncomms9946</w:t>
      </w:r>
    </w:p>
    <w:p>
      <w:pPr/>
      <w:r>
        <w:rPr>
          <w:b/>
        </w:rPr>
        <w:t>Shared claim-specific concepts:</w:t>
      </w:r>
      <w:r>
        <w:t xml:space="preserve"> expansion, increasing, production, between; EU scope not established. This is a provisional connection, not an outcome finding.</w:t>
      </w:r>
    </w:p>
    <w:p>
      <w:pPr>
        <w:pStyle w:val="SourceNote"/>
      </w:pPr>
      <w:r>
        <w:rPr>
          <w:b/>
        </w:rPr>
        <w:t>Available abstract (not full text):</w:t>
      </w:r>
      <w:r>
        <w:t xml:space="preserve"> Global biomass demand is expected to roughly double between 2005 and 2050. Current studies suggest that agricultural intensification through optimally managed crops on today's cropland alone is insufficient to satisfy future demand. In practice though, improving crop growth management through better technology and knowledge almost inevitably goes along with (1) improving farm management with increased cropping intensity and more annual harvests where feasible and (2) an economically more efficient spatial allocation of crops which maximizes farmers' profit. By explicitly considering these two factors we show that, without expansion of cropland, today's global biomass potentials substantially exceed previous estimates and even 2050s' demands. We attribute 39% increase in estimated global production potentials to increasing cropping intensities and 30% to the spatial reallocation of crops to their profit-maximizing locations. The additional potentials would make cropland expansion redundant. Their geographic distribution points at possible hotspots for future intensification.</w:t>
      </w:r>
    </w:p>
    <w:p>
      <w:pPr>
        <w:pStyle w:val="Heading2"/>
      </w:pPr>
      <w:r>
        <w:t>987.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according, lower, negative;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The Impact of Patient Support Programs in Europe: A Systematic Literature Review — https://doi.org/10.1007/s40271-022-00582-y</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pPr/>
      <w:r>
        <w:rPr>
          <w:b/>
        </w:rPr>
        <w:t>POSSIBLE 2021:</w:t>
      </w:r>
      <w:r>
        <w:t xml:space="preserve"> The Evolutionarily Mismatched Impact of Urbanization on Insomnia Symptoms: a Short Review of the Recent Literature — https://doi.org/10.1007/s11920-021-01239-7</w:t>
      </w:r>
    </w:p>
    <w:p>
      <w:pPr/>
      <w:r>
        <w:rPr>
          <w:b/>
        </w:rPr>
        <w:t>Shared claim-specific concepts:</w:t>
      </w:r>
      <w:r>
        <w:t xml:space="preserve"> recent, literature, majority; EU scope not established. This is a provisional connection, not an outcome finding.</w:t>
      </w:r>
    </w:p>
    <w:p>
      <w:pPr>
        <w:pStyle w:val="SourceNote"/>
      </w:pPr>
      <w:r>
        <w:rPr>
          <w:b/>
        </w:rPr>
        <w:t>Available abstract (not full text):</w:t>
      </w:r>
      <w:r>
        <w:t xml:space="preserve"> PURPOSE OF REVIEW: For the most part of human existence, individuals have been living a rural lifestyle in a rural setting. However, such sleep-conducive conditions have largely been transformed dramatically by urbanization within a relatively short span of time in recent history, and the resulting evolved mechanisms-environment mismatch is theorized to bring about an increased risk for insomnia symptoms. This brief review of the recent literature is designed to evaluate the veracity of this proposition. RECENT FINDINGS: The majority of recent findings have suggested that most proposed evolutionarily mismatched urban factors are indeed related to the presence of insomnia symptoms. However, there is a general paucity of longitudinal evidence (and for some other factors, a lack of enough evidence of any kind). Although there is a preponderance of recent findings indicating a link between evolutionarily mismatched urban phenomena and insomnia symptoms, more longitudinal data are needed before any causative conclusion can be drawn.</w:t>
      </w:r>
    </w:p>
    <w:p>
      <w:pPr/>
      <w:r>
        <w:rPr>
          <w:b/>
        </w:rPr>
        <w:t>POSSIBLE 2020:</w:t>
      </w:r>
      <w:r>
        <w:t xml:space="preserve"> Migrants’ and refugees’ health status and healthcare in Europe: a scoping literature review — https://doi.org/10.1186/s12889-020-08749-8</w:t>
      </w:r>
    </w:p>
    <w:p>
      <w:pPr/>
      <w:r>
        <w:rPr>
          <w:b/>
        </w:rPr>
        <w:t>Shared claim-specific concepts:</w:t>
      </w:r>
      <w:r>
        <w:t xml:space="preserve"> literature, difficult, population; EU scope visible. This is a provisional connection, not an outcome finding.</w:t>
      </w:r>
    </w:p>
    <w:p>
      <w:pPr>
        <w:pStyle w:val="SourceNote"/>
      </w:pPr>
      <w:r>
        <w:rPr>
          <w:b/>
        </w:rPr>
        <w:t>Available abstract (not full text):</w:t>
      </w:r>
      <w:r>
        <w:t xml:space="preserve"> BACKGROUND: There is increasing attention paid to the arrival of migrants from outwith the EU region to the European countries. Healthcare that is universally and equably accessible needs to be provided for these migrants throughout the range of national contexts and in response to complex and evolving individual needs. It is important to look at the evidence available on provision and access to healthcare for migrants to identify barriers to accessing healthcare and better plan necessary changes. METHODS: This review scoped 77 papers from nine European countries (Austria, Cyprus, France, Germany, Greece, Italy, Malta, Spain, and Sweden) in English and in country-specific languages in order to provide an overview of migrants' access to healthcare. The review aims at identifying what is known about access to healthcare as well as healthcare use of migrants and refugees in the EU member states. The evidence included documents from 2011 onwards. RESULTS: The literature reviewed confirms that despite the aspiration to ensure equality of access to healthcare, there is evidence of persistent inequalities between migrants and non-migrants in access to healthcare services. The evidence shows unmet healthcare needs, especially when it comes to mental and dental health as well as the existence of legal barriers in accessing healthcare. Language and communication barriers, overuse of emer</w:t>
      </w:r>
    </w:p>
    <w:p>
      <w:pPr/>
      <w:r>
        <w:rPr>
          <w:b/>
        </w:rPr>
        <w:t>POSSIBLE 2018:</w:t>
      </w:r>
      <w:r>
        <w:t xml:space="preserve"> The European media discourse on immigration and its effects: a literature review — https://doi.org/10.1080/23808985.2018.1497452</w:t>
      </w:r>
    </w:p>
    <w:p>
      <w:pPr/>
      <w:r>
        <w:rPr>
          <w:b/>
        </w:rPr>
        <w:t>Shared claim-specific concepts:</w:t>
      </w:r>
      <w:r>
        <w:t xml:space="preserve"> literature, shown, leads, negative; EU scope visible. This is a provisional connection, not an outcome finding.</w:t>
      </w:r>
    </w:p>
    <w:p>
      <w:pPr>
        <w:pStyle w:val="SourceNote"/>
      </w:pPr>
      <w:r>
        <w:rPr>
          <w:b/>
        </w:rPr>
        <w:t>Available abstract (not full text):</w:t>
      </w:r>
      <w:r>
        <w:t xml:space="preserve"> To understand public opinion about immigration in Europe, one has to understand the media’s role in it. We present a literature review on research on media discourse on immigration and their effects. Despite differences in the way immigration and migrant groups are represented in European media, we can observe common patterns. Migrants are generally under-represented and shown as delinquents or criminals. Although, media framing differs based on specific migrant groups the discourse is focusing on, immigration coverage is often negative and conflict-centred. Frequent exposure to such media messages leads to negative attitudes towards migration, may activate stereotypical cognitions of migrant groups, and even influence vote choice. In addition to discussing these issues in depth, the present review also focuses on comparative findings.</w:t>
      </w:r>
    </w:p>
    <w:p>
      <w:pPr/>
      <w:r>
        <w:rPr>
          <w:b/>
        </w:rPr>
        <w:t>POSSIBLE 2018:</w:t>
      </w:r>
      <w:r>
        <w:t xml:space="preserve"> Oral Health Impact Profile in Celiac Patients: Analysis of Recent Findings in a Literature Review — https://doi.org/10.1155/2018/7848735</w:t>
      </w:r>
    </w:p>
    <w:p>
      <w:pPr/>
      <w:r>
        <w:rPr>
          <w:b/>
        </w:rPr>
        <w:t>Shared claim-specific concepts:</w:t>
      </w:r>
      <w:r>
        <w:t xml:space="preserve"> recent, literature, according; EU scope not established. This is a provisional connection, not an outcome finding.</w:t>
      </w:r>
    </w:p>
    <w:p>
      <w:pPr>
        <w:pStyle w:val="SourceNote"/>
      </w:pPr>
      <w:r>
        <w:rPr>
          <w:b/>
        </w:rPr>
        <w:t>Available abstract (not full text):</w:t>
      </w:r>
      <w:r>
        <w:t xml:space="preserve"> The increment of recording atypical oral manifestation in young patients often related to systematic disease is today a challenge for the therapists. Sometime, the presence of tooth enamel lesions correlated with soft tissue lesions is just a symptom or a trigger sign for a deeper and undetermined disease. Recently, high impact has been developed toward the influence of the diet as a controlled and modifiable factor in patients affected by celiac pathologies. The celiac disease (CD) is a chronic immune-mediated disorder triggered by the ingestion of gluten that appears in genetically predisposed patients. Gluten is a proline-rich and glutamine-rich protein present in wheat (gliadin), barley (hordein), and rye (secalin). The gluten-free diet (GFD) seems to better influence the oral health status of the CD patients. For this reason, the main objective of this revision was to analyze the international data highlighting the relationship between celiac patients and the oral health impact profile. A comprehensive review of the current literature was conducted according to the PRISMA guidelines by accessing the NCBI PubMed database. Authors conducted the search of articles in the English language published from 2008 to 2018. The first analysis with filters recorded 67 manuscripts accordingly with the selected keywords. Finally, a number of 16 appropriate published papers were comprehe</w:t>
      </w:r>
    </w:p>
    <w:p>
      <w:pPr/>
      <w:r>
        <w:rPr>
          <w:b/>
        </w:rPr>
        <w:t>POSSIBLE 2017:</w:t>
      </w:r>
      <w:r>
        <w:t xml:space="preserve"> Hyperemesis Gravidarum: A Review of Recent Literature — https://doi.org/10.1159/000477853</w:t>
      </w:r>
    </w:p>
    <w:p>
      <w:pPr/>
      <w:r>
        <w:rPr>
          <w:b/>
        </w:rPr>
        <w:t>Shared claim-specific concepts:</w:t>
      </w:r>
      <w:r>
        <w:t xml:space="preserve"> recent, literature, difficult; EU scope not established. This is a provisional connection, not an outcome finding.</w:t>
      </w:r>
    </w:p>
    <w:p>
      <w:pPr>
        <w:pStyle w:val="SourceNote"/>
      </w:pPr>
      <w:r>
        <w:rPr>
          <w:b/>
        </w:rPr>
        <w:t>Available abstract (not full text):</w:t>
      </w:r>
      <w:r>
        <w:t xml:space="preserve"> BACKGROUND: In the United States, hyperemesis gravidarum is the most common cause of hospitalization during the first half of pregnancy and is second only to preterm labor for hospitalizations in pregnancy overall. In approximately 0.3-3% of pregnancies, hyperemesis gravidarum is prevalent and this percentage varies on account of different diagnostic criteria and ethnic variation in study populations. Despite extensive research in this field, the mechanism of the disease is largely unknown. Although cases of mortality are rare, hyperemesis gravidarum has been associated with both maternal and fetal morbidity. The current mainstay of treatment relies heavily on supportive measures until improvement of symptoms as part of the natural course of hyperemesis gravidarum, which occurs with progression of gestational age. However, studies have reported that severe, refractory disease manifestations have led to serious adverse outcomes and to termination of pregnancies. SUMMARY: Despite extensive research in the field, the pathogenesis of hyperemesis gravidarum remains unknown. Recent literature points to a genetic predisposition in addition to previously studied factors such as infectious, psychiatric, and hormonal contributions. Maternal morbidity is common and includes psychological effects, financial burden, clinical complications from nutritional deficiencies, gastrointestinal trau</w:t>
      </w:r>
    </w:p>
    <w:p>
      <w:pPr>
        <w:pStyle w:val="Heading2"/>
      </w:pPr>
      <w:r>
        <w:t>988.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2023:</w:t>
      </w:r>
      <w:r>
        <w:t xml:space="preserve"> 6th European Conference on Permafrost: Book of Abstracts — https://doi.org/10.52381/eucop6.abstracts.1</w:t>
      </w:r>
    </w:p>
    <w:p>
      <w:pPr/>
      <w:r>
        <w:rPr>
          <w:b/>
        </w:rPr>
        <w:t>Shared claim-specific concepts:</w:t>
      </w:r>
      <w:r>
        <w:t xml:space="preserve"> climate, conditions; EU scope visible. This is a provisional connection, not an outcome finding.</w:t>
      </w:r>
    </w:p>
    <w:p>
      <w:pPr>
        <w:pStyle w:val="SourceNote"/>
      </w:pPr>
      <w:r>
        <w:rPr>
          <w:b/>
        </w:rPr>
        <w:t>Available abstract (not full text):</w:t>
      </w:r>
      <w:r>
        <w:t xml:space="preserve"> Session 1 / Modeling of permafrost-climate feedbacks in future scenarios 37 • Thaw depths and carbon release in adaptive emission driven MPI-ESM simulations, Goran Georgievski [et al.] 38 • Representation of Arctic hydrology in a global land surface model, Tobias Stacke [et al.] 39 • Experimental and numerical evaluation of thermal properties of moss, lichen, and peat from a permafrost-dominated wetland., Simon Cazaurang [et al.] 40 • Modelling the effects of climate change on groundwater-surface water interactions in permafrost dominated regions, Radhakrishna Bangalore Lakshmiprasad [et al.] 41 • Modeling permafrost landscape evolution and greenhouse gas emissions from rapid thawing of ground ice with a new subgrid permafrost representation in CLM5, Esther Bender [et al.] 42 • Modeling influence of methane seeping on the water column carbonate system in the Laptev Sea Shelf, Evgeniy Yakushev [et al.] 43 • Climate response to improved permafrost hydro-thermodynamics in historical and scenario simulations, Félix García-Pereira [et al.] 44 • Surface-based temperature inversion impact on surface air temperatures and implications for permafrost distribution in Northwestern Canada, Nick Noad and Philip Bonnaventure 45 • Modelling the impact of surface lapse rate changes on mountain permafrost distribution in four dissimilar valleys in Yukon, Canada, Madeleine Garibaldi and Philip Bo</w:t>
      </w:r>
    </w:p>
    <w:p>
      <w:pPr/>
      <w:r>
        <w:rPr>
          <w:b/>
        </w:rPr>
        <w:t>POSSIBLE 2022:</w:t>
      </w:r>
      <w:r>
        <w:t xml:space="preserve"> Ellenberg‐type indicator values for European vascular plant species — https://doi.org/10.1111/jvs.13168</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Mechanised Harvesting of Broadleaved Tree Species in Europe — https://doi.org/10.1007/s40725-021-00154-7</w:t>
      </w:r>
    </w:p>
    <w:p>
      <w:pPr/>
      <w:r>
        <w:rPr>
          <w:b/>
        </w:rPr>
        <w:t>Shared claim-specific concepts:</w:t>
      </w:r>
      <w:r>
        <w:t xml:space="preserve"> abstract, aim, species, but, recent; EU scope visible. This is a provisional connection, not an outcome finding.</w:t>
      </w:r>
    </w:p>
    <w:p>
      <w:pPr>
        <w:pStyle w:val="SourceNote"/>
      </w:pPr>
      <w:r>
        <w:rPr>
          <w:b/>
        </w:rPr>
        <w:t>Available abstract (not full text):</w:t>
      </w:r>
      <w:r>
        <w:t xml:space="preserve"> Abstract Purpose of the Review The application of cut-to-length (CTL) technology for harvesting and processing timber from broadleaved tree species is a challenging process, due to thick branches, stem sweep, forks and high wood density. The objective of this review was to describe the current state of harvester use and characterise the effectiveness of mechanised forest operations for broadleaved and mixed forest stands in Europe, paying particular attention to productivity and product quality aspects. An additional aim was to identify the greatest difficulties associated with harvesting broadleaved tree species today and to indicate future challenges and areas for improvement. Recent Findings An interest in wider harvester use for broadleaved tree species started after the storm Lothar in France in 1999. Early experiences demonstrated that lower productivity is common when harvesting broadleaved tree species, due to limitations in delimbing and the high frequency of sweep. Initially, modifications were made to harvester heads, while a newly designed head (CTL 40 HW) was later developed within a European project in 2005–2007. Using various heads, very high productivity was achieved in some cases, but log recovery was unsatisfactory, with large tree tops left without delimbing. The delimbing was of lower quality and log length inaccuracy was observed, as well as economic losses</w:t>
      </w:r>
    </w:p>
    <w:p>
      <w:pPr/>
      <w:r>
        <w:rPr>
          <w:b/>
        </w:rPr>
        <w:t>POSSIBLE 2022:</w:t>
      </w:r>
      <w:r>
        <w:t xml:space="preserve"> Depression and anxiety among children and adolescents during the COVID-19 pandemic in Europe: A systematic review protocol — https://doi.org/10.21203/rs.3.rs-1638547/v1</w:t>
      </w:r>
    </w:p>
    <w:p>
      <w:pPr/>
      <w:r>
        <w:rPr>
          <w:b/>
        </w:rPr>
        <w:t>Shared claim-specific concepts:</w:t>
      </w:r>
      <w:r>
        <w:t xml:space="preserve"> abstract, adapted, during; EU scope visible. This is a provisional connection, not an outcome finding.</w:t>
      </w:r>
    </w:p>
    <w:p>
      <w:pPr>
        <w:pStyle w:val="SourceNote"/>
      </w:pPr>
      <w:r>
        <w:rPr>
          <w:b/>
        </w:rPr>
        <w:t>Available abstract (not full text):</w:t>
      </w:r>
      <w:r>
        <w:t xml:space="preserve"> Abstract Some studies point to a high mental health burden among children and adolescents (CA) during the COVID-19 pandemic, particularly concerning depression and anxiety (DA). However, the quality of existing studies and some results are heterogeneous. Research gaps exist regarding (1) a high-quality summarizing overview on studies with (2) a pre-pandemic baseline on the impact of the COVID-19 pandemic on DA among CA in Europe. Therefore, the planned systematic review (SR) aims to close these gaps. SR was registered in the Prospective Register of Systematic Reviews (PROSPERO) and the protocol was prepared in accordance to the Preferred Reporting Items for Systematic review and Meta-Analysis Protocols (PRISMA-P) statement. Search strategy was peer reviewed. Systematic search was conducted in six databases (MEDLINE, EMBASE, PsycINFO, Cochrane Central Register of Controlled Trials, Web of Science and WHO COVID-19 database). Risk of bias (RoB) will be assessed using the RoB instrument for non-randomized studies of exposures. Certainty of evidence will be evaluated by using the GRADE approach adapted to the use of non-randomized studies. Also, subgroup analysis, sensitivity analysis, and publication bias will be performed.Results of this SR could contribute to determine the actual overall prevalence of DA among CA in European countries with an expert opinion on the clinical releva</w:t>
      </w:r>
    </w:p>
    <w:p>
      <w:pPr/>
      <w:r>
        <w:rPr>
          <w:b/>
        </w:rPr>
        <w:t>POSSIBLE 2022:</w:t>
      </w:r>
      <w:r>
        <w:t xml:space="preserve"> Depression and anxiety among children and adolescents during the COVID-19 pandemic in Europe: A systematic review protocol — https://doi.org/10.21203/rs.3.rs-1638547/v2</w:t>
      </w:r>
    </w:p>
    <w:p>
      <w:pPr/>
      <w:r>
        <w:rPr>
          <w:b/>
        </w:rPr>
        <w:t>Shared claim-specific concepts:</w:t>
      </w:r>
      <w:r>
        <w:t xml:space="preserve"> abstract, adapted, during; EU scope visible. This is a provisional connection, not an outcome finding.</w:t>
      </w:r>
    </w:p>
    <w:p>
      <w:pPr>
        <w:pStyle w:val="SourceNote"/>
      </w:pPr>
      <w:r>
        <w:rPr>
          <w:b/>
        </w:rPr>
        <w:t>Available abstract (not full text):</w:t>
      </w:r>
      <w:r>
        <w:t xml:space="preserve"> Abstract Background: A growing number of studies point to a high mental health burden among children and adolescents during the COVID-19 pandemic, particularly concerning depression and anxiety. However, the study quality and effect direction are heterogeneous in the existing studies with a lacking overview for the European continent. Therefore, research gaps exist particular regarding (1) the impact of the COVID-19 pandemic on depression and anxiety among children and adolescents in European countries with (2) a methodologically high-quality summarizing review of studies. Therefore, the planned systematic review aims to close these gaps. Methods: The systematic review was registered in the Prospective Register of Systematic Reviews (PROSPERO) and the protocol was prepared in accordance to the Preferred Reporting Items for Systematic review and Meta-Analysis Protocols (PRISMA-P) statement. Search strategy was peer reviewed according to the evidence-based checklist Peer Review of Electronic Search Strategies (PRESS). Systematic search was conducted in six databases (MEDLINE, EMBASE, PsycINFO, Cochrane Central Register of Controlled Trials, Web of Science and WHO COVID-19 database). Literature screening will be conducted independent by two authors, disagreement will be solved by a third author. Risk of bias (RoB) will be assessed using the RoB instrument for non-randomized studie</w:t>
      </w:r>
    </w:p>
    <w:p>
      <w:pPr/>
      <w:r>
        <w:rPr>
          <w:b/>
        </w:rPr>
        <w:t>POSSIBLE 2022:</w:t>
      </w:r>
      <w:r>
        <w:t xml:space="preserve"> The 2018–2020 Multi‐Year Drought Sets a New Benchmark in Europe — https://doi.org/10.1029/2021ef002394</w:t>
      </w:r>
    </w:p>
    <w:p>
      <w:pPr/>
      <w:r>
        <w:rPr>
          <w:b/>
        </w:rPr>
        <w:t>Shared claim-specific concepts:</w:t>
      </w:r>
      <w:r>
        <w:t xml:space="preserve"> abstract, during, climate, conditions, but;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2021:</w:t>
      </w:r>
      <w:r>
        <w:t xml:space="preserve"> Mapping species richness of plant families in European vegetation — https://doi.org/10.1111/jvs.13035</w:t>
      </w:r>
    </w:p>
    <w:p>
      <w:pPr/>
      <w:r>
        <w:rPr>
          <w:b/>
        </w:rPr>
        <w:t>Shared claim-specific concepts:</w:t>
      </w:r>
      <w:r>
        <w:t xml:space="preserve"> abstract, aim, species, but; EU scope visible. This is a provisional connection, not an outcome finding.</w:t>
      </w:r>
    </w:p>
    <w:p>
      <w:pPr>
        <w:pStyle w:val="SourceNote"/>
      </w:pPr>
      <w:r>
        <w:rPr>
          <w:b/>
        </w:rPr>
        <w:t>Available abstract (not full text):</w:t>
      </w:r>
      <w:r>
        <w:t xml:space="preserve"> Abstract Aims Biodiversity is traditionally studied mostly at the species level, but biogeographical and macroecological studies at higher taxonomic levels can provide valuable insights into the evolutionary processes at large spatial scales. Our aim was to assess the representation of vascular plant families within different vegetation formations across Europe. Location Europe. Methods We used a data set of 816,005 vegetation plots from the European Vegetation Archive (EVA). For each plot, we calculated the relative species richness of each plant family as the number of species belonging to that family divided by the total number of species. We mapped the relative species richness, averaged across all plots in 50 km × 50 km grid cells, for each family and broad habitat groups: forests, grasslands, scrub and wetlands. We also calculated the absolute species richness and the Shannon diversity index for each family. Results We produced 522 maps of mean relative species richness for a total of 152 vascular plant families occurring in forests, grasslands, scrub and wetlands. We found distinct spatial patterns for many combinations of families and habitat groups. The resulting series of 522 maps is freely available, both as images and GIS layers. Conclusions The distinct spatial patterns revealed in the maps suggest that the relative species richness of plant families at the communi</w:t>
      </w:r>
    </w:p>
    <w:p>
      <w:pPr/>
      <w:r>
        <w:rPr>
          <w:b/>
        </w:rPr>
        <w:t>POSSIBLE 2021:</w:t>
      </w:r>
      <w:r>
        <w:t xml:space="preserve"> The critical role of tree species and human disturbance in determining the macrofungal diversity in Europe — https://doi.org/10.1111/geb.13372</w:t>
      </w:r>
    </w:p>
    <w:p>
      <w:pPr/>
      <w:r>
        <w:rPr>
          <w:b/>
        </w:rPr>
        <w:t>Shared claim-specific concepts:</w:t>
      </w:r>
      <w:r>
        <w:t xml:space="preserve"> abstract, aim, species, climate, remains; EU scope visible. This is a provisional connection, not an outcome finding.</w:t>
      </w:r>
    </w:p>
    <w:p>
      <w:pPr>
        <w:pStyle w:val="SourceNote"/>
      </w:pPr>
      <w:r>
        <w:rPr>
          <w:b/>
        </w:rPr>
        <w:t>Available abstract (not full text):</w:t>
      </w:r>
      <w:r>
        <w:t xml:space="preserve"> Abstract Aim Knowledge concerning species distribution is important for biodiversity conservation and environmental management. Fungi form a large and diverse group of species and play a key role in nutrient cycling and carbon storage. However, our understanding of fungal diversity and distribution remains limited, particularly at large spatial scales. Here, we predicted the diversity and distribution of ectomycorrhizal and saprotrophic macrofungi at relatively fine spatial resolution at a continental scale and examined the importance of variables that affect the distribution of these two functional groups. Location Europe. Time period 1990–2018. Major taxa studied Macrofungi. Methods From observations of 1,845 macrofungal species, we predicted the diversity and distribution of two functional groups of macrofungi at a resolution of 5 km across eight European countries based on 25 environmental variables using the MaxEnt model. We determined the importance of variables that affect the distribution of these two functional groups of macrofungi using the built‐in jackknife test in the model. Results Analysis of the modelling results showed that eastern Denmark and southern Sweden are biodiversity hotspots for both functional groups of macrofungal species. Tree species and human disturbance (i.e., the human footprint index) were found to be the two most important predictor variables</w:t>
      </w:r>
    </w:p>
    <w:p>
      <w:pPr/>
      <w:r>
        <w:rPr>
          <w:b/>
        </w:rPr>
        <w:t>POSSIBLE 2021:</w:t>
      </w:r>
      <w:r>
        <w:t xml:space="preserve"> Introduction, spread, and impacts of invasive alien mammal species in Europe — https://doi.org/10.1111/mam.12277</w:t>
      </w:r>
    </w:p>
    <w:p>
      <w:pPr/>
      <w:r>
        <w:rPr>
          <w:b/>
        </w:rPr>
        <w:t>Shared claim-specific concepts:</w:t>
      </w:r>
      <w:r>
        <w:t xml:space="preserve"> abstract, species, ranges; EU scope visible. This is a provisional connection, not an outcome finding.</w:t>
      </w:r>
    </w:p>
    <w:p>
      <w:pPr>
        <w:pStyle w:val="SourceNote"/>
      </w:pPr>
      <w:r>
        <w:rPr>
          <w:b/>
        </w:rPr>
        <w:t>Available abstract (not full text):</w:t>
      </w:r>
      <w:r>
        <w:t xml:space="preserve"> ABSTRACT Biological invasions have emerged as one of the main drivers of biodiversity change and decline, and numbers of alien species are rapidly rising. The European Union established a dedicated regulation to limit the impacts of invasive alien species (IAS), which is focused on a Union List of IAS of particular concern. However, no previous study has specifically addressed the ecology of invasive alien mammals included in the Union List. We performed a systematic review of published literature on these species. We retrieved 262 studies dealing with 16 species, and we complemented these with the most up-to-date information extracted from global databases on IAS. We show that most of the study species reached Europe as pets that escaped from captivity or were intentionally released. On average, 1.2 species’ new first records/year were documented in European countries in the period 1981-2020, and most species are still expanding their alien ranges colonising neighbouring territories. France, Germany, Italy, and The Netherlands are the most invaded nations, and the muskrat ( Ondatra zibethicus ), the raccoon dog ( Nyctereutes procyonoides ), and the American mink ( Neovison vison ) are the most widespread species, having invaded at least 27 countries each. Invasive mammals of European Union concern are threatening native biodiversity and human well-being: worryingly, 81.3% of t</w:t>
      </w:r>
    </w:p>
    <w:p>
      <w:pPr/>
      <w:r>
        <w:rPr>
          <w:b/>
        </w:rPr>
        <w:t>POSSIBLE 2021:</w:t>
      </w:r>
      <w:r>
        <w:t xml:space="preserve"> Recent pension reforms in Europe: More challenges, new directions. An overview — https://doi.org/10.1111/spol.12712</w:t>
      </w:r>
    </w:p>
    <w:p>
      <w:pPr/>
      <w:r>
        <w:rPr>
          <w:b/>
        </w:rPr>
        <w:t>Shared claim-specific concepts:</w:t>
      </w:r>
      <w:r>
        <w:t xml:space="preserve"> abstract, adapted, during, recent; EU scope visible. This is a provisional connection, not an outcome finding.</w:t>
      </w:r>
    </w:p>
    <w:p>
      <w:pPr>
        <w:pStyle w:val="SourceNote"/>
      </w:pPr>
      <w:r>
        <w:rPr>
          <w:b/>
        </w:rPr>
        <w:t>Available abstract (not full text):</w:t>
      </w:r>
      <w:r>
        <w:t xml:space="preserve"> Abstract During the last 30 years, all European Union member states have reformed their pension systems. In view of ongoing and intensifying population aging, efforts have aimed at containing the future rise of the contribution rate, improving the system dependency ratio, lowering the benefit ratio and/or infusing tax money or other financial resources into the system. Moreover, since about the early 2000s, we can observe a move towards a multi‐pillar pension system in countries hitherto running a dominant‐pillar system: private pre‐funded occupational pensions and individual provision for old age are given larger roles within the public–private mix of retirement income. An analysis of reforms shows a finite menu of adjustment options, and concrete measures have to be adapted to nation‐specific institutional contexts. Finally, we can conclude that pension reforms focusing on long‐term financial sustainability may increase the risk of old‐age poverty and, thus, violate a central objective of pension schemes.</w:t>
      </w:r>
    </w:p>
    <w:p>
      <w:pPr/>
      <w:r>
        <w:rPr>
          <w:b/>
        </w:rPr>
        <w:t>POSSIBLE 2021:</w:t>
      </w:r>
      <w:r>
        <w:t xml:space="preserve"> Adapting a Circular Economy in Regional Strategies of the European Union — https://doi.org/10.3390/su13031518</w:t>
      </w:r>
    </w:p>
    <w:p>
      <w:pPr/>
      <w:r>
        <w:rPr>
          <w:b/>
        </w:rPr>
        <w:t>Shared claim-specific concepts:</w:t>
      </w:r>
      <w:r>
        <w:t xml:space="preserve"> but, keep; EU scope visible. This is a provisional connection, not an outcome finding.</w:t>
      </w:r>
    </w:p>
    <w:p>
      <w:pPr>
        <w:pStyle w:val="SourceNote"/>
      </w:pPr>
      <w:r>
        <w:rPr>
          <w:b/>
        </w:rPr>
        <w:t>Available abstract (not full text):</w:t>
      </w:r>
      <w:r>
        <w:t xml:space="preserve"> The transition towards a sustainable circular economy (CE) model is seen as a solution to keep the consumption of the earth’s resources within planetary boundaries. In the regional context, the CE is promoted through various policy actions, one being the smart specialisation concept. This paper provides a novel approach to examining the spatial adaption of a CE through a conceptual framework of research and innovation strategies for smart specialisation (S3) in Europe. This interdisciplinary research presents a multi-country comparison of S3 implementation in Europe in 12 regions that have defined the CE as a priority area. The data consist of interviews with representatives of organisations responsible for the regional S3 process. The findings indicate that a political demand exists for proceeding further with the construction of transformative activities involving the CE, but the models and stages of implementation vary. In addition, most regions still struggle with building specific monitoring and evaluation measures and mechanisms for the CE. Despite these challenges, promoting the CE as a strategic priority through the S3 process has, at least in some regions, helped define the CE targets and actions by focusing on existing regional assets and future potential.</w:t>
      </w:r>
    </w:p>
    <w:p>
      <w:pPr>
        <w:pStyle w:val="Heading2"/>
      </w:pPr>
      <w:r>
        <w:t>989.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2024:</w:t>
      </w:r>
      <w:r>
        <w:t xml:space="preserve"> Consensus report of the second European Consensus Workshop on Education in Periodontology — https://doi.org/10.1111/jcpe.13983</w:t>
      </w:r>
    </w:p>
    <w:p>
      <w:pPr/>
      <w:r>
        <w:rPr>
          <w:b/>
        </w:rPr>
        <w:t>Shared claim-specific concepts:</w:t>
      </w:r>
      <w:r>
        <w:t xml:space="preserve"> workshop, meeting, information; EU scope visible. This is a provisional connection, not an outcome finding.</w:t>
      </w:r>
    </w:p>
    <w:p>
      <w:pPr>
        <w:pStyle w:val="SourceNote"/>
      </w:pPr>
      <w:r>
        <w:rPr>
          <w:b/>
        </w:rPr>
        <w:t>Available abstract (not full text):</w:t>
      </w:r>
      <w:r>
        <w:t xml:space="preserve">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pPr/>
      <w:r>
        <w:rPr>
          <w:b/>
        </w:rPr>
        <w:t>POSSIBLE 2023:</w:t>
      </w:r>
      <w:r>
        <w:t xml:space="preserve"> 10.M. Workshop: Community Health Practice and Research in Europe: Up front and centre! — https://doi.org/10.1093/eurpub/ckad160.674</w:t>
      </w:r>
    </w:p>
    <w:p>
      <w:pPr/>
      <w:r>
        <w:rPr>
          <w:b/>
        </w:rPr>
        <w:t>Shared claim-specific concepts:</w:t>
      </w:r>
      <w:r>
        <w:t xml:space="preserve"> workshop, researchers, countries, systems; EU scope visible. This is a provisional connection, not an outcome finding.</w:t>
      </w:r>
    </w:p>
    <w:p>
      <w:pPr>
        <w:pStyle w:val="SourceNote"/>
      </w:pPr>
      <w:r>
        <w:rPr>
          <w:b/>
        </w:rPr>
        <w:t>Available abstract (not full text):</w:t>
      </w:r>
      <w:r>
        <w:t xml:space="preserve">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pPr/>
      <w:r>
        <w:rPr>
          <w:b/>
        </w:rPr>
        <w:t>POSSIBLE 2023:</w:t>
      </w:r>
      <w:r>
        <w:t xml:space="preserve"> Application of the BPM-Kraljic Model to Improve Supply Management in an Agroindustrial MSE — https://doi.org/10.46254/na07.20220457</w:t>
      </w:r>
    </w:p>
    <w:p>
      <w:pPr/>
      <w:r>
        <w:rPr>
          <w:b/>
        </w:rPr>
        <w:t>Shared claim-specific concepts:</w:t>
      </w:r>
      <w:r>
        <w:t xml:space="preserve"> article, bpm, information; EU scope not established. This is a provisional connection, not an outcome finding.</w:t>
      </w:r>
    </w:p>
    <w:p>
      <w:pPr>
        <w:pStyle w:val="SourceNote"/>
      </w:pPr>
      <w:r>
        <w:rPr>
          <w:b/>
        </w:rPr>
        <w:t>Available abstract (not full text):</w:t>
      </w:r>
      <w:r>
        <w:t xml:space="preserve"> Studies present insufficient information on working models within the purchasing area using the BPM tool for agroindustrial companies, especially in Latin America, which aim to improve performance and optimize the processes of an organization.For this reason, the need for this research arises.This scientific article presents a model to improve supply management.The BPM methodology was proposed to standardize internal processes and the Kraljic matrix, a tool used in purchasing management to classify materials and optimize purchase planning.The level of compliance within the purchasing area did not satisfy the established policies, reaching only 55.96% and generating a gap in the savings goal of approximately S/.500,000.This causes an imbalance at the administrative and operational level due to a lack of general standardization of the processes.This triggered problems at the macro level, such as lack of communication between areas, inefficient operations, and economic losses.The proposal that was carried out covers different areas, such as a harmonization within the administrative processes to reduce time variability and logistics focused on the efficient management of purchases and classification of materials.It was possible to prove the hypothesis; it is feasible to reach 85% of the target scope by restructuring the areas and generating strategies.The simulation could prove the</w:t>
      </w:r>
    </w:p>
    <w:p>
      <w:pPr/>
      <w:r>
        <w:rPr>
          <w:b/>
        </w:rPr>
        <w:t>POSSIBLE 2023:</w:t>
      </w:r>
      <w:r>
        <w:t xml:space="preserve"> Blockchain and Business Process Management (BPM) Synergy: A Comparative Analysis of Modeling Approaches — https://doi.org/10.3390/info15010009</w:t>
      </w:r>
    </w:p>
    <w:p>
      <w:pPr/>
      <w:r>
        <w:rPr>
          <w:b/>
        </w:rPr>
        <w:t>Shared claim-specific concepts:</w:t>
      </w:r>
      <w:r>
        <w:t xml:space="preserve"> bpm, part, investigating; EU scope not established. This is a provisional connection, not an outcome finding.</w:t>
      </w:r>
    </w:p>
    <w:p>
      <w:pPr>
        <w:pStyle w:val="SourceNote"/>
      </w:pPr>
      <w:r>
        <w:rPr>
          <w:b/>
        </w:rPr>
        <w:t>Available abstract (not full text):</w:t>
      </w:r>
      <w:r>
        <w:t xml:space="preserve"> Blockchain technology has become a powerful disruptive force that upends established ideas in several industries. A fascinating point of convergence is that of blockchain technology and Business Process Management (BPM), where the distributed and immutable characteristics of blockchain promise to completely transform the modeling, implementation, and oversight of business processes. This symbiosis offers a singular chance to develop corporate processes that are more efficient, safe, and transparent. Nevertheless, to guarantee that blockchain-specific components are accurately represented in these processes, modeling techniques need to be critically examined as part of integrating blockchain into BPM. This literature review examines blockchain-BPM integration using different modeling methodologies. Though well-established, traditional BPM approaches may need help with blockchain-specific aspects. Blockchain-oriented modeling includes smart contracts and decentralized consensus. Hybrid models with blockchain and traditional elements are popular. Adaptability, model clarity, and blockchain integration are evaluated in the analysis. This literature review aims to improve corporate processes’ efficiency, security, and transparency by investigating how to model the integration of blockchain and BPM better.</w:t>
      </w:r>
    </w:p>
    <w:p>
      <w:pPr/>
      <w:r>
        <w:rPr>
          <w:b/>
        </w:rPr>
        <w:t>POSSIBLE 2022:</w:t>
      </w:r>
      <w:r>
        <w:t xml:space="preserve"> Tackling the translational challenges of multi-omics research in the realm of European personalised medicine: A workshop report — https://doi.org/10.3389/fmolb.2022.974799</w:t>
      </w:r>
    </w:p>
    <w:p>
      <w:pPr/>
      <w:r>
        <w:rPr>
          <w:b/>
        </w:rPr>
        <w:t>Shared claim-specific concepts:</w:t>
      </w:r>
      <w:r>
        <w:t xml:space="preserve"> article, reflects, workshop; EU scope visible. This is a provisional connection, not an outcome finding.</w:t>
      </w:r>
    </w:p>
    <w:p>
      <w:pPr>
        <w:pStyle w:val="SourceNote"/>
      </w:pPr>
      <w:r>
        <w:rPr>
          <w:b/>
        </w:rPr>
        <w:t>Available abstract (not full text):</w:t>
      </w:r>
      <w:r>
        <w:t xml:space="preserve"> Personalised medicine (PM) presents a great opportunity to improve the future of individualised healthcare. Recent advances in -omics technologies have led to unprecedented efforts characterising the biology and molecular mechanisms that underlie the development and progression of a wide array of complex human diseases, supporting further development of PM. This article reflects the outcome of the 2021 EATRIS-Plus Multi-omics Stakeholder Group workshop organised to 1) outline a global overview of common promises and challenges that key European stakeholders are facing in the field of multi-omics research, 2) assess the potential of new technologies, such as artificial intelligence (AI), and 3) establish an initial dialogue between key initiatives in this space. Our focus is on the alignment of agendas of European initiatives in multi-omics research and the centrality of patients in designing solutions that have the potential to advance PM in long-term healthcare strategies.</w:t>
      </w:r>
    </w:p>
    <w:p>
      <w:pPr/>
      <w:r>
        <w:rPr>
          <w:b/>
        </w:rPr>
        <w:t>POSSIBLE 2022:</w:t>
      </w:r>
      <w:r>
        <w:t xml:space="preserve"> The influence of BPM-supportive culture and individual process orientation on process conformance — https://doi.org/10.1108/bpmj-08-2020-0363</w:t>
      </w:r>
    </w:p>
    <w:p>
      <w:pPr/>
      <w:r>
        <w:rPr>
          <w:b/>
        </w:rPr>
        <w:t>Shared claim-specific concepts:</w:t>
      </w:r>
      <w:r>
        <w:t xml:space="preserve"> bpm, conducted, contribute; EU scope not established. This is a provisional connection, not an outcome finding.</w:t>
      </w:r>
    </w:p>
    <w:p>
      <w:pPr>
        <w:pStyle w:val="SourceNote"/>
      </w:pPr>
      <w:r>
        <w:rPr>
          <w:b/>
        </w:rPr>
        <w:t>Available abstract (not full text):</w:t>
      </w:r>
      <w:r>
        <w:t xml:space="preserve"> Purpose Organizations rely on their business processes to achieve their business objectives and ensure compliance with relevant laws and regulations. Hence, conformance to process specifications is essential to remain compliant. Various factors influence an organization’s ability to operate in conformance to its process specifications. This study investigates the influence of business process management (BPM)-supportive culture and individual process orientation on process conformance. Design/methodology/approach A construct was created for perceived process conformance and two constructs were selected from literature to represent BPM-supportive culture and individual process orientation. A survey was conducted with 178 employees of a global enterprise, hypotheses were formulated, and a statistical model was constructed and validated. Findings Results pinpoint the key role of the BPM-supportive culture in influencing both individual process orientation and conformance. Individual process orientation is also found to have a significant influence on process conformance. The findings provide additional evidence for the significance of human-related aspects of BPM in achieving BPM success. Originality/value The contributions of this paper help better understand how soft factors of BPM contribute to employees’ process conformance drawing on and relating concepts of BPM and organizat</w:t>
      </w:r>
    </w:p>
    <w:p>
      <w:pPr>
        <w:pStyle w:val="Heading2"/>
      </w:pPr>
      <w:r>
        <w:t>990.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r>
        <w:rPr>
          <w:b/>
        </w:rPr>
        <w:t>POSSIBLE 2023:</w:t>
      </w:r>
      <w:r>
        <w:t xml:space="preserve"> Climate change on extreme winds already affects off-shore wind power availability in Europe — https://doi.org/10.1088/1748-9326/acbdb2</w:t>
      </w:r>
    </w:p>
    <w:p>
      <w:pPr/>
      <w:r>
        <w:rPr>
          <w:b/>
        </w:rPr>
        <w:t>Shared claim-specific concepts:</w:t>
      </w:r>
      <w:r>
        <w:t xml:space="preserve"> over, next, few, decades; EU scope visible. This is a provisional connection, not an outcome finding.</w:t>
      </w:r>
    </w:p>
    <w:p>
      <w:pPr>
        <w:pStyle w:val="SourceNote"/>
      </w:pPr>
      <w:r>
        <w:rPr>
          <w:b/>
        </w:rPr>
        <w:t>Available abstract (not full text):</w:t>
      </w:r>
      <w:r>
        <w:t xml:space="preserve"> Abstract Off-shore wind energy in Europe plays a key role in the transition to renewable energy, and its usage is expected to increase in the next few decades. According to the working regimes of a wind turbine, wind energy production can be disrupted by extreme atmospheric events related to low wind speed below the cut-in wind speed and high wind speed above the cut-out wind speed. The purpose of this work is to estimate the behavior of extreme winds on the European panorama, over the period 1950–2020, in order to investigate the large-scale weather regimes related to them and their impact on off-shore wind energy availability. We detected significant changes in the frequency of high and low extreme wind events, proving that climate change or long-term internal climate variability have already affected the off-shore wind power output. Moreover, the analysis of weather regimes showed that high and low extreme wind events can occur simultaneously over Europe. Our results suggest the necessity to implement efficient European energy management policies, to minimize the deficit in wind power supply.</w:t>
      </w:r>
    </w:p>
    <w:p>
      <w:pPr/>
      <w:r>
        <w:rPr>
          <w:b/>
        </w:rPr>
        <w:t>POSSIBLE 2023:</w:t>
      </w:r>
      <w:r>
        <w:t xml:space="preserve"> Market Scene of China’s Cultured Meat Market Over the Next Five Years — https://doi.org/10.54691/bcpbm.v38i.4189</w:t>
      </w:r>
    </w:p>
    <w:p>
      <w:pPr/>
      <w:r>
        <w:rPr>
          <w:b/>
        </w:rPr>
        <w:t>Shared claim-specific concepts:</w:t>
      </w:r>
      <w:r>
        <w:t xml:space="preserve"> over, next, few, many, countries; EU scope visible. This is a provisional connection, not an outcome finding.</w:t>
      </w:r>
    </w:p>
    <w:p>
      <w:pPr>
        <w:pStyle w:val="SourceNote"/>
      </w:pPr>
      <w:r>
        <w:rPr>
          <w:b/>
        </w:rPr>
        <w:t>Available abstract (not full text):</w:t>
      </w:r>
      <w:r>
        <w:t xml:space="preserve"> In recent years, cultured meat has blown a craze all over the world and has become popular in many European and American countries. China is also vigorously developing the cultured meat industry and has also achieved initial results. The goal of this research was to look at the Chinese cultured meat business over the next few years. To figure out the Chinese cultured meat market, this paper mainly applied the marketing mix theory and SWOT analysis tool to comprehensively analyze the internal and external factors of cultured meat from the perspective of consumers. This research concluded that the future development of cultured meat in China is still objective, but a lot of promotion needed to be done in the induction stage of the cultured meat product life cycle to improve the acceptance of consumers. More importantly, let the cultured meat technology mature as soon as possible since this is the main factor affecting the acceptance of consumers.</w:t>
      </w:r>
    </w:p>
    <w:p>
      <w:pPr/>
      <w:r>
        <w:rPr>
          <w:b/>
        </w:rPr>
        <w:t>POSSIBLE 2022:</w:t>
      </w:r>
      <w:r>
        <w:t xml:space="preserve"> Changes in temperature–precipitation correlations over Europe: are climate models reliable? — https://doi.org/10.1007/s00382-022-06436-5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Abstract Inter-variable correlations (e.g., between daily temperature and precipitation) are key statistical properties to characterise probabilities of simultaneous climate events and compound events. Their correct simulations from climate models, both in values and in changes over time, is then a prerequisite to investigate their future changes and associated impacts. Therefore, this study first evaluates the capabilities of one 11-single run multi-model ensemble (CMIP6) and one 40-member single model initial-condition large ensemble (CESM) over Europe to reproduce the characteristics of a reanalysis dataset (ERA5) in terms of temperature–precipitation correlations and their historical changes. Next, the ensembles’ correlations for the end of the 21st century are compared. Over the historical period, both CMIP6 and CESM ensembles have season-dependent and spatially structured biases. Moreover, the inter-variable correlations from both ensembles mostly appear stationary. Thus, although reanalysis displays significant correlation changes, none of the ensembles can reproduce them, with internal variability representing only 30% on the inter-model variability. However, future correlations show significant changes over large spatial patterns. Yet, those patterns are rather different for CMIP6 and CESM, reflecting a large uncertainty in changes. In addition, for historical and futu</w:t>
      </w:r>
    </w:p>
    <w:p>
      <w:pPr/>
      <w:r>
        <w:rPr>
          <w:b/>
        </w:rPr>
        <w:t>POSSIBLE 2021:</w:t>
      </w:r>
      <w:r>
        <w:t xml:space="preserve"> Compound precipitation and wind extremes over Europe and their relationship to extratropical cyclones — https://doi.org/10.1016/j.wace.2021.100342</w:t>
      </w:r>
    </w:p>
    <w:p>
      <w:pPr/>
      <w:r>
        <w:rPr>
          <w:b/>
        </w:rPr>
        <w:t>Shared claim-specific concepts:</w:t>
      </w:r>
      <w:r>
        <w:t xml:space="preserve"> over, few, many, western, large, increases; EU scope visible. This is a provisional connection, not an outcome finding.</w:t>
      </w:r>
    </w:p>
    <w:p>
      <w:pPr>
        <w:pStyle w:val="SourceNote"/>
      </w:pPr>
      <w:r>
        <w:rPr>
          <w:b/>
        </w:rPr>
        <w:t>Available abstract (not full text):</w:t>
      </w:r>
      <w:r>
        <w:t xml:space="preserve"> Extratropical cyclones and their associated extreme precipitation and winds can have a severe impact on society and the co-occurrence between the two extremes is important when assessing risk. In this study the extremal dependency measure, χ, is used to quantify the co-occurrence of extreme precipitation and wind gusts, and is investigated at individual grid points and spatially over Europe. Results using three observational datasets and a higher spatial and temporal resolution version of ERA5 than previously used confirm previous studies. Over Europe high co-occurrence is found over western coasts and low co-occurrence is found over eastern coasts. All datasets have qualitatively similar spatial patterns over most regions of Europe excluding some regions of high topography where ERA5 χ values are much larger. ERA5 represents the timings of daily extreme co-occurring events well, compared to observations. The differences in precipitation accumulation timescales are also accounted for by considering hourly, 6, 24 and 48 hourly co-occurrence. In a few regions co-occurrence changes with longer accumulations, indicating the different speeds and sizes of weather systems affecting these regions. χ in most regions has little increase by allowing a 24 h lag and lead between the precipitation and wind, with a few exceptions where χ is increased by up to 24%. Regions with the larger of t</w:t>
      </w:r>
    </w:p>
    <w:p>
      <w:pPr/>
      <w:r>
        <w:rPr>
          <w:b/>
        </w:rPr>
        <w:t>POSSIBLE 2021:</w:t>
      </w:r>
      <w:r>
        <w:t xml:space="preserve"> Modelling Eurasian lynx populations in Western Europe: What prospects for the next 50 years? — https://doi.org/10.1101/2021.10.22.465393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Abstract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over, many, increases;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r>
        <w:rPr>
          <w:b/>
        </w:rPr>
        <w:t>POSSIBLE 2020:</w:t>
      </w:r>
      <w:r>
        <w:t xml:space="preserve"> An annotated checklist of bryophytes of Europe, Macaronesia and Cyprus — https://doi.org/10.1080/03736687.2019.1694329</w:t>
      </w:r>
    </w:p>
    <w:p>
      <w:pPr/>
      <w:r>
        <w:rPr>
          <w:b/>
        </w:rPr>
        <w:t>Shared claim-specific concepts:</w:t>
      </w:r>
      <w:r>
        <w:t xml:space="preserve"> over, next, few, many; EU scope visible. This is a provisional connection, not an outcome finding.</w:t>
      </w:r>
    </w:p>
    <w:p>
      <w:pPr>
        <w:pStyle w:val="SourceNote"/>
      </w:pPr>
      <w:r>
        <w:rPr>
          <w:b/>
        </w:rPr>
        <w:t>Available abstract (not full text):</w:t>
      </w:r>
      <w:r>
        <w:t xml:space="preserve"> Introduction.Following on from work on the European bryophyte Red List, the taxonomically and nomenclaturally updated spreadsheets used for that project have been expanded into a new checklist for the bryophytes of Europe.Methods.A steering group of ten European bryologists was convened, and over the course of a year, the spreadsheets were compared with previous European checklists, and all changes noted.Recent literature was searched extensively.A taxonomic system was agreed, and the advice and expertise of many European bryologists sought.Key results.A new European checklist of bryophytes, comprising hornworts, liverworts and mosses, is presented.Fifteen new combinations are proposed.Conclusions.This checklist provides a snapshot of the current European bryophyte flora in 2019.It will already be out-of-date on publication, and further research, particularly molecular work, can be expected to result in many more changes over the next few years.</w:t>
      </w:r>
    </w:p>
    <w:p>
      <w:pPr/>
      <w:r>
        <w:rPr>
          <w:b/>
        </w:rPr>
        <w:t>POSSIBLE 2020:</w:t>
      </w:r>
      <w:r>
        <w:t xml:space="preserve"> Diverging hydrological drought traits over Europe with global warming — https://doi.org/10.5194/hess-24-5919-2020</w:t>
      </w:r>
    </w:p>
    <w:p>
      <w:pPr/>
      <w:r>
        <w:rPr>
          <w:b/>
        </w:rPr>
        <w:t>Shared claim-specific concepts:</w:t>
      </w:r>
      <w:r>
        <w:t xml:space="preserve"> over, many, large; EU scope visible. This is a provisional connection, not an outcome finding.</w:t>
      </w:r>
    </w:p>
    <w:p>
      <w:pPr>
        <w:pStyle w:val="SourceNote"/>
      </w:pPr>
      <w:r>
        <w:rPr>
          <w:b/>
        </w:rPr>
        <w:t>Available abstract (not full text):</w:t>
      </w:r>
      <w:r>
        <w:t xml:space="preserve">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pPr/>
      <w:r>
        <w:rPr>
          <w:b/>
        </w:rPr>
        <w:t>POSSIBLE 2020:</w:t>
      </w:r>
      <w:r>
        <w:t xml:space="preserve"> On the Institutional Foundations of the Varieties of Entrepreneurship in Europe — https://doi.org/10.1007/978-3-662-61007-7_4</w:t>
      </w:r>
    </w:p>
    <w:p>
      <w:pPr/>
      <w:r>
        <w:rPr>
          <w:b/>
        </w:rPr>
        <w:t>Shared claim-specific concepts:</w:t>
      </w:r>
      <w:r>
        <w:t xml:space="preserve"> next, few, decades; EU scope visible. This is a provisional connection, not an outcome finding.</w:t>
      </w:r>
    </w:p>
    <w:p>
      <w:pPr>
        <w:pStyle w:val="SourceNote"/>
      </w:pPr>
      <w:r>
        <w:rPr>
          <w:b/>
        </w:rPr>
        <w:t>Available abstract (not full text):</w:t>
      </w:r>
      <w:r>
        <w:t xml:space="preserve"> For decades, research into the link between national institutions and entrepreneurship has been characterized by three shortcomings: First, clear-cut concepts of institutions are rare. Second, a parsimonious understanding of how a few core institutions influence entrepreneurship is missing. Third, scholars often ignore that incrementally innovative ventures constitute a distinct (and under-researched) type of entrepreneurship next to the (over-researched) form of radically innovative, high-growth or high-tech entrepreneurship. This chapter seeks to illustrate how the application of the “Varieties-of-Capitalism” (VoC) reasoning does not only enable focused rather than eclectic analyses of institutional influences on entrepreneurship but also reveals the institutionally induced equifinality of the varieties of entrepreneurship across Europe. These insights invite future entrepreneurship research to move away from the ideology that displays radically innovative entrepreneurship as, by far, the most desirable form of entrepreneurship. This finding also invites policymakers to target entrepreneurial support measures more specifically to their economy’s institutional environment.</w:t>
      </w:r>
    </w:p>
    <w:p>
      <w:pPr/>
      <w:r>
        <w:rPr>
          <w:b/>
        </w:rPr>
        <w:t>POSSIBLE 2019:</w:t>
      </w:r>
      <w:r>
        <w:t xml:space="preserve"> Explaining carsharing supply across Western European cities — https://doi.org/10.1080/15568318.2018.1542756</w:t>
      </w:r>
    </w:p>
    <w:p>
      <w:pPr/>
      <w:r>
        <w:rPr>
          <w:b/>
        </w:rPr>
        <w:t>Shared claim-specific concepts:</w:t>
      </w:r>
      <w:r>
        <w:t xml:space="preserve"> many, western, countries, striking; EU scope visible. This is a provisional connection, not an outcome finding.</w:t>
      </w:r>
    </w:p>
    <w:p>
      <w:pPr>
        <w:pStyle w:val="SourceNote"/>
      </w:pPr>
      <w:r>
        <w:rPr>
          <w:b/>
        </w:rPr>
        <w:t>Available abstract (not full text):</w:t>
      </w:r>
      <w:r>
        <w:t xml:space="preserve"> Carsharing can partially replace private ownership of vehicles with a service that allows the use of a car temporarily on an on-demand basis. In this study, we analyze the supply of shared cars across 177 cities in five Western European countries (Belgium, France, Germany, The Netherlands, United Kingdom), while distinguishing between the traditional business-to-consumer (B2C) business model and the more recent peer-to-peer (P2P) business model. The data on carsharing supply is individually collected of all operators in the respective cities, while data of city characteristics is drawn from international or national statistical databases. We explain carsharing supply using comparable data of 14 explanatory variables. The results indicate that carsharing is popular in cities with a high educational level or university presence and, in the B2C case, with many green party votes. Furthermore, carsharing is less popular in cities with many car commuters. Particularly striking are the differences between countries, with peer-to-peer carsharing being especially popular in French cities and business-to-consumer carsharing in Germany. We reflect on the findings in the light of (sustainable) mobility policy options.</w:t>
      </w:r>
    </w:p>
    <w:p>
      <w:pPr>
        <w:pStyle w:val="Heading2"/>
      </w:pPr>
      <w:r>
        <w:t>991.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2023:</w:t>
      </w:r>
      <w:r>
        <w:t xml:space="preserve"> GHG emissions of semiconductor manufacturing in 2021 — https://openalex.org/W4386614028</w:t>
      </w:r>
    </w:p>
    <w:p>
      <w:pPr/>
      <w:r>
        <w:rPr>
          <w:b/>
        </w:rPr>
        <w:t>Shared claim-specific concepts:</w:t>
      </w:r>
      <w:r>
        <w:t xml:space="preserve"> ghg, emissions, energy, systems; EU scope not established. This is a provisional connection, not an outcome finding.</w:t>
      </w:r>
    </w:p>
    <w:p>
      <w:pPr>
        <w:pStyle w:val="SourceNote"/>
      </w:pPr>
      <w:r>
        <w:rPr>
          <w:b/>
        </w:rPr>
        <w:t>Available abstract (not full text):</w:t>
      </w:r>
      <w:r>
        <w:t xml:space="preserve"> The greenhouse gas (GHG) emissions of semiconductor manufacturing represent an important share of the embodied carbon footprint of electronics systems. Manufacturing emissions are disclosed in the sustainability reports of semiconductor companies. This paper proposes a study of global semiconductor manufacturing carbon emissions, focusing on Scope 1 (direct emissions) and Scope 2 (emissions induced by consuming energy). The fifteen companies on the semiconductor market with highest 2021 revenues are considered, as well as the four main merchant foundries, over the years 2020 and 2021. As a large scale evaluation of carbon impacts, the resulting numbers compile heterogeneous figures and require a comprehensive discussion on the strengths and limitations of the evaluation. Most of the efforts on this paper are thus allocated to this discussion. The 2021 carbon emissions for the semiconductor industry worldwide are estimated at 76.5M tons of CO2 equivalent, breaking down into 30.6M tons CO2e of Scope 1 emissions (direct emissions), and 45.9M tons CO2e of scope 2 emissions (emissions induced by the energy consumption of manufacturing). These numbers do not include the Scope 3 impacts, neither downwards (usage of the products) nor upwards (constructing fabrication facilities, building fabrication machines, extracting raw materials, smelting and refining materials). Between 2020 and </w:t>
      </w:r>
    </w:p>
    <w:p>
      <w:pPr/>
      <w:r>
        <w:rPr>
          <w:b/>
        </w:rPr>
        <w:t>POSSIBLE 2023:</w:t>
      </w:r>
      <w:r>
        <w:t xml:space="preserve"> The drivers of GHG emissions: A novel approach to estimate emissions using nonparametric analysis — https://doi.org/10.1016/j.gr.2023.10.004</w:t>
      </w:r>
    </w:p>
    <w:p>
      <w:pPr/>
      <w:r>
        <w:rPr>
          <w:b/>
        </w:rPr>
        <w:t>Shared claim-specific concepts:</w:t>
      </w:r>
      <w:r>
        <w:t xml:space="preserve"> ghg, emissions, period; EU scope not established. This is a provisional connection, not an outcome finding.</w:t>
      </w:r>
    </w:p>
    <w:p>
      <w:pPr>
        <w:pStyle w:val="SourceNote"/>
      </w:pPr>
      <w:r>
        <w:rPr>
          <w:b/>
        </w:rPr>
        <w:t>Available abstract (not full text):</w:t>
      </w:r>
      <w:r>
        <w:t xml:space="preserve"> The rising levels of global GHG emissions underpin climate change, hence, taking an appropriate inventory of the drivers and patterns of anthropogenic emissions remains crucial to mitigating global climate effects. However, there are conflicting views in the literature on the relationship between respective drivers and GHG emissions due to the lack of robust analysis that accommodates the interaction of all significant drivers. We use novel estimation techniques to decipher the 26-year inventory of GHG occurrences and simultaneous assessment of interactions in 50 countries stratified based on socioeconomic developments over the period 1990-2018. This study highlights different drivers of GHG emissions under broader categories such as population, economic development, forest density, and agricultural practices. Non-parametric estimations roughly confirm the magnitude of the influence of forests, agriculture, and land-use intensity on GHG emissions, ultimately tracking the most significant emission sinks.</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The GHGs Evolution of LULUCF Sector at the European Union (EU-27 + UK): Romania Case Study — https://doi.org/10.3390/atmos13101638</w:t>
      </w:r>
    </w:p>
    <w:p>
      <w:pPr/>
      <w:r>
        <w:rPr>
          <w:b/>
        </w:rPr>
        <w:t>Shared claim-specific concepts:</w:t>
      </w:r>
      <w:r>
        <w:t xml:space="preserve"> ghg, emissions, compared, reference, period; EU scope visible. This is a provisional connection, not an outcome finding.</w:t>
      </w:r>
    </w:p>
    <w:p>
      <w:pPr>
        <w:pStyle w:val="SourceNote"/>
      </w:pPr>
      <w:r>
        <w:rPr>
          <w:b/>
        </w:rPr>
        <w:t>Available abstract (not full text):</w:t>
      </w:r>
      <w:r>
        <w:t xml:space="preserve"> Mitigating climate change is a challenge that urgently needs to be addressed, as it has an increasing impact on the planet. According to the latest reports, global CO2 emissions must be neutralized by 2050 in order to limit the rise in temperature to 1.5 °C. This work presents the evolution of Land Use, Land Use Change and Forestry (LULUCF) greenhouse gas (GHG) emissions/removals at the EU-27 + UK level for the 1990–2019 time period, as well as LULUCF emissions/removals forecasts for Romania up to 2040. The results revealed a 23% reduction in GHG emissions for the EU-27 + UK in 2019 compared to 1990. Romania’s yearly average of GHG emissions/removals was 28,000 kt CO2 eq., representing roughly 9.7% of the EU’s annual average. In terms of projections for Romania, the only scenario that will not be in the target set by the new LULUCF Regulation is WEM (Reference Scenario/With Existing Measures), in which net GHG removals will be reduced by approximately 218 kt CO2 eq., or 0.9 percent, in 2030 compared to the reference year; in 2040 compared to 1989, the trend will be accentuated both in absolute values, with a decrease of over 3000 kt CO2 eq., and in relative values of 12%.</w:t>
      </w:r>
    </w:p>
    <w:p>
      <w:pPr/>
      <w:r>
        <w:rPr>
          <w:b/>
        </w:rPr>
        <w:t>POSSIBLE 2022:</w:t>
      </w:r>
      <w:r>
        <w:t xml:space="preserve"> GHG emissions and firm performance: The role of CEO gender socialization — https://doi.org/10.1016/j.jbankfin.2022.106721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this paper, I examine the effect of corporate greenhouse gas emissions (GHG) on profitability. I use the gender composition of the CEOs' children as an identification strategy to investigate the impact of GHG emissions on profits. CEOs who father a daughter are associated with a 10% reduction in GHG emissions. The reduction in emissions, in turn, improves profitability. A one standard deviation decrease in GHG emissions leads to a 0.14 standard deviations increase in profitability. Examining the channels, I show that CEOs with daughters are more likely to adopt a climate-integrated business strategy and set emission-reduction targets. Emission reduction affects profitability through both information advantage (protection from negative industry shocks, and lower cost of capital), and operational efficiency (lower operating costs and energy consumption) channels.</w:t>
      </w:r>
    </w:p>
    <w:p>
      <w:pPr/>
      <w:r>
        <w:rPr>
          <w:b/>
        </w:rPr>
        <w:t>POSSIBLE 2022:</w:t>
      </w:r>
      <w:r>
        <w:t xml:space="preserve"> GHG Emissions by (Petro)Chemical Processes and Decarbonization Priorities—A Review — https://doi.org/10.3390/en15207560</w:t>
      </w:r>
    </w:p>
    <w:p>
      <w:pPr/>
      <w:r>
        <w:rPr>
          <w:b/>
        </w:rPr>
        <w:t>Shared claim-specific concepts:</w:t>
      </w:r>
      <w:r>
        <w:t xml:space="preserve"> ghg, emissions, same; EU scope not established. This is a provisional connection, not an outcome finding.</w:t>
      </w:r>
    </w:p>
    <w:p>
      <w:pPr>
        <w:pStyle w:val="SourceNote"/>
      </w:pPr>
      <w:r>
        <w:rPr>
          <w:b/>
        </w:rPr>
        <w:t>Available abstract (not full text):</w:t>
      </w:r>
      <w:r>
        <w:t xml:space="preserve"> Global warming is becoming an increasing issue, and greenhouse gas (GHG) emissions represent the engine of such a phenomenon. This review aims to identify the origin of GHG emissions and focus in detail on the ones related to (petro) chemical industries. The industrial sector is the primary GHG emitter among all the other anthropogenic sources. The chemical industry is the first in charge of that (having accounted for about 6.5% of the global GHG emissions in 2018). Thought-provoking data such as yearly productivities and emission factors related to the predominant chemicals prompt the reader to acquire a sense of the critical activities responsible for carbon-intensive emissions, which should be the first to be decarbonized. Specifically, ammonia synthesis and steam cracking resulted in the most polluting processes of the chemical industry, being responsible for the release of about 440 and 228 Mt-CO2,eq/y, respectively, in 2020. The same approach also applies to oil refining. Due to the massive amounts of oil barrels produced daily, oil refining is a key player in industrial GHG emissions (about 3% of the global emissions in 2018). Indeed, in 2020, refineries emitted nearly 1313 Mt-CO2,eq/y.</w:t>
      </w:r>
    </w:p>
    <w:p>
      <w:pPr/>
      <w:r>
        <w:rPr>
          <w:b/>
        </w:rPr>
        <w:t>POSSIBLE 2021:</w:t>
      </w:r>
      <w:r>
        <w:t xml:space="preserve"> S26 An assessment of short-acting β2-agonist (SABA) use and subsequent greenhouse gas (GHG) emissions in five European countries and the consequence of their potential overuse for asthma in the UK — https://doi.org/10.1136/thorax-2020-btsabstracts.32</w:t>
      </w:r>
    </w:p>
    <w:p>
      <w:pPr/>
      <w:r>
        <w:rPr>
          <w:b/>
        </w:rPr>
        <w:t>Shared claim-specific concepts:</w:t>
      </w:r>
      <w:r>
        <w:t xml:space="preserve"> consequence, ghg, emissions, compared, reference, period; EU scope visible. This is a provisional connection, not an outcome finding.</w:t>
      </w:r>
    </w:p>
    <w:p>
      <w:pPr>
        <w:pStyle w:val="SourceNote"/>
      </w:pPr>
      <w:r>
        <w:rPr>
          <w:b/>
        </w:rPr>
        <w:t>Available abstract (not full text):</w:t>
      </w:r>
      <w:r>
        <w:t xml:space="preserve"> Introduction The SABA Use IN Asthma (SABINA) programme associates SABA overuse (prescription of ≥3 canisters per year versus 0–2) with increased risk of exacerbations and asthma-related healthcare utilisation1; with this overuse common across Europe.2 In parallel, the environmental impact of inhaler choice receives attention but is often focussed on preventers. We analysed the volume of SABA use and its GHG emissions versus total inhaler devices and compared the U.K. with other European countries. Next, we calculated the annual volume and GHG emissions from SABA overuse in asthma in the U.K. using the SABINA U.K. study data. Methods Inhaler use was calculated using sales data obtained from life science analytics company IQVIA™ over 12 months to September 2019. Data were compared by dose, preventing confounding from device actuation count differences. SABA overuse volume in asthma i.e. sum of prescribing ≥3 prescriptions in 12 months, was extracted from Clinical Practice Research Datalink GOLD as part of SABINA U.K. (≥12 years, current asthma diagnosis, any severity, 12 month period between 2007–2019). GHG emissions of inhaler devices were estimated using published and internal AstraZeneca data on their full life cycle. Results SABA represents the majority of inhaler use and of GHG emissions in the U.K. and its neighbours (table 1). However, U.K. SABA use and GHG emissions per c</w:t>
      </w:r>
    </w:p>
    <w:p>
      <w:pPr>
        <w:pStyle w:val="Heading2"/>
      </w:pPr>
      <w:r>
        <w:t>992.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three, based;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Prevalence of congenital heart defects in Europe, 2008–2015: A registry‐based study — https://doi.org/10.1002/bdr2.2117</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pPr/>
      <w:r>
        <w:rPr>
          <w:b/>
        </w:rPr>
        <w:t>POSSIBLE 2021:</w:t>
      </w:r>
      <w:r>
        <w:t xml:space="preserve"> Kinds, Essences, and Natures — https://doi.org/10.4324/9781315709604-14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pPr/>
      <w:r>
        <w:rPr>
          <w:b/>
        </w:rPr>
        <w:t>POSSIBLE 2021:</w:t>
      </w:r>
      <w:r>
        <w:t xml:space="preserve"> Spatial Patterns in Actual Evapotranspiration Climatologies for Europe — https://doi.org/10.3390/rs13122410</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2019:</w:t>
      </w:r>
      <w:r>
        <w:t xml:space="preserve"> Information about Motion in Concepts of Different Ontological Kinds — https://doi.org/10.4324/9781315782362-141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This chapter presents the aims on empirical, theoretical, and analytic work from all areas of interest in cognitive science, such as artificial intelligence, education, linguistics, neuroscience, philosophy, psychology, and anthropology presented in European Cognitive Science Conference. It focuses on interdisciplinary work that is either of interest for more than one of the research areas mentioned or integrates research methods from different fields. With contributions by cognitive scientists from 20 different countries, the chapter reflects the origins of this conference, as well as its international scope. Two studies investigate information about object&amp;s;s motion in adults&amp;s; concepts with a classical paradigm, the feature production task. The aim is to verify which characteristics of motion, such as self-induction, are differentially distributed in the various ontological kinds and sub-kinds of concepts. Overall, three parameters which organize information about object&amp;s;s motion emerge from this study. The most important parameter, is the ability to produce a displacement.</w:t>
      </w:r>
    </w:p>
    <w:p>
      <w:pPr/>
      <w:r>
        <w:rPr>
          <w:b/>
        </w:rPr>
        <w:t>POSSIBLE 2018:</w:t>
      </w:r>
      <w:r>
        <w:t xml:space="preserve"> Regional inequality in Europe: evidence, theory and policy implications — https://doi.org/10.1093/jeg/lby021</w:t>
      </w:r>
    </w:p>
    <w:p>
      <w:pPr/>
      <w:r>
        <w:rPr>
          <w:b/>
        </w:rPr>
        <w:t>Shared claim-specific concepts:</w:t>
      </w:r>
      <w:r>
        <w:t xml:space="preserve"> different, promote; EU scope visible. This is a provisional connection, not an outcome finding.</w:t>
      </w:r>
    </w:p>
    <w:p>
      <w:pPr>
        <w:pStyle w:val="SourceNote"/>
      </w:pPr>
      <w:r>
        <w:rPr>
          <w:b/>
        </w:rPr>
        <w:t>Available abstract (not full text):</w:t>
      </w:r>
      <w:r>
        <w:t xml:space="preserve">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r>
        <w:rPr>
          <w:b/>
        </w:rPr>
        <w:t>POSSIBLE 2017:</w:t>
      </w:r>
      <w:r>
        <w:t xml:space="preserve"> Stakeholder Participation in European Standardization: A Mapping and an Assessment of Three Categories of Regulation — https://doi.org/10.54648/leie2017021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The continuum of Internal Market regulation comprises various kinds of regulatory measures, including legislation, harmonized and non-harmonized standards, and private ‘self-regulation’ of different origins. Public, as well as private actors, participate in the continuous development of European regulation. The different actors’ competences and roles vary during the processes, but it is evident that both public and private actors obtain a vital position in the collective production of European regulation. This article contributes with a mapping and categorization of the applied regulatory ‘means and measures’ related to Internal Market regulation and an assessment of stakeholder participation in three categories. Firstly, this article provides an outline of contemporary EU regulatory policies applied in the Internal Market regulation, and discusses the concepts of regulatory governance and regulation. Secondly, the different variants of regulation are allocated within three main categories: (1) public legislation; (2) co-regulation, and; (3) private selfregulation. Case examples of the different categories of regulation are explicated to illustrate the variances among the three types and of the ex-ante participatory processes. Finally, the article provides an assessment of stakeholder participation vis-à-vis the three categories of regulation.</w:t>
      </w:r>
    </w:p>
    <w:p>
      <w:pPr/>
      <w:r>
        <w:rPr>
          <w:b/>
        </w:rPr>
        <w:t>POSSIBLE 2016:</w:t>
      </w:r>
      <w:r>
        <w:t xml:space="preserve"> Different antisemitisms: on three distinct forms of antisemitism in contemporary Europe. With special focus on Sweden — https://doi.org/10.30752/nj.67611</w:t>
      </w:r>
    </w:p>
    <w:p>
      <w:pPr/>
      <w:r>
        <w:rPr>
          <w:b/>
        </w:rPr>
        <w:t>Shared claim-specific concepts:</w:t>
      </w:r>
      <w:r>
        <w:t xml:space="preserve"> three, different, kinds, based, country; EU scope visible. This is a provisional connection, not an outcome finding.</w:t>
      </w:r>
    </w:p>
    <w:p>
      <w:pPr>
        <w:pStyle w:val="SourceNote"/>
      </w:pPr>
      <w:r>
        <w:rPr>
          <w:b/>
        </w:rPr>
        <w:t>Available abstract (not full text):</w:t>
      </w:r>
      <w:r>
        <w:t xml:space="preserve"> This article studies eight European countries, investigating how the level of antisemit­ism as registered in national populations relates to the perception of antisemitism by the Jewish population in the same country. Furthermore, the article empirically identifies distinct aspects of antisemitism, deconstructing the concept of antisemitism and breaking it up into three kinds of empirically differently based and composed antisemitisms (note the plural!): classic antisemitism, Israel-derived antisemitism and Enlightenment-based antisemitism. The article also elaborates on some more general implications for the understanding of the character of antisemitism in contemporary Europe, and based on that, presents some perspectives on the development of the three distinct antisemitisms in contemporary Europe.</w:t>
      </w:r>
    </w:p>
    <w:p>
      <w:pPr/>
      <w:r>
        <w:rPr>
          <w:b/>
        </w:rPr>
        <w:t>POSSIBLE 2015:</w:t>
      </w:r>
      <w:r>
        <w:t xml:space="preserve"> Educational Genres in Eastern Europe: A Comparison of the Genres in the Humanities Departments of three Countries of Three Different Universities in Three Different Countries — https://doi.org/10.18552/joaw.v5i1.164</w:t>
      </w:r>
    </w:p>
    <w:p>
      <w:pPr/>
      <w:r>
        <w:rPr>
          <w:b/>
        </w:rPr>
        <w:t>Shared claim-specific concepts:</w:t>
      </w:r>
      <w:r>
        <w:t xml:space="preserve"> three, different, country; EU scope visible. This is a provisional connection, not an outcome finding.</w:t>
      </w:r>
    </w:p>
    <w:p>
      <w:pPr>
        <w:pStyle w:val="SourceNote"/>
      </w:pPr>
      <w:r>
        <w:rPr>
          <w:b/>
        </w:rPr>
        <w:t>Available abstract (not full text):</w:t>
      </w:r>
      <w:r>
        <w:t xml:space="preserve"> The intercultural study of genres provides an opportunity not only to gain an understanding of the differences in writing cultures but also to sharpen the view on what is particular for each learning context. As little previous research has undertaken systematic comparisons of genre systems at European universities, we collected data on educational genres used in writing from the Humanities departments of two universities in Eastern European countries (Romania and Ukraine) and one in a Southeastern European country (Republic of Macedonia). A questionnaire with listed genre names was distributed at the three universities to assess the importance and the perceptions of academic genres in the respective cultures. Open questions were used to validate the results and gather hypotheses on the meaning of the mentioned genres. Results show differences in the frequencies of genre use, which, however, do not allow typifying differences in the learning/writing cultures. Genres are labelled differently and emerge from different traditions but seem to resemble a similar pool of genres in each of the studied countries.</w:t>
      </w:r>
    </w:p>
    <w:p>
      <w:pPr/>
      <w:r>
        <w:rPr>
          <w:b/>
        </w:rPr>
        <w:t>POSSIBLE 2015:</w:t>
      </w:r>
      <w:r>
        <w:t xml:space="preserve"> A process-based 222 radon flux map for Europe and its comparison to long-term observations — https://doi.org/10.5194/acp-15-12845-2015</w:t>
      </w:r>
    </w:p>
    <w:p>
      <w:pPr/>
      <w:r>
        <w:rPr>
          <w:b/>
        </w:rPr>
        <w:t>Shared claim-specific concepts:</w:t>
      </w:r>
      <w:r>
        <w:t xml:space="preserve"> different, based, transport; EU scope visible. This is a provisional connection, not an outcome finding.</w:t>
      </w:r>
    </w:p>
    <w:p>
      <w:pPr>
        <w:pStyle w:val="SourceNote"/>
      </w:pPr>
      <w:r>
        <w:rPr>
          <w:b/>
        </w:rPr>
        <w:t>Available abstract (not full text):</w:t>
      </w:r>
      <w:r>
        <w:t xml:space="preserve"> Abstract. Detailed 222Rn flux maps are an essential prerequisite for the use of radon in atmospheric transport studies. Here we present a high-resolution222Rn flux map for Europe, based on a parameterization of 222Rn production and transport in the soil. The 222Rn exhalation rate was parameterized based on soil properties, uranium content, and modelled soil moisture from two different land-surface reanalysis data sets. Spatial variations in exhalation rates are primarily determined by the uranium content of the soil, but also influenced by local water table depth and soil texture. Temporal variations are related to soil moisture variations as the molecular diffusion in the unsaturated soil zone depends on available air-filled pore space. The implemented diffusion parameterization was tested against campaign-based 222Rn profile measurements. Monthly 222Rn exhalation rates from European soils were calculated with a nominal spatial resolution of 0.083° × 0.083° and compared to long-term direct measurements of 222Rn exhalation rates in different areas of Europe. The two realizations of the 222Rn flux map, based on the different soil moisture data sets, both realistically reproduce the observed seasonality in the fluxes but yield considerable differences for absolute flux values. The average 222Rn flux from soils in Europe is estimated to be 10 or 15 mBq m-2 s-1, depending on the so</w:t>
      </w:r>
    </w:p>
    <w:p>
      <w:pPr>
        <w:pStyle w:val="Heading2"/>
      </w:pPr>
      <w:r>
        <w:t>993.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2019:</w:t>
      </w:r>
      <w:r>
        <w:t xml:space="preserve"> Europe since 1970 — https://doi.org/10.5040/9781474207775.0093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2019:</w:t>
      </w:r>
      <w:r>
        <w:t xml:space="preserve"> The European Union and Democratization in Central and Southeastern Europe since 1989 — https://doi.org/10.1017/9781108752466.021</w:t>
      </w:r>
    </w:p>
    <w:p>
      <w:pPr/>
      <w:r>
        <w:rPr>
          <w:b/>
        </w:rPr>
        <w:t>Shared claim-specific concepts:</w:t>
      </w:r>
      <w:r>
        <w:t xml:space="preserve"> since, governments, credible; EU scope visible. This is a provisional connection, not an outcome finding.</w:t>
      </w:r>
    </w:p>
    <w:p>
      <w:pPr>
        <w:pStyle w:val="SourceNote"/>
      </w:pPr>
      <w:r>
        <w:rPr>
          <w:b/>
        </w:rPr>
        <w:t>Available abstract (not full text):</w:t>
      </w:r>
      <w:r>
        <w:t xml:space="preserve"> A central tool of the European Union (EU) to promote the democratization of post-communist Europe is its accession conditionality: the conditions it attaches to the offer of membership. Yet the EU’s influence on democratization varies across countries, and over time between the periods before and after accession. A key factor limiting the EU’s impact are the domestic costs of complying with the EU’s conditionality: the more governments rely on illiberal and undemocratic means to maintain power, the less influence the EU has. Moreover, even if the domestic adjustment costs are not prohibitively high, for EU conditionality to bring about, or lock in democratic change, the positive and negative incentives relating to the benefits of EU membership have to be credible. The limited credibility of the EU’s incentives, both of the sanctions against backsliding in new members and of the reward of accession for current candidate countries in Southeastern Europe, is a key explanation for the setback in the EU’s democratizing role during this decade.</w:t>
      </w:r>
    </w:p>
    <w:p>
      <w:pPr/>
      <w:r>
        <w:rPr>
          <w:b/>
        </w:rPr>
        <w:t>POSSIBLE 2018:</w:t>
      </w:r>
      <w:r>
        <w:t xml:space="preserve"> Europe since 1970 — https://doi.org/10.5040/9781474207775.093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2017:</w:t>
      </w:r>
      <w:r>
        <w:t xml:space="preserve"> Benchmarking Framework to Encourage Energy Efficiency Investments in South Europe. The Trust EPC South Approach — https://doi.org/10.1016/j.proenv.2017.03.125</w:t>
      </w:r>
    </w:p>
    <w:p>
      <w:pPr/>
      <w:r>
        <w:rPr>
          <w:b/>
        </w:rPr>
        <w:t>Shared claim-specific concepts:</w:t>
      </w:r>
      <w:r>
        <w:t xml:space="preserve"> all, since, order, national, large; EU scope visible. This is a provisional connection, not an outcome finding.</w:t>
      </w:r>
    </w:p>
    <w:p>
      <w:pPr>
        <w:pStyle w:val="SourceNote"/>
      </w:pPr>
      <w:r>
        <w:rPr>
          <w:b/>
        </w:rPr>
        <w:t>Available abstract (not full text):</w:t>
      </w:r>
      <w:r>
        <w:t xml:space="preserve"> The Energy Performance Contracting (EPC) market is still embryonic in South Europe since there are still many barriers: difficult access to financing, limited investors’ confidence in EPC models, scarcity of flagship projects, lack of certification schemes and financing mechanisms, especially for the tertiary sector (hospitality, tourism, healthcare), which presents a huge potential for Energy Efficiency (EE). The Trust EPC South project, funded by Horizon 2020 Research and Innovation Programme, aims to scale up investments in EE solutions in the private tertiary sector in South Europe, by delivering a robust investment standardization and benchmarking framework and a pipeline of bankable EPC projects in 6 countries (Portugal, Spain, France, Italy, Croatia and Greece); its results will eventually be extended to the Balkan. Tailored capacity building activities will allow an easier access to third-party financing, thus unlocking the large tertiary sector EE and Renewable Energy market potential. Initially, national market analyses took place (EPC providers, beneficiaries-clients, and financial institutions) to identify the market potential. National Discussion Platforms were set up to develop the national roadmaps addressing mechanisms for mitigation of policy, legal, and especially financial barriers. An investment standardization and benchmarking framework, built upon an estab</w:t>
      </w:r>
    </w:p>
    <w:p>
      <w:pPr/>
      <w:r>
        <w:rPr>
          <w:b/>
        </w:rPr>
        <w:t>POSSIBLE 2016:</w:t>
      </w:r>
      <w:r>
        <w:t xml:space="preserve"> Estimating HIV incidence and number of undiagnosed individuals living with HIV in the European Union/European Economic Area, 2015 — https://doi.org/10.2807/1560-7917.es.2016.21.48.30417</w:t>
      </w:r>
    </w:p>
    <w:p>
      <w:pPr/>
      <w:r>
        <w:rPr>
          <w:b/>
        </w:rPr>
        <w:t>Shared claim-specific concepts:</w:t>
      </w:r>
      <w:r>
        <w:t xml:space="preserve"> all, since, appears; EU scope visible. This is a provisional connection, not an outcome finding.</w:t>
      </w:r>
    </w:p>
    <w:p>
      <w:pPr>
        <w:pStyle w:val="SourceNote"/>
      </w:pPr>
      <w:r>
        <w:rPr>
          <w:b/>
        </w:rPr>
        <w:t>Available abstract (not full text):</w:t>
      </w:r>
      <w:r>
        <w:t xml:space="preserve"> Since 2011, human immunodeficiency virus (HIV) incidence appears unchanged in the European Union/European Economic Area with between 29,000 and 33,000 new cases reported annually up to 2015. Despite evidence that HIV diagnosis is occurring earlier post-infection, the estimated number of people living with HIV (PLHIV) who were unaware of being infected in 2015 was 122,000, or 15% of all PLHIV (n=810,000). This is concerning as such individuals cannot benefit from highly effective treatment and may unknowingly sustain transmission.</w:t>
      </w:r>
    </w:p>
    <w:p>
      <w:pPr/>
      <w:r>
        <w:rPr>
          <w:b/>
        </w:rPr>
        <w:t>POSSIBLE 2016:</w:t>
      </w:r>
      <w:r>
        <w:t xml:space="preserve"> Europe and Embodiment: A Levinasian Perspective — https://doi.org/10.1353/lev.2016.0016</w:t>
      </w:r>
    </w:p>
    <w:p>
      <w:pPr/>
      <w:r>
        <w:rPr>
          <w:b/>
        </w:rPr>
        <w:t>Shared claim-specific concepts:</w:t>
      </w:r>
      <w:r>
        <w:t xml:space="preserve"> all, since, appears, national; EU scope visible. This is a provisional connection, not an outcome finding.</w:t>
      </w:r>
    </w:p>
    <w:p>
      <w:pPr>
        <w:pStyle w:val="SourceNote"/>
      </w:pPr>
      <w:r>
        <w:rPr>
          <w:b/>
        </w:rPr>
        <w:t>Available abstract (not full text):</w:t>
      </w:r>
      <w:r>
        <w:t xml:space="preserve"> Europe and EmbodimentA Levinasian Perspective James Mensch (bio) The question of Europe has been raised continually. Behind it is the division of the continent into different peoples, languages, and cultures, all in close proximity to one another. Their plurality and proximity give rise to the opposing imperatives of trade and war. Since ancient times, the need to promote trade and the desire to prevent war have driven the search for a basis for European unity. Various candidates, from that of Roman law in ancient times to the current economic and regulatory union of today, have been tried. Such bureaucratic solutions, however, have not proved sufficient. They regulate external relations but do not touch what is within. This, however, is the difficulty: how do we understand nations and their relations from within? On an individual level, it is customary to speak of the inner as “subjectivity.” Such a term generally means the “subject” of experience, the unique and individual self that has experience. If we are to avoid the Cartesian conceptions of this self, we have to speak of such a subject as an embodied whole: an organic unity that is both conscious of its environment and distinguishes itself from the latter. Such an organic unity cannot be thought in terms of Descartes’s distinction between mind and body, the mind being nonextended and the body being extended. The body gra</w:t>
      </w:r>
    </w:p>
    <w:p>
      <w:pPr/>
      <w:r>
        <w:rPr>
          <w:b/>
        </w:rPr>
        <w:t>POSSIBLE 2015:</w:t>
      </w:r>
      <w:r>
        <w:t xml:space="preserve"> Modelling recent and future climatic suitability for fasciolosis in Europe — https://doi.org/10.4081/gh.2015.352</w:t>
      </w:r>
    </w:p>
    <w:p>
      <w:pPr/>
      <w:r>
        <w:rPr>
          <w:b/>
        </w:rPr>
        <w:t>Shared claim-specific concepts:</w:t>
      </w:r>
      <w:r>
        <w:t xml:space="preserve"> all, since, appears, order, programmes; EU scope visible. This is a provisional connection, not an outcome finding.</w:t>
      </w:r>
    </w:p>
    <w:p>
      <w:pPr>
        <w:pStyle w:val="SourceNote"/>
      </w:pPr>
      <w:r>
        <w:rPr>
          <w:b/>
        </w:rPr>
        <w:t>Available abstract (not full text):</w:t>
      </w:r>
      <w:r>
        <w:t xml:space="preserve"> Fasciola hepatica is a parasitic worm responsible for fasciolosis in grazed ruminants in Europe. The free-living stages of this parasite are sensitive to temperature and soil moisture, as are the intermediate snail hosts the parasite depends on for its life-cycle. We used a climate-driven disease model in order to assess the impact of recent and potential future climate changes on the incidence of fasciolosis and to estimate the related uncertainties at the scale of the European landmass. The current climate appears to be highly suitable for fasciolosis throughout the European Union with the exception of some parts of the Mediterranean region. Simulated climatic suitability for fasciolosis significantly increased during the 2000s in central and northwestern Europe, which is consistent with an observed increased in ruminant infections. The simulation showed that recent trends are likely to continue in the future with the estimated pattern of climate change for northern Europe, possibly extending the season suitable for development of the parasite in the environment by up to four months. For southern Europe, the simulated burden of disease may be lower, but the projected climate change will increase the risk during the winter months, since the simulated changes in temperature and moisture support the development of the free-living and intra-molluscan stages between November and M</w:t>
      </w:r>
    </w:p>
    <w:p>
      <w:pPr/>
      <w:r>
        <w:rPr>
          <w:b/>
        </w:rPr>
        <w:t>POSSIBLE 2015:</w:t>
      </w:r>
      <w:r>
        <w:t xml:space="preserve"> National Immigration and Integration Policies in Europe Since 1973 — https://doi.org/10.1007/978-3-319-21674-4_4</w:t>
      </w:r>
    </w:p>
    <w:p>
      <w:pPr/>
      <w:r>
        <w:rPr>
          <w:b/>
        </w:rPr>
        <w:t>Shared claim-specific concepts:</w:t>
      </w:r>
      <w:r>
        <w:t xml:space="preserve"> since, national, governments, aim; EU scope visible. This is a provisional connection, not an outcome finding.</w:t>
      </w:r>
    </w:p>
    <w:p>
      <w:pPr>
        <w:pStyle w:val="SourceNote"/>
      </w:pPr>
      <w:r>
        <w:rPr>
          <w:b/>
        </w:rPr>
        <w:t>Available abstract (not full text):</w:t>
      </w:r>
      <w:r>
        <w:t xml:space="preserve"> This chapter provides a historical review of the evolution of immigration and integration policies in Europe from 1973 up to now. It reconstructs the different challenges that migration flows have posed to European countries over the years and the policymaking responses developed accordingly. The chapter distinguishes three European migratory regimes: (i) North-Western Europe; (ii) Southern Europe; (iii) and Central and Eastern Europe. The diversity of migration policies adopted in each of these migratory systems is explained in relation to their geographical location, economic context, political history, and also notions of nationhood, national belonging and organization of government. Also integration policies are discussed, with the overall aim to clarify how the concept of integration has been used in policy formulation and policy practice in Europe. Furthermore, the chapter analyses the developments towards creation of a comprehensive European migration and asylum regime. Policymaking at the EU level has supplemented and sometimes challenged national policymaking in two main ways. First, the EU may subsidize local integration initiatives that would otherwise remain unfunded (e.g., by national governments). Second, EU mandates may limit objectives established at the national level that are at odds with EU law (e.g., restricting nations’ power to restrict the rights of third</w:t>
      </w:r>
    </w:p>
    <w:p>
      <w:pPr/>
      <w:r>
        <w:rPr>
          <w:b/>
        </w:rPr>
        <w:t>POSSIBLE 2014:</w:t>
      </w:r>
      <w:r>
        <w:t xml:space="preserve"> Fauna Europaea – all European animal species on the web — https://doi.org/10.3897/bdj.2.e4034</w:t>
      </w:r>
    </w:p>
    <w:p>
      <w:pPr/>
      <w:r>
        <w:rPr>
          <w:b/>
        </w:rPr>
        <w:t>Shared claim-specific concepts:</w:t>
      </w:r>
      <w:r>
        <w:t xml:space="preserve"> all, governments, large; EU scope visible. This is a provisional connection, not an outcome finding.</w:t>
      </w:r>
    </w:p>
    <w:p>
      <w:pPr>
        <w:pStyle w:val="SourceNote"/>
      </w:pPr>
      <w:r>
        <w:rPr>
          <w:b/>
        </w:rPr>
        <w:t>Available abstract (not full text):</w:t>
      </w:r>
      <w:r>
        <w:t xml:space="preserve"> Fauna Europaea is Europe's main zoological taxonomic index, making the scientific names and distributions of all living, currently known, multicellular, European land and freshwater animals species integrally available in one authoritative database. Fauna Europaea covers about 260,000 taxon names, including 145,000 accepted (sub)species, assembled by a large network of (&gt;400) leading specialists, using advanced electronic tools for data collations with data quality assured through sophisticated validation routines. Fauna Europaea started in 2000 as an EC funded FP5 project and provides a unique taxonomic reference for many user-groups such as scientists, governments, industries, nature conservation communities and educational programs. Fauna Europaea was formally accepted as an INSPIRE standard for Europe, as part of the European Taxonomic Backbone established in PESI. Fauna Europaea provides a public web portal at faunaeur.org with links to other key biodiversity services, is installed as a taxonomic backbone in wide range of biodiversity services and actively contributes to biodiversity informatics innovations in various initiatives and EC programs.</w:t>
      </w:r>
    </w:p>
    <w:p>
      <w:pPr>
        <w:pStyle w:val="Heading2"/>
      </w:pPr>
      <w:r>
        <w:t>994.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r>
        <w:rPr>
          <w:b/>
        </w:rPr>
        <w:t>POSSIBLE 2019:</w:t>
      </w:r>
      <w:r>
        <w:t xml:space="preserve"> How to Explain Behavior? — https://doi.org/10.1111/tops.12480</w:t>
      </w:r>
    </w:p>
    <w:p>
      <w:pPr/>
      <w:r>
        <w:rPr>
          <w:b/>
        </w:rPr>
        <w:t>Shared claim-specific concepts:</w:t>
      </w:r>
      <w:r>
        <w:t xml:space="preserve"> article, kind, challenge; EU scope not established. This is a provisional connection, not an outcome finding.</w:t>
      </w:r>
    </w:p>
    <w:p>
      <w:pPr>
        <w:pStyle w:val="SourceNote"/>
      </w:pPr>
      <w:r>
        <w:rPr>
          <w:b/>
        </w:rPr>
        <w:t>Available abstract (not full text):</w:t>
      </w:r>
      <w:r>
        <w:t xml:space="preserve"> Unlike behaviorism, cognitive psychology relies on mental concepts to explain behavior. Yet mental processes are not directly observable and multiple explanations are possible, which poses a challenge for finding a useful framework. In this article, I distinguish three new frameworks for explanations that emerged after the cognitive revolution. The first is called tools-to-theories: Psychologists' new tools for data analysis, such as computers and statistics, are turned into theories of mind. The second proposes as-if theories: Expected utility theory and Bayesian statistics are turned into theories of mind, describing an optimal solution of a problem but not its psychological process. The third studies the adaptive toolbox (formal models of heuristics) that describes mental processes in situations of uncertainty where an optimal solution is unknown. Depending on which framework researchers choose, they will model behavior in either situations of risk or of uncertainty, and construct models of cognitive processes or not. The frameworks also determine what questions are asked and what kind of data are generated. What all three frameworks have in common, however, is a clear preference for formal models rather than explanations by general dichotomies or mere verbal concepts. The frameworks have considerable potential to inform each other and to generate points of integration.</w:t>
      </w:r>
    </w:p>
    <w:p>
      <w:pPr/>
      <w:r>
        <w:rPr>
          <w:b/>
        </w:rPr>
        <w:t>POSSIBLE 2012:</w:t>
      </w:r>
      <w:r>
        <w:t xml:space="preserve"> The ecological approach to visual perception and the actor performance captured in the gaming landscape — https://doi.org/10.1386/ap3.2.1-2.137_1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Abstract The use of Performance Capture techniques in the creation of games that involve Motion Capture is a relatively new phenomenon. To date, there is no prescribed methodology that prepares actors for the rigours of this new industry and as such there are many questions to be answered around how actors navigate these environments successfully when all available training and theoretical material is focused on performance for theatre and film. This article proposes that through a deployment of an ecological approach to visual perception we may begin to chart this territory for actors and begin to contend with the demands of performing for the motion captured gaming scenario.</w:t>
      </w:r>
    </w:p>
    <w:p>
      <w:pPr>
        <w:pStyle w:val="Heading2"/>
      </w:pPr>
      <w:r>
        <w:t>995.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Needs of forensic psychiatric patients with schizophrenia in five European countries — https://doi.org/10.1007/s00127-022-02336-5</w:t>
      </w:r>
    </w:p>
    <w:p>
      <w:pPr/>
      <w:r>
        <w:rPr>
          <w:b/>
        </w:rPr>
        <w:t>Shared claim-specific concepts:</w:t>
      </w:r>
      <w:r>
        <w:t xml:space="preserve"> purpose, five, methods, used; EU scope visible. This is a provisional connection, not an outcome finding.</w:t>
      </w:r>
    </w:p>
    <w:p>
      <w:pPr>
        <w:pStyle w:val="SourceNote"/>
      </w:pPr>
      <w:r>
        <w:rPr>
          <w:b/>
        </w:rPr>
        <w:t>Available abstract (not full text):</w:t>
      </w:r>
      <w:r>
        <w:t xml:space="preserve">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purpose, describe, process, methods;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r>
        <w:rPr>
          <w:b/>
        </w:rPr>
        <w:t>POSSIBLE 2021:</w:t>
      </w:r>
      <w:r>
        <w:t xml:space="preserve"> General population normative data for the EQ-5D-3L in the five largest European economies — https://doi.org/10.1007/s10198-021-01326-9</w:t>
      </w:r>
    </w:p>
    <w:p>
      <w:pPr/>
      <w:r>
        <w:rPr>
          <w:b/>
        </w:rPr>
        <w:t>Shared claim-specific concepts:</w:t>
      </w:r>
      <w:r>
        <w:t xml:space="preserve"> aim, five, methods, used; EU scope visible. This is a provisional connection, not an outcome finding.</w:t>
      </w:r>
    </w:p>
    <w:p>
      <w:pPr>
        <w:pStyle w:val="SourceNote"/>
      </w:pPr>
      <w:r>
        <w:rPr>
          <w:b/>
        </w:rPr>
        <w:t>Available abstract (not full text):</w:t>
      </w:r>
      <w:r>
        <w:t xml:space="preserve"> AIM: The EQ-5D is a generic measure of health that is widely applied for health economic and non-economic purposes. Population norms can be used to facilitate the interpretation of EQ-5D data. The objective of this study was to develop a set of pooled normative EQ-5D-3L values for the five largest European economies (EUR5). METHODS: EQ-5D-3L index values based on the time trade-off (TTO) were available for all EUR5 countries (n = 21,425): France, Germany, Italy, Spain, and the United Kingdom (UK). Country-specific data sets were aggregated and weighted to facilitate the derivation of norms for gender and age groups. Analyses included equal weighting and weighting by population and economy size. Norms were also calculated using the European visual analog scale-based value set (European VAS), the EQ VAS and separately by dimension. RESULTS: Pooled mean (SD) population weighted TTO values for males/females were 0.967 (0.122)/0.959 (0.118) for ages 18-24; 0.965 (0.096)/0.954 (0.117) for ages 25-34; 0.943 (0.165)/0.936 (0.169) for ages 35-44; 0.934 (0.150)/0.921 (0.157) for ages 45-54; 0.896 (0.188)/0.875 (0.197) for ages 55-64; 0.900 (0.158)/0.839 (0.218) for ages 65-74; and 0.830 (0.234)/0.756 (0.291) for ages 75 and older. Mean values decreased and variance increased with age; females had slightly lower mean values than males across all age bands. The unequal weighting approaches</w:t>
      </w:r>
    </w:p>
    <w:p>
      <w:pPr/>
      <w:r>
        <w:rPr>
          <w:b/>
        </w:rPr>
        <w:t>POSSIBLE 2020:</w:t>
      </w:r>
      <w:r>
        <w:t xml:space="preserve"> The Humanistic and Economic Burden of Migraine in Europe: A Cross-Sectional Survey in Five Countries — https://doi.org/10.1007/s40120-020-00196-2</w:t>
      </w:r>
    </w:p>
    <w:p>
      <w:pPr/>
      <w:r>
        <w:rPr>
          <w:b/>
        </w:rPr>
        <w:t>Shared claim-specific concepts:</w:t>
      </w:r>
      <w:r>
        <w:t xml:space="preserve"> aim, five, methods; EU scope visible. This is a provisional connection, not an outcome finding.</w:t>
      </w:r>
    </w:p>
    <w:p>
      <w:pPr>
        <w:pStyle w:val="SourceNote"/>
      </w:pPr>
      <w:r>
        <w:rPr>
          <w:b/>
        </w:rPr>
        <w:t>Available abstract (not full text):</w:t>
      </w:r>
      <w:r>
        <w:t xml:space="preserve"> INTRODUCTION: Prior studies have estimated the burden of migraine in patients suffering from ≥ 4 monthly headache days (MHDs), but the burden experienced by migraineurs suffering from one to three (1-3) MHDs is unknown. The aim of this study was to examine the incremental burden of migraine in terms of health-related quality of life (HRQoL), impairments to work and daily activities, and healthcare resource utilization (HRU) in five European countries (France, Germany, Italy, Spain, and the UK (EU5]), by comparing migraineurs with ≥ 4 MHDs and migraineurs with 1-3 MHDs. METHODS: The sample for this retrospective cross-sectional study was collected from the 2017 National Health and Wellness Survey (N = 62,000). The Short-Form 12-Item Health Survey Instrument, version-2 physical and mental component summary (PCS and MCS) scores, Short-Form 6-dimensions (SF-6D), EuroQoL 5-dimensions (EQ-5D) and EuroQoL visual analog scale (VAS) scores, impairments to work productivity and daily activities (Work Productivity and Activity Impairment [WPAI] Questionnaire) scores, and HRU were compared between migraineur groups with ≥ 4 MHDs (4-7, intermediate-frequency episodic migraine; 8-14, high-frequency episodic migraine; ≥ 15 chronic migraine) and the migraineur subgroup with 1-3 MHDs (low-frequency episodic migraine) using generalized linear modeling after adjusting for covariates. RESULTS: Dat</w:t>
      </w:r>
    </w:p>
    <w:p>
      <w:pPr/>
      <w:r>
        <w:rPr>
          <w:b/>
        </w:rPr>
        <w:t>POSSIBLE 2018:</w:t>
      </w:r>
      <w:r>
        <w:t xml:space="preserve"> European In-Situ Snow Measurements: Practices and Purposes — https://doi.org/10.3390/s18072016</w:t>
      </w:r>
    </w:p>
    <w:p>
      <w:pPr/>
      <w:r>
        <w:rPr>
          <w:b/>
        </w:rPr>
        <w:t>Shared claim-specific concepts:</w:t>
      </w:r>
      <w:r>
        <w:t xml:space="preserve"> describe, methods, range; EU scope visible. This is a provisional connection, not an outcome finding.</w:t>
      </w:r>
    </w:p>
    <w:p>
      <w:pPr>
        <w:pStyle w:val="SourceNote"/>
      </w:pPr>
      <w:r>
        <w:rPr>
          <w:b/>
        </w:rPr>
        <w:t>Available abstract (not full text):</w:t>
      </w:r>
      <w:r>
        <w:t xml:space="preserve"> In-situ snow measurements conducted by European institutions for operational, research, and energy business applications were surveyed in the framework of the European Cooperation in Science and Technology (COST) Action ES1404, called "A European network for a harmonised monitoring of snow for the benefit of climate change scenarios, hydrology, and numerical weather prediction". Here we present the results of this survey, which was answered by 125 participants from 99 operational and research institutions, belonging to 38 European countries. The typologies of environments where the snow measurements are performed range from mountain to low elevated plains, including forests, bogs, tundra, urban areas, glaciers, lake ice, and sea ice. Of the respondents, 93% measure snow macrophysical parameters, such as snow presence, snow depth (HS), snow water equivalent (SWE), and snow density. These describe the bulk characteristics of the whole snowpack or of a snow layer, and they are the primary snow properties that are needed for most operational applications (such as hydrological monitoring, avalanche forecast, and weather forecast). In most cases, these measurements are done with manual methods, although for snow presence, HS, and SWE, automatized methods are also applied by some respondents. Parameters characterizing precipitating and suspended snow (such as the height of new snow, p</w:t>
      </w:r>
    </w:p>
    <w:p>
      <w:pPr/>
      <w:r>
        <w:rPr>
          <w:b/>
        </w:rPr>
        <w:t>POSSIBLE 2018:</w:t>
      </w:r>
      <w:r>
        <w:t xml:space="preserve"> A longitudinal and comparative analysis of competitive balance in five European football leagues — https://doi.org/10.1108/tpm-09-2017-0055</w:t>
      </w:r>
    </w:p>
    <w:p>
      <w:pPr/>
      <w:r>
        <w:rPr>
          <w:b/>
        </w:rPr>
        <w:t>Shared claim-specific concepts:</w:t>
      </w:r>
      <w:r>
        <w:t xml:space="preserve"> purpose, five, design, methodology, approach; EU scope visible. This is a provisional connection, not an outcome finding.</w:t>
      </w:r>
    </w:p>
    <w:p>
      <w:pPr>
        <w:pStyle w:val="SourceNote"/>
      </w:pPr>
      <w:r>
        <w:rPr>
          <w:b/>
        </w:rPr>
        <w:t>Available abstract (not full text):</w:t>
      </w:r>
      <w:r>
        <w:t xml:space="preserve"> Purpose This paper aims to provide empirical evidence on competitive balance in the “big five” European football leagues, namely, the English Premier League, French Ligue 1, German Bundesliga, Italian Serie A and Spanish La Liga. Design/methodology/approach This paper uses recognised measures of competitive balance to measure levels of concentration (within-season competitive balance) and dominance (between-season competitive balance) in the selected leagues over 22 seasons between 1995/96 and 2016/17. Findings French Ligue 1 emerged as the most balanced league in terms of both concentration and dominance measures. The analysis also points to a statistically significant decline in competitive balance in all leagues apart from Serie A (Italy). Originality/value The findings of this study are of concern for the league organisers. Competition intensity is a key component of a sport league, and a league that is dominated by one or a select few clubs is less attractive within the marketplace. This paper presents challenges at the league governance level for the five leagues examined.</w:t>
      </w:r>
    </w:p>
    <w:p>
      <w:pPr/>
      <w:r>
        <w:rPr>
          <w:b/>
        </w:rPr>
        <w:t>POSSIBLE 2017:</w:t>
      </w:r>
      <w:r>
        <w:t xml:space="preserve"> The search for an appropriate end-of-life formula for the purpose of the European Commission Environmental Footprint initiative — https://doi.org/10.1007/s11367-016-1244-0</w:t>
      </w:r>
    </w:p>
    <w:p>
      <w:pPr/>
      <w:r>
        <w:rPr>
          <w:b/>
        </w:rPr>
        <w:t>Shared claim-specific concepts:</w:t>
      </w:r>
      <w:r>
        <w:t xml:space="preserve"> purpose, aim, methods, approach; EU scope visible. This is a provisional connection, not an outcome finding.</w:t>
      </w:r>
    </w:p>
    <w:p>
      <w:pPr>
        <w:pStyle w:val="SourceNote"/>
      </w:pPr>
      <w:r>
        <w:rPr>
          <w:b/>
        </w:rPr>
        <w:t>Available abstract (not full text):</w:t>
      </w:r>
      <w:r>
        <w:t xml:space="preserve"> This paper explains in details the rationale behind the choice of the end-of-life allocation approach in the European Commission Product Environmental Footprint (PEF) and Organisational Environmental Footprint (OEF) methods. The end-of-life allocation formula in the PEF/OEF methods aims at enabling the assessment of all end-of-life scenarios possible, including recycling, reuse, incineration (with heat recovery) and disposal for both open- and closed-loop systems in a consistent and reproducible way. It presents how the formula builds on existing standards and how and why it deviates from them. Various end-of-life allocation approaches and formulas, mainly taken not only from/based on existing environmental impact assessment methods and/or standards but also one original linearly degressive approach, were analysed against a predetermined set of criteria, reflecting the overall aim of the PEF/OEF methods. This set of criteria is physical realism, distribution of burdens and benefits in a product cascade system and applicability. Besides the qualitative analysis, the various formulas were implemented for several products and for different scenarios regarding recycled content and recyclability to check the robustness of the outcomes, exemplary expressed for the Global Warming Potential impact category. As reaching physical realism was impossible at both the product and overall pro</w:t>
      </w:r>
    </w:p>
    <w:p>
      <w:pPr/>
      <w:r>
        <w:rPr>
          <w:b/>
        </w:rPr>
        <w:t>POSSIBLE 2017:</w:t>
      </w:r>
      <w:r>
        <w:t xml:space="preserve"> Regional differences in insulin therapy regimens in five European countries — https://doi.org/10.5414/cp202906</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AIMS: The purpose of this study was to investigate differences of insulin therapy regimens in five European countries. METHODS: Proportions of basal bolus therapy (intensified insulin therapy (ICT), basal insulin supported oral therapy (BOT), conventional therapy (CT), and short-acting prandial insulin (SIT) among insulin-treated diabetes patients in Germany (n = 64,055), the UK (n = 6,740), and France (n = 4,779) were estimated using representative general medicine practice databases (Disease Analyzer: 2014). Insulin regimens in Hungary (n = 40,769) and Poland (n = 68,136) were analyzed based on nationwide prescription databases (LRx: 2014). RESULTS: ICT was the most frequent insulin regimen (46 - 81%) in all countries except France (BOT &gt; ICT). SIT showed the lowest use, ranging from 2.5% in the UK to 11.2% in Germany. BOT was more frequently used than CT in Germany and Hungary, which was just the opposite in the UK and Poland. The share of insulin analogs among all prescriptions was higher in Germany, the UK, and France (short-acting insulins: 59 - 98%; basal insulins: 70 - 93%) than in Hungary and Poland (short-acting insulins: 41 - 57%; basal insulins: 23 - 46%) (all p &lt; 0.001). CONCLUSIONS: Despite national and international guidelines, insulin regimens differ substantially between European countries. Our results most likely reflect differences in regulations and reimburs</w:t>
      </w:r>
    </w:p>
    <w:p>
      <w:pPr/>
      <w:r>
        <w:rPr>
          <w:b/>
        </w:rPr>
        <w:t>POSSIBLE 2016:</w:t>
      </w:r>
      <w:r>
        <w:t xml:space="preserve"> Forestry applications of UAVs in Europe: a review — https://doi.org/10.1080/01431161.2016.1252477</w:t>
      </w:r>
    </w:p>
    <w:p>
      <w:pPr/>
      <w:r>
        <w:rPr>
          <w:b/>
        </w:rPr>
        <w:t>Shared claim-specific concepts:</w:t>
      </w:r>
      <w:r>
        <w:t xml:space="preserve"> aim, use, used; EU scope visible. This is a provisional connection, not an outcome finding.</w:t>
      </w:r>
    </w:p>
    <w:p>
      <w:pPr>
        <w:pStyle w:val="SourceNote"/>
      </w:pPr>
      <w:r>
        <w:rPr>
          <w:b/>
        </w:rPr>
        <w:t>Available abstract (not full text):</w:t>
      </w:r>
      <w:r>
        <w:t xml:space="preserve"> Unmanned aerial vehicles (UAVs) or remotely piloted aircraft systems are new platforms that have been increasingly used over the last decade in Europe to collect data for forest research, thanks to the miniaturization and cost reduction of GPS receivers, inertial navigation system, computers, and, most of all, sensors for remote sensing.In this review, after describing the regulatory framework for the operation of UAVs in the European Union (EU), an overview of applications in forest research is presented, followed by a discussion of the results obtained from the analysis of different case studies.Rotary-wing and fixed-wing UAVs are equally distributed among the case studies, while ready-to-fly solutions are preferred over self-designed and developed UAVs. Most adopted technologies are visible-red, green, and blue, multispectral in visible and near-infrared, middle-infrared, thermal infrared imagery, and lidar.The majority of current UAV-based applications for forest research aim to inventory resources, map diseases, classify species, monitor fire and its effects, quantify spatial gaps, and estimate post-harvest soil displacement.Successful implementation of UAVs in forestry depends on UAV features, such as flexibility of use in flight planning, low cost, reliability and autonomy, and capability of timely provision of high-resolution data.Unfortunately, the fragmented regulatio</w:t>
      </w:r>
    </w:p>
    <w:p>
      <w:pPr/>
      <w:r>
        <w:rPr>
          <w:b/>
        </w:rPr>
        <w:t>POSSIBLE 2016:</w:t>
      </w:r>
      <w:r>
        <w:t xml:space="preserve"> Moving beyond the “Five Freedoms” by Updating the “Five Provisions” and Introducing Aligned “Animal Welfare Aims” — https://doi.org/10.3390/ani6100059</w:t>
      </w:r>
    </w:p>
    <w:p>
      <w:pPr/>
      <w:r>
        <w:rPr>
          <w:b/>
        </w:rPr>
        <w:t>Shared claim-specific concepts:</w:t>
      </w:r>
      <w:r>
        <w:t xml:space="preserve"> five, application, range, first; EU scope visible. This is a provisional connection, not an outcome finding.</w:t>
      </w:r>
    </w:p>
    <w:p>
      <w:pPr>
        <w:pStyle w:val="SourceNote"/>
      </w:pPr>
      <w:r>
        <w:rPr>
          <w:b/>
        </w:rPr>
        <w:t>Available abstract (not full text):</w:t>
      </w:r>
      <w:r>
        <w:t xml:space="preserve"> Although the Five Freedoms paradigm has been very influential in shaping animal welfare thinking for the last two decades, it has two key disadvantages. First, the focus on "freedom" from a range of negative experiences and states has been misunderstood in a number of quarters to mean that complete freedom from these experiences and states is possible, when in fact the best that can be achieved is for them to be minimised. Second, the major focus of the Freedoms on negative experiences and states is now seen to be a disadvantage in view of current understanding that animal welfare management should also include the promotion of positive experiences and states. The challenge therefore was to formulate a paradigm that overcame these two main problems and yet was straightforward enough to be accessible to non-specialists, including members of the lay public who are interested in animal welfare. This was achieved by highlighting the Five Provisions, originally aligned with the Five Freedoms, but now updated to direct welfare management towards activities that both minimise negative experiences or states and promote positive experiences or states as specified by particular Animal Welfare Aims assigned to each Provision. Aspects of the four welfare principles from the European Welfare Quality assessment system (WQ (®) ) and elements of all domains of the Five Domains Model for animal</w:t>
      </w:r>
    </w:p>
    <w:p>
      <w:pPr>
        <w:pStyle w:val="Heading2"/>
      </w:pPr>
      <w:r>
        <w:t>996.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2024:</w:t>
      </w:r>
      <w:r>
        <w:t xml:space="preserve"> Relationship between Seminars and Employee Performance in Level Four Hospitals in South-Rift Region, Kenya — https://doi.org/10.47772/ijriss.2024.8100084</w:t>
      </w:r>
    </w:p>
    <w:p>
      <w:pPr/>
      <w:r>
        <w:rPr>
          <w:b/>
        </w:rPr>
        <w:t>Shared claim-specific concepts:</w:t>
      </w:r>
      <w:r>
        <w:t xml:space="preserve"> findings, four, developed, region, help; EU scope not established. This is a provisional connection, not an outcome finding.</w:t>
      </w:r>
    </w:p>
    <w:p>
      <w:pPr>
        <w:pStyle w:val="SourceNote"/>
      </w:pPr>
      <w:r>
        <w:rPr>
          <w:b/>
        </w:rPr>
        <w:t>Available abstract (not full text):</w:t>
      </w:r>
      <w:r>
        <w:t xml:space="preserve">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pPr/>
      <w:r>
        <w:rPr>
          <w:b/>
        </w:rPr>
        <w:t>POSSIBLE 2023:</w:t>
      </w:r>
      <w:r>
        <w:t xml:space="preserve"> How to develop four competencies for teacher educators — https://doi.org/10.3389/feduc.2023.1147143</w:t>
      </w:r>
    </w:p>
    <w:p>
      <w:pPr/>
      <w:r>
        <w:rPr>
          <w:b/>
        </w:rPr>
        <w:t>Shared claim-specific concepts:</w:t>
      </w:r>
      <w:r>
        <w:t xml:space="preserve"> findings, four, education; EU scope not established. This is a provisional connection, not an outcome finding.</w:t>
      </w:r>
    </w:p>
    <w:p>
      <w:pPr>
        <w:pStyle w:val="SourceNote"/>
      </w:pPr>
      <w:r>
        <w:rPr>
          <w:b/>
        </w:rPr>
        <w:t>Available abstract (not full text):</w:t>
      </w:r>
      <w:r>
        <w:t xml:space="preserve"> Understanding competencies and the process of acquiring them contributes to a shared set of essential abilities for teacher educators’ professional development. Practical experiences of practitioners expose which competencies the work context requires them to possess and situations in which their learning is conducted. The necessity for essential contextual competency is pressing, particularly for teacher educators working in developing countries where teacher education has undergone reforms to respond to national and international demands. This study explores competencies for teacher educators in Vietnam through in-depth interviews with experienced practitioners and their visual metaphors. Eight participants with working experience ranging from 6 to 26 years were interviewed for 60–180 min during January–April 2021. The results reveal four competency areas of (1) knowledge and skills consisting of (a) teaching skill, (b) subject content, (c) scientific and subject-related information, (d) the reality of education and multidisciplinary knowledge, (e) research procedural knowledge, (f) collaboration with others, and (g) English language; (2) ethical manner; (3) motivation; and (4) self-reflection about personal values. Professional development includes learning from and working with others, learning in organized courses, conducting independent and collaborative research, and oth</w:t>
      </w:r>
    </w:p>
    <w:p>
      <w:pPr/>
      <w:r>
        <w:rPr>
          <w:b/>
        </w:rPr>
        <w:t>POSSIBLE 2023:</w:t>
      </w:r>
      <w:r>
        <w:t xml:space="preserve"> Characterization of four commercial waxy wheats developed in China — https://doi.org/10.1002/cche.10687</w:t>
      </w:r>
    </w:p>
    <w:p>
      <w:pPr/>
      <w:r>
        <w:rPr>
          <w:b/>
        </w:rPr>
        <w:t>Shared claim-specific concepts:</w:t>
      </w:r>
      <w:r>
        <w:t xml:space="preserve"> findings, four, developed, higher; EU scope not established. This is a provisional connection, not an outcome finding.</w:t>
      </w:r>
    </w:p>
    <w:p>
      <w:pPr>
        <w:pStyle w:val="SourceNote"/>
      </w:pPr>
      <w:r>
        <w:rPr>
          <w:b/>
        </w:rPr>
        <w:t>Available abstract (not full text):</w:t>
      </w:r>
      <w:r>
        <w:t xml:space="preserve"> Abstract Background and Objectives As the interest in use of waxy wheat in food applications continues to grow, it is important to fully understand characteristics of waxy wheats. To the best of our knowledge, there was no previous study reporting a complete characterization of commercial waxy wheats developed in China, especially properties of wheat kernels, dough, wet milling, gluten, and starch. To promote the industrial utilization of waxy wheat, four Chinese commercial waxy wheats were collected and characterized. Findings Four commercial waxy wheats commercialized in China were sound medium hard wheats. Care must be taken during harvesting and storage of waxy wheats since the waxy wheat flours were very sensitive to the endogenous α‐amylase even at a very low level of enzyme activity. Rapid viscosity analyzer had a good potential for evaluating the sprout damage of waxy wheat. Dough rheological properties and gluten index showed that the four waxy wheats had weak gluten quality, agreeing with wet‐milling performance. The waxy wheat starches had higher onset, peak, and conclusion gelatinization temperatures than normal wheat starch. While the waxy wheat starches showed lower pasting temperature and higher peak viscosity than normal wheat starch. Conclusions Results suggested that the four commercial waxy wheats varied in kernel characteristics, protein and starch contents,</w:t>
      </w:r>
    </w:p>
    <w:p>
      <w:pPr/>
      <w:r>
        <w:rPr>
          <w:b/>
        </w:rPr>
        <w:t>POSSIBLE 2023:</w:t>
      </w:r>
      <w:r>
        <w:t xml:space="preserve"> Four ways blue foods can help achieve food system ambitions across nations — https://doi.org/10.1038/s41586-023-05737-x</w:t>
      </w:r>
    </w:p>
    <w:p>
      <w:pPr/>
      <w:r>
        <w:rPr>
          <w:b/>
        </w:rPr>
        <w:t>Shared claim-specific concepts:</w:t>
      </w:r>
      <w:r>
        <w:t xml:space="preserve"> findings, four, help, people, south; EU scope not established. This is a provisional connection, not an outcome finding.</w:t>
      </w:r>
    </w:p>
    <w:p>
      <w:pPr>
        <w:pStyle w:val="SourceNote"/>
      </w:pPr>
      <w:r>
        <w:rPr>
          <w:b/>
        </w:rPr>
        <w:t>Available abstract (not full text):</w:t>
      </w:r>
      <w:r>
        <w:t xml:space="preserve"> Abstract Blue foods, sourced in aquatic environments, are important for the economies, livelihoods, nutritional security and cultures of people in many nations. They are often nutrient rich1, generate lower emissions and impacts on land and water than many terrestrial meats2, and contribute to the health3, wellbeing and livelihoods of many rural communities4. The Blue Food Assessment recently evaluated nutritional, environmental, economic and justice dimensions of blue foods globally. Here we integrate these findings and translate them into four policy objectives to help realize the contributions that blue foods can make to national food systems around the world: ensuring supplies of critical nutrients, providing healthy alternatives to terrestrial meat, reducing dietary environmental footprints and safeguarding blue food contributions to nutrition, just economies and livelihoods under a changing climate. To account for how context-specific environmental, socio-economic and cultural aspects affect this contribution, we assess the relevance of each policy objective for individual countries, and examine associated co-benefits and trade-offs at national and international scales. We find that in many African and South American nations, facilitating consumption of culturally relevant blue food, especially among nutritionally vulnerable population segments, could address vitamin B12a</w:t>
      </w:r>
    </w:p>
    <w:p>
      <w:pPr/>
      <w:r>
        <w:rPr>
          <w:b/>
        </w:rPr>
        <w:t>POSSIBLE 2023:</w:t>
      </w:r>
      <w:r>
        <w:t xml:space="preserve"> Current Antibiotic Use Among Hospitals in the sub-Saharan Africa Region; Findings and Implications — https://doi.org/10.2147/idr.s398223</w:t>
      </w:r>
    </w:p>
    <w:p>
      <w:pPr/>
      <w:r>
        <w:rPr>
          <w:b/>
        </w:rPr>
        <w:t>Shared claim-specific concepts:</w:t>
      </w:r>
      <w:r>
        <w:t xml:space="preserve"> findings, region, longer, south; EU scope not established. This is a provisional connection, not an outcome finding.</w:t>
      </w:r>
    </w:p>
    <w:p>
      <w:pPr>
        <w:pStyle w:val="SourceNote"/>
      </w:pPr>
      <w:r>
        <w:rPr>
          <w:b/>
        </w:rPr>
        <w:t>Available abstract (not full text):</w:t>
      </w:r>
      <w:r>
        <w:t xml:space="preserve"> Background: The rapid rise in antimicrobial resistance (AMR) globally, impacting on morbidity, mortality and costs with sub-Saharan African countries reporting the greatest burden is a concern. Instigation of antimicrobial stewardship programs (ASPs) can improve antibiotic use in hospitals and reduce AMR. Implementing ASPs requires knowledge of antibiotic utilization against agreed quality indicators with the data obtained from point prevalence surveys (PPS), hence the need to document antibiotic utilization patterns in sub-Saharan Africa. Methods: A narrative review to document current utilization patterns, challenges, indicators and ASPs across sub-Saharan Africa based on previous reviews by the authors, supplemented by the considerable knowledge and experience of the co-authors. Results: Results from multiple PPS studies showed a high prevalence of antibiotic use among hospitals, mostly over 50%. Prevalence rates ranged from as low as 37.7% in South Africa to as high as 80.1% in Nigeria. There was also considerable prescribing of broad-spectrum antibiotics which could be due to lack of facilities within hospitals, alongside concerns with co-payments to perform microbiological tests, resulting in empiric prescribing. This is a concern alongside lack of guidelines or adherence to guidelines, which was as low as 4% in one study. Another concern was the high rates of extended pr</w:t>
      </w:r>
    </w:p>
    <w:p>
      <w:pPr/>
      <w:r>
        <w:rPr>
          <w:b/>
        </w:rPr>
        <w:t>POSSIBLE 2022:</w:t>
      </w:r>
      <w:r>
        <w:t xml:space="preserve"> Developing a scale to measure problems in finding a good fit — https://doi.org/10.1108/jfmm-11-2021-0302</w:t>
      </w:r>
    </w:p>
    <w:p>
      <w:pPr/>
      <w:r>
        <w:rPr>
          <w:b/>
        </w:rPr>
        <w:t>Shared claim-specific concepts:</w:t>
      </w:r>
      <w:r>
        <w:t xml:space="preserve"> findings, four, purpose; EU scope not established. This is a provisional connection, not an outcome finding.</w:t>
      </w:r>
    </w:p>
    <w:p>
      <w:pPr>
        <w:pStyle w:val="SourceNote"/>
      </w:pPr>
      <w:r>
        <w:rPr>
          <w:b/>
        </w:rPr>
        <w:t>Available abstract (not full text):</w:t>
      </w:r>
      <w:r>
        <w:t xml:space="preserve"> Purpose The purposes of this study were twofold: (1) to develop a scale for measuring consumers' perceived problems of finding a good fit (PFGF) and (2) to provide evidence of several types of scale validities including nomological validity through examining the relationship between PFGF and body esteem based on attribution theory. Design/methodology/approach Scale development took place in three steps: (1) An initial pool of items was generated based on a previous study; (2) preliminary quantitative tests of reliability and validity of items were performed, including confirmatory factor analyses (CFAs); and (3) final scale validation through a discriminant and nomological validity test was conducted using CFA and the structural equation model (SEM). CFAs and SEM with the mediation effect were performed using Preacher and Hayes' (2008) bootstrap procedure in Mplus. Findings Of the 20 items (four items for physical, eight items for aesthetic and eight items for functional) generated in Step 1, a total of 14 items (four items for physical, five items for aesthetic and five items for functional) were remained through preliminary tests of reliability and validity of the scale in Step 2. In Step 3, the 14 items were finalized and validated through testing the hypothesized mediating effect of internal attribution of fit problems between the PFGF scale and the measures of body esteem.</w:t>
      </w:r>
    </w:p>
    <w:p>
      <w:pPr/>
      <w:r>
        <w:rPr>
          <w:b/>
        </w:rPr>
        <w:t>POSSIBLE 2020:</w:t>
      </w:r>
      <w:r>
        <w:t xml:space="preserve"> Region-specific sex differences in the hippocampus — https://doi.org/10.1016/j.neuroimage.2020.116781</w:t>
      </w:r>
    </w:p>
    <w:p>
      <w:pPr/>
      <w:r>
        <w:rPr>
          <w:b/>
        </w:rPr>
        <w:t>Shared claim-specific concepts:</w:t>
      </w:r>
      <w:r>
        <w:t xml:space="preserve"> findings, four, region, help, young; EU scope not established. This is a provisional connection, not an outcome finding.</w:t>
      </w:r>
    </w:p>
    <w:p>
      <w:pPr>
        <w:pStyle w:val="SourceNote"/>
      </w:pPr>
      <w:r>
        <w:rPr>
          <w:b/>
        </w:rPr>
        <w:t>Available abstract (not full text):</w:t>
      </w:r>
      <w:r>
        <w:t xml:space="preserve"> The hippocampus is a brain region critical for learning and memory, and is also implicated in several neuropsychiatric disorders that show sex differences in prevalence, symptom expression, and mean age of onset. On average, males have larger hippocampal volumes than females, but findings are inconclusive after adjusting for overall brain size. Although the hippocampus is a heterogenous structure, few studies have focused on sex differences in the hippocampal subfields - with little consensus on whether there are regionally specific sex differences in the hippocampus after adjusting for brain size, or whether it is important to adjust for total hippocampal volume (HPV). Here, using two young adult cohorts from the Queensland Twin IMaging study (QTIM; N ​= ​727) and the Human Connectome Project (HCP; N ​= ​960), we examined differences between males and females in the volumes of 12 hippocampal subfields, extracted using FreeSurfer 6.0. After adjusting the subfield volumes for either HPV or brain size (brain segmentation volume (BSV)) using four controlling methods (allometric, covariate, residual and matching), we estimated the percentage difference of the sex effect (males versus females) and Cohen's d using hierarchical general linear models. Males had larger volumes compared to females in the parasubiculum (up to 6.04%; Cohen's d ​= ​0.46) and fimbria (up to 8.75%; d ​= ​0.54</w:t>
      </w:r>
    </w:p>
    <w:p>
      <w:pPr/>
      <w:r>
        <w:rPr>
          <w:b/>
        </w:rPr>
        <w:t>POSSIBLE 2020:</w:t>
      </w:r>
      <w:r>
        <w:t xml:space="preserve"> Variations in newspaper reporting of suicidal behavior in the WHO–South-East Asian region — https://doi.org/10.1093/pubmed/fdaa139</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BACKGROUND: South-East Asia is a densely populated region, comprising of 11 low- and middle-income countries and contributing to 39% of global suicides. There are serious challenges to suicide prevention in the region such as lack of high-quality suicide data, underreporting and poor quality of media reporting. The current report aimed to assess the variations in newspaper reporting of suicidal behavior in the World Health Organization-South-East Asian countries. METHODS: We analyzed the contents of nine research articles on media reporting of suicide, published from four South-East Asian countries (four from Bangladesh, three from India, one each from Indonesia and Bhutan) that used similar methods and presented results in a nearly similar fashion. RESULTS: Personal identifying information of the deceased was very frequently mentioned in the newspaper reports across the countries. Suicide notes were reported more commonly in India (9.5-18%) than Bangladesh (4.2-7.5%) and Indonesia (9.5%). No educative material was found in any of the newspaper reports of Bangladesh and Indonesia while it was rarely reported in Bhutan and India. CONCLUSION: Our findings from the four South-East Asian countries suggest that there are variations between the countries while presenting the news reports of suicidal behavior. These findings would help to formulate and regulate the media guidelines fo</w:t>
      </w:r>
    </w:p>
    <w:p>
      <w:pPr/>
      <w:r>
        <w:rPr>
          <w:b/>
        </w:rPr>
        <w:t>POSSIBLE 2019:</w:t>
      </w:r>
      <w:r>
        <w:t xml:space="preserve"> Seeking help for sexual difficulties: findings from a study with older adults in four European countries — https://doi.org/10.1007/s10433-019-00536-8</w:t>
      </w:r>
    </w:p>
    <w:p>
      <w:pPr/>
      <w:r>
        <w:rPr>
          <w:b/>
        </w:rPr>
        <w:t>Shared claim-specific concepts:</w:t>
      </w:r>
      <w:r>
        <w:t xml:space="preserve"> findings, four, help, inform; EU scope visible. This is a provisional connection, not an outcome finding.</w:t>
      </w:r>
    </w:p>
    <w:p>
      <w:pPr>
        <w:pStyle w:val="SourceNote"/>
      </w:pPr>
      <w:r>
        <w:rPr>
          <w:b/>
        </w:rPr>
        <w:t>Available abstract (not full text):</w:t>
      </w:r>
      <w:r>
        <w:t xml:space="preserve"> = 3820) on sexuality and ageing to examine help-seeking in 60-75-year-olds in Norway, Denmark, Belgium, and Portugal. More men (12.2%) than women (6.8%) had sought professional help for a sexual difficulty in the past 5 years. The main reason for help-seeking was that sex was important to the participant and/or their relationship. The main source of professional help was the primary care physician. Of those who had sought professional help, 48% were satisfied or very satisfied with the help received, 31.6% were neither satisfied nor dissatisfied, and 20.4% were dissatisfied or very dissatisfied. Others had sought help from informal sources, particularly partners, friends, or websites. The main reasons for not seeking professional help included not being distressed by the symptoms, and thinking that the difficulty would clear up on its own. Multivariable regression analysis revealed that significant correlates of seeking professional help for women and men were level of distress about the sexual difficulty. With regard to women, those who were married, and/or from Portugal were more likely to have sought help. And regarding men, those who attended religious services were more likely to have sought professional help. These results have important implications for healthcare and can be used to inform the development and delivery of services for older adults who experience sexual di</w:t>
      </w:r>
    </w:p>
    <w:p>
      <w:pPr/>
      <w:r>
        <w:rPr>
          <w:b/>
        </w:rPr>
        <w:t>POSSIBLE 2018:</w:t>
      </w:r>
      <w:r>
        <w:t xml:space="preserve"> Applying GRADE-CERQual to qualitative evidence synthesis findings—paper 2: how to make an overall CERQual assessment of confidence and create a Summary of Qualitative Findings table — https://doi.org/10.1186/s13012-017-0689-2</w:t>
      </w:r>
    </w:p>
    <w:p>
      <w:pPr/>
      <w:r>
        <w:rPr>
          <w:b/>
        </w:rPr>
        <w:t>Shared claim-specific concepts:</w:t>
      </w:r>
      <w:r>
        <w:t xml:space="preserve"> findings, four, developed, making; EU scope not established. This is a provisional connection, not an outcome finding.</w:t>
      </w:r>
    </w:p>
    <w:p>
      <w:pPr>
        <w:pStyle w:val="SourceNote"/>
      </w:pPr>
      <w:r>
        <w:rPr>
          <w:b/>
        </w:rPr>
        <w:t>Available abstract (not full text):</w:t>
      </w:r>
      <w:r>
        <w:t xml:space="preserve"> BACKGROUND: The GRADE-CERQual (Confidence in Evidence from Reviews of Qualitative research) approach has been developed by the GRADE (Grading of Recommendations Assessment, Development and Evaluation) Working Group. The approach has been developed to support the use of findings from qualitative evidence syntheses in decision making, including guideline development and policy formulation. CERQual includes four components for assessing how much confidence to place in findings from reviews of qualitative research (also referred to as qualitative evidence syntheses): (1) methodological limitations, (2) coherence, (3) adequacy of data and (4) relevance. This paper is part of a series providing guidance on how to apply CERQual and focuses on making an overall assessment of confidence in a review finding and creating a CERQual Evidence Profile and a CERQual Summary of Qualitative Findings table. METHODS: We developed this guidance by examining the methods used by other GRADE approaches, gathering feedback from relevant research communities and developing consensus through project group meetings. We then piloted the guidance on several qualitative evidence syntheses before agreeing on the approach. RESULTS: Confidence in the evidence is an assessment of the extent to which a review finding is a reasonable representation of the phenomenon of interest. Creating a summary of each review f</w:t>
      </w:r>
    </w:p>
    <w:p>
      <w:pPr/>
      <w:r>
        <w:rPr>
          <w:b/>
        </w:rPr>
        <w:t>POSSIBLE 2018:</w:t>
      </w:r>
      <w:r>
        <w:t xml:space="preserve"> Real time four channel phase comparison direction finding method — https://doi.org/10.1109/siu.2018.8404590</w:t>
      </w:r>
    </w:p>
    <w:p>
      <w:pPr/>
      <w:r>
        <w:rPr>
          <w:b/>
        </w:rPr>
        <w:t>Shared claim-specific concepts:</w:t>
      </w:r>
      <w:r>
        <w:t xml:space="preserve"> four, developed, possible; EU scope not established. This is a provisional connection, not an outcome finding.</w:t>
      </w:r>
    </w:p>
    <w:p>
      <w:pPr>
        <w:pStyle w:val="SourceNote"/>
      </w:pPr>
      <w:r>
        <w:rPr>
          <w:b/>
        </w:rPr>
        <w:t>Available abstract (not full text):</w:t>
      </w:r>
      <w:r>
        <w:t xml:space="preserve"> In this paper, the implementation of real time direction finding method on FPGA platform for the direction finding systems that have four coherent channels and linear antenna array is presented. If the signals that are received from same direction and distance between antennas are processed by a FPGA card, different antenna pair combinations can be generated. Direction finding is achieved by the comparison of possible angle of arrival values that is calculated using measured fundamental phase and overlapping replicas. The developed real time algorithm and implemented structure on FGPA platform, which includes phase difference calculation, overlapped phase differences and angle calculation blocks, finally ambiguity resolution method and direction finding results are presented.</w:t>
      </w:r>
    </w:p>
    <w:p>
      <w:pPr>
        <w:pStyle w:val="Heading2"/>
      </w:pPr>
      <w:r>
        <w:t>997.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2019:</w:t>
      </w:r>
      <w:r>
        <w:t xml:space="preserve"> Building and indoor environmental quality assessment of Nigerian primary schools: A pilot study — https://doi.org/10.1111/ina.12547</w:t>
      </w:r>
    </w:p>
    <w:p>
      <w:pPr/>
      <w:r>
        <w:rPr>
          <w:b/>
        </w:rPr>
        <w:t>Shared claim-specific concepts:</w:t>
      </w:r>
      <w:r>
        <w:t xml:space="preserve"> incinerators, moderately, cases; EU scope not established. This is a provisional connection, not an outcome finding.</w:t>
      </w:r>
    </w:p>
    <w:p>
      <w:pPr>
        <w:pStyle w:val="SourceNote"/>
      </w:pPr>
      <w:r>
        <w:rPr>
          <w:b/>
        </w:rPr>
        <w:t>Available abstract (not full text):</w:t>
      </w:r>
      <w:r>
        <w:t xml:space="preserve"> A total of 15 classrooms went through on-site assessments/inspections, including measurements of temperature (T), and concentrations of carbon monoxide (CO) and carbon dioxide (CO2). In addition, the level of surface biocontamination/cleaning effectiveness was assessed by measuring adenosine triphosphate (ATP) levels on students' desks. Based on the data, the quality of facilities in the buildings was low. Classroom occupancy exceeded ASHRAE 50 person/100 m2 standard in all cases indicating overcrowding. However, concentrations of CO2 remained below 1000 ppm in most classrooms. On the other hand, indoor T was above the recommended levels for thermal comfort in all classrooms. Maximum indoor CO was 6 ppm. Median ATP concentrations on the desk tops were moderately high in all schools. The use of open incinerators and power generator sets near classrooms, which was suspected to be the main source of CO, should be discouraged. Improved hygiene could be achieved by providing the students access to functioning bathroom facilities and cafeteria, and by effective cleaning of high contact surfaces such as desks. Although ventilation seems adequate based on CO2 concentrations, thermal comfort was not attained especially in the afternoon during extreme sunlight. Therefore, installing passive and/or mechanical cooling systems should be considered in this regard.</w:t>
      </w:r>
    </w:p>
    <w:p>
      <w:pPr/>
      <w:r>
        <w:rPr>
          <w:b/>
        </w:rPr>
        <w:t>POSSIBLE 2018:</w:t>
      </w:r>
      <w:r>
        <w:t xml:space="preserve"> Automotive trace metal concentrations on the South African national road (N3) and its impact on the environment. — https://openalex.org/W3014058070</w:t>
      </w:r>
    </w:p>
    <w:p>
      <w:pPr/>
      <w:r>
        <w:rPr>
          <w:b/>
        </w:rPr>
        <w:t>Shared claim-specific concepts:</w:t>
      </w:r>
      <w:r>
        <w:t xml:space="preserve"> moderately, due, countries; EU scope not established. This is a provisional connection, not an outcome finding.</w:t>
      </w:r>
    </w:p>
    <w:p>
      <w:pPr>
        <w:pStyle w:val="SourceNote"/>
      </w:pPr>
      <w:r>
        <w:rPr>
          <w:b/>
        </w:rPr>
        <w:t>Available abstract (not full text):</w:t>
      </w:r>
      <w:r>
        <w:t xml:space="preserve"> The environment is currently experiencing the negative effects of globalisation and unsustainable development with environmentally harmful activities increasing at an alarming rate in South Africa and other developing countries. This is due to these countries circumventing the implementation of environmental policies against foreign investors, such as vehicle manufacturers and chemical industries, to allow for a reduction in fiscal austerity by increasing the gross domestic product. The effects of these activities have a greater impact on the environment and population of developing nations than developed ones. Heavy metal contamination is one of the major concerns related to vehicle manufacturers and toxic chemical industries in terms of environmental management. The aim of this research was to assess the impact of vehicle pollution along the South African National Road (N3) between Durban and Hilton as it is one of the major transportation routes from the harbour. The elemental concentrations in the leaves of Bidens pilosa, that are picked and cooked by communities that live along the roadside, were investigated. The concentrations of thirteen elements were selectively investigated to determine the impact of soil quality on elemental uptake by vegetation and to assess for potential metal toxicities. Soil was evaluated for metal pollution by calculation of geo-accumulation ind</w:t>
      </w:r>
    </w:p>
    <w:p>
      <w:pPr/>
      <w:r>
        <w:rPr>
          <w:b/>
        </w:rPr>
        <w:t>POSSIBLE 2015:</w:t>
      </w:r>
      <w:r>
        <w:t xml:space="preserve"> Modelling the Potential Biogas Productivity Range from a MSW Landfill for Its Sustainable Exploitation — https://doi.org/10.3390/su7010482</w:t>
      </w:r>
    </w:p>
    <w:p>
      <w:pPr/>
      <w:r>
        <w:rPr>
          <w:b/>
        </w:rPr>
        <w:t>Shared claim-specific concepts:</w:t>
      </w:r>
      <w:r>
        <w:t xml:space="preserve"> then, countries, italy; EU scope visible. This is a provisional connection, not an outcome finding.</w:t>
      </w:r>
    </w:p>
    <w:p>
      <w:pPr>
        <w:pStyle w:val="SourceNote"/>
      </w:pPr>
      <w:r>
        <w:rPr>
          <w:b/>
        </w:rPr>
        <w:t>Available abstract (not full text):</w:t>
      </w:r>
      <w:r>
        <w:t xml:space="preserve"> A model of biogas generation was modified and applied to the case of a sanitary landfill in Italy. The modifications considered the role of the temperature field normally established within each layer of waste. It must be pointed out the temperature affects the anaerobic biodegradation kinetics. In order to assess the effect of moisture on the waste biodegradation rate, on the bacteria process and then on the methane production, the model was compared with the LandGEM one. Information on the initial water content came from data concerning waste composition. No additional information about the hydrological balance was available. Thus, nine sets of kinetic constants, derived by literature, were adopted for the simulations. Results showed a significant variability of the maximal hourly biogas flows on a yearly basis, with consequences for the collectable amount during the operating period of a hypothetical engine. The approach is a useful tool to assess the lowest and highest biogas productivity in order to analyze the viability of biogas exploitation for energy purposes. This is useful also in countries that must plan for biogas exploitation from old and new landfills, as a consequence of developments in the waste sector.</w:t>
      </w:r>
    </w:p>
    <w:p>
      <w:pPr/>
      <w:r>
        <w:rPr>
          <w:b/>
        </w:rPr>
        <w:t>POSSIBLE 2013:</w:t>
      </w:r>
      <w:r>
        <w:t xml:space="preserve"> Maintenance strategies and local impact of MSW incinerators — https://doi.org/10.2495/esus130201</w:t>
      </w:r>
    </w:p>
    <w:p>
      <w:pPr/>
      <w:r>
        <w:rPr>
          <w:b/>
        </w:rPr>
        <w:t>Shared claim-specific concepts:</w:t>
      </w:r>
      <w:r>
        <w:t xml:space="preserve"> incinerators, italy; EU scope visible. This is a provisional connection, not an outcome finding.</w:t>
      </w:r>
    </w:p>
    <w:p>
      <w:pPr>
        <w:pStyle w:val="SourceNote"/>
      </w:pPr>
      <w:r>
        <w:rPr>
          <w:b/>
        </w:rPr>
        <w:t>Available abstract (not full text):</w:t>
      </w:r>
      <w:r>
        <w:t xml:space="preserve"> The present paper gives a contribution to the understanding of the effects of variations in maintenance scheduling on the environmental impact of municipal solid waste incinerators.The proposed approach allows a vision of their impact beyond the conventional balances.The characteristics of a selected case study were put forward and discussed.A plant proposed for a region in the North East of Italy was chosen for the scheduling effects analysis because of the long period of non-operation of each waste treatment line: 3 months per year as requested from the local environmental protection agency.The following effects were discussed on a yearly basis: maintenance stop fractionation, maintenance stop lasting, maintenance stop seasonal scheduling; the last aspect was discussed also at device level.The extreme scenario of seasonal stop gave the opportunity of assessing the highest reduction of yearly average impact from the stack, varying the season of maintenance: a reduction up to 23% could be obtained for the pollutants concentration contribution at ground level in the area of highest impact, comparing the worst case with the best case by a diffusive model.In the case of more common periods of stops for maintenance the reduction would be lower.The role of district heating must be taken into account too.</w:t>
      </w:r>
    </w:p>
    <w:p>
      <w:pPr/>
      <w:r>
        <w:rPr>
          <w:b/>
        </w:rPr>
        <w:t>POSSIBLE 2013:</w:t>
      </w:r>
      <w:r>
        <w:t xml:space="preserve"> The ultimate sacrifice : a comparative study of self-immolation as a tactic of political protest in India and South Korea. — https://doi.org/10.18297/etd/508</w:t>
      </w:r>
    </w:p>
    <w:p>
      <w:pPr/>
      <w:r>
        <w:rPr>
          <w:b/>
        </w:rPr>
        <w:t>Shared claim-specific concepts:</w:t>
      </w:r>
      <w:r>
        <w:t xml:space="preserve"> moderately, three; EU scope not established. This is a provisional connection, not an outcome finding.</w:t>
      </w:r>
    </w:p>
    <w:p>
      <w:pPr>
        <w:pStyle w:val="SourceNote"/>
      </w:pPr>
      <w:r>
        <w:rPr>
          <w:b/>
        </w:rPr>
        <w:t>Available abstract (not full text):</w:t>
      </w:r>
      <w:r>
        <w:t xml:space="preserve"> In recent years, self-immolation has become a pervasive tactic of political protest. To this point, however, it has been unclear why self-immolation has become so widely employed, calling into question the social and political efficacy of the tactic. The purpose of this thesis is to determine self-immolation's impact on three target groups: the core, the periphery, and the political system. In doing so, I conduct a comparative study of India's anti-reservation movement and South Korea's pro-democracy movement, both of which experienced high frequencies of self-immolation. I demonstrate that while self-immolation was ineffective at mobilizing the core and only moderately effective at mobilizing the periphery and initiating political change, in South Korea, self-immolation was highly effective on all three groups. I argue that the differences in efficacy can be attributed to variations in social structure, political culture, issue diffusion, and institutional access to the political system.</w:t>
      </w:r>
    </w:p>
    <w:p>
      <w:pPr/>
      <w:r>
        <w:rPr>
          <w:b/>
        </w:rPr>
        <w:t>POSSIBLE 2012:</w:t>
      </w:r>
      <w:r>
        <w:t xml:space="preserve"> Cancer mortality in towns in the vicinity of incinerators and installations for the recovery or disposal of hazardous waste — https://doi.org/10.1016/j.envint.2012.10.003</w:t>
      </w:r>
    </w:p>
    <w:p>
      <w:pPr/>
      <w:r>
        <w:rPr>
          <w:b/>
        </w:rPr>
        <w:t>Shared claim-specific concepts:</w:t>
      </w:r>
      <w:r>
        <w:t xml:space="preserve"> incinerators, cancer, due, exposure; EU scope not established. This is a provisional connection, not an outcome finding.</w:t>
      </w:r>
    </w:p>
    <w:p>
      <w:pPr>
        <w:pStyle w:val="SourceNote"/>
      </w:pPr>
      <w:r>
        <w:rPr>
          <w:b/>
        </w:rPr>
        <w:t>Available abstract (not full text):</w:t>
      </w:r>
      <w:r>
        <w:t xml:space="preserve"> BACKGROUND: Waste treatment plants release toxic emissions into the environment which affect neighboring towns. OBJECTIVES: To investigate whether there might be excess cancer mortality in towns situated in the vicinity of Spanish-based incinerators and installations for the recovery or disposal of hazardous waste, according to the different categories of industrial activity. METHODS: An ecologic study was designed to examine municipal mortality due to 33 types of cancer, across the period 1997-2006. Population exposure to pollution was estimated on the basis of distance from town of residence to pollution source. Using Besag-York-Mollié (BYM) regression models with Integrated Nested Laplace approximations for Bayesian inference, and Mixed Poisson regression models, we assessed the risk of dying from cancer in a 5-kilometer zone around installations, analyzed the effect of category of industrial activity, and conducted individual analyses within a 50-kilometer radius of each installation. RESULTS: Excess cancer mortality (BYM model: relative risk, 95% credible interval) was detected in the total population residing in the vicinity of these installations as a whole (1.06, 1.04-1.09), and, principally, in the vicinity of incinerators (1.09, 1.01-1.18) and scrap metal/end-of-life vehicle handling facilities, in particular (1.04, 1.00-1.09). Special mention should be made of the re</w:t>
      </w:r>
    </w:p>
    <w:p>
      <w:pPr>
        <w:pStyle w:val="Heading2"/>
      </w:pPr>
      <w:r>
        <w:t>998.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2022:</w:t>
      </w:r>
      <w:r>
        <w:t xml:space="preserve"> Neuroimaging in schizophrenia: an overview of findings and their implications for synaptic changes — https://doi.org/10.1038/s41386-022-01426-x</w:t>
      </w:r>
    </w:p>
    <w:p>
      <w:pPr/>
      <w:r>
        <w:rPr>
          <w:b/>
        </w:rPr>
        <w:t>Shared claim-specific concepts:</w:t>
      </w:r>
      <w:r>
        <w:t xml:space="preserve"> findings, several, identified, here, people; EU scope not established. This is a provisional connection, not an outcome finding.</w:t>
      </w:r>
    </w:p>
    <w:p>
      <w:pPr>
        <w:pStyle w:val="SourceNote"/>
      </w:pPr>
      <w:r>
        <w:rPr>
          <w:b/>
        </w:rPr>
        <w:t>Available abstract (not full text):</w:t>
      </w:r>
      <w:r>
        <w:t xml:space="preserve"> Over the last five decades, a large body of evidence has accrued for structural and metabolic brain alterations in schizophrenia. Here we provide an overview of these findings, focusing on measures that have traditionally been thought to reflect synaptic spine density or synaptic activity and that are relevant for understanding if there is lower synaptic density in the disorder. We conducted literature searches to identify meta-analyses or other relevant studies in patients with chronic or first-episode schizophrenia, or in people at high genetic or clinical risk for psychosis. We identified 18 meta-analyses including over 50,000 subjects in total, covering: structural MRI measures of gyrification index, grey matter volume, grey matter density and cortical thickness, neurite orientation dispersion and density imaging, PET imaging of regional glucose metabolism and magnetic resonance spectroscopy measures of N-acetylaspartate. We also review preclinical evidence on the relationship between ex vivo synaptic measures and structural MRI imaging, and PET imaging of synaptic protein 2A (SV2A). These studies show that schizophrenia is associated with lower grey matter volumes and cortical thickness, accelerated grey matter loss over time, abnormal gyrification patterns, and lower regional SV2A levels and metabolic markers in comparison to controls (effect sizes from ~ -0.11 to -1.0). </w:t>
      </w:r>
    </w:p>
    <w:p>
      <w:pPr/>
      <w:r>
        <w:rPr>
          <w:b/>
        </w:rPr>
        <w:t>POSSIBLE 2021:</w:t>
      </w:r>
      <w:r>
        <w:t xml:space="preserve"> Sentiment analysis in hospitality and tourism: a thematic and methodological review — https://doi.org/10.1108/ijchm-02-2021-0132</w:t>
      </w:r>
    </w:p>
    <w:p>
      <w:pPr/>
      <w:r>
        <w:rPr>
          <w:b/>
        </w:rPr>
        <w:t>Shared claim-specific concepts:</w:t>
      </w:r>
      <w:r>
        <w:t xml:space="preserve"> findings, several, methodologies, identified; EU scope not established. This is a provisional connection, not an outcome finding.</w:t>
      </w:r>
    </w:p>
    <w:p>
      <w:pPr>
        <w:pStyle w:val="SourceNote"/>
      </w:pPr>
      <w:r>
        <w:rPr>
          <w:b/>
        </w:rPr>
        <w:t>Available abstract (not full text):</w:t>
      </w:r>
      <w:r>
        <w:t xml:space="preserve"> Purpose This study aims to conduct a systematic review and critically analyze the sentiment analysis literature in hospitality and tourism from methodological (data sets and analyzes) and thematic (topics, theories, key constructs and their relationships) perspectives. Design/methodology/approach Qualitative thematic review and quantitative systematic review were performed on 70 papers obtained from hospitality and tourism categories of two databases, namely, Web of Science and Scopus. Findings A total of 5 topics and 27 sub-topics were identified and the major theme is market intelligence. Sentiment variables were investigated not only as independent but also as dependent variables. The customer rating is the most investigated dependent variable, whereas moderators and mediators were rarely tested. Most reviewed studies did not use theory. The findings from the methodological review show that analysis of big data was rare. Moreover, testing the performance of sentiment analyzes was uncommon, and only one paper tested the performance of aspect/feature extraction. Research limitations/implications This study extends prior review studies by providing a comprehensive view of how knowledge and methodologies of sentiment analysis have developed. The identified themes and key constructs serve as a solid base for future knowledge advancement. Future research directions on sentiment an</w:t>
      </w:r>
    </w:p>
    <w:p>
      <w:pPr/>
      <w:r>
        <w:rPr>
          <w:b/>
        </w:rPr>
        <w:t>POSSIBLE 2020:</w:t>
      </w:r>
      <w:r>
        <w:t xml:space="preserve"> Broadsides as Sources: A Methodological Discussion and Overview of Key Findings — https://doi.org/10.1057/978-1-137-59789-2_2</w:t>
      </w:r>
    </w:p>
    <w:p>
      <w:pPr/>
      <w:r>
        <w:rPr>
          <w:b/>
        </w:rPr>
        <w:t>Shared claim-specific concepts:</w:t>
      </w:r>
      <w:r>
        <w:t xml:space="preserve"> findings, several, people; EU scope not established. This is a provisional connection, not an outcome finding.</w:t>
      </w:r>
    </w:p>
    <w:p>
      <w:pPr>
        <w:pStyle w:val="SourceNote"/>
      </w:pPr>
      <w:r>
        <w:rPr>
          <w:b/>
        </w:rPr>
        <w:t>Available abstract (not full text):</w:t>
      </w:r>
      <w:r>
        <w:t xml:space="preserve"> This chapter includes a methodological discussion and justification of the discourse analysis used and presents the quantitative findings from 650 broadsides, illustrated by statistical figures, tables and maps. This detailed method of analysis produced a wealth of information from the broadside content and revealed factual details relating to the crimes, punishments, criminals and victims they depicted. For example, several conclusions can be made, namely that: broadsides, far from being mere entertainment, actually include a substantial amount of factual information regarding crime in the early nineteenth century; broadsides were evidently an important source of information regarding crime and criminality for those who chose to read them; nineteenth-century broadside production was motivated to a large extent by the reporting of actual crimes and they responded to real fluctuations in crime rates; the people to feature most prominently in broadsides are those of the poorer and lower classes, whether they are criminals, victims or witnesses.</w:t>
      </w:r>
    </w:p>
    <w:p>
      <w:pPr/>
      <w:r>
        <w:rPr>
          <w:b/>
        </w:rPr>
        <w:t>POSSIBLE 2020:</w:t>
      </w:r>
      <w:r>
        <w:t xml:space="preserve"> Cloud Migration Methodologies Preliminary Findings — https://openalex.org/W3019771303</w:t>
      </w:r>
    </w:p>
    <w:p>
      <w:pPr/>
      <w:r>
        <w:rPr>
          <w:b/>
        </w:rPr>
        <w:t>Shared claim-specific concepts:</w:t>
      </w:r>
      <w:r>
        <w:t xml:space="preserve"> findings, several, methodologies; EU scope not established. This is a provisional connection, not an outcome finding.</w:t>
      </w:r>
    </w:p>
    <w:p>
      <w:pPr>
        <w:pStyle w:val="SourceNote"/>
      </w:pPr>
      <w:r>
        <w:rPr>
          <w:b/>
        </w:rPr>
        <w:t>Available abstract (not full text):</w:t>
      </w:r>
      <w:r>
        <w:t xml:space="preserve"> Research around cloud computing has largely been dedicated to ad-dressing technical aspects associated with utilizing cloud services, surveying critical success factors for the cloud adoption, and opinions about its impact on IT functions. Nevertheless, the aspect of process models for the cloud migration has been slow in pace. Several methodologies have been proposed by both aca-demia and industry for moving legacy applications to the cloud. This paper pre-sents a criteria-based appraisal of such existing methodologies. The results of the analysis highlight the strengths and weaknesses of these methodologies and can be used by cloud service consumers for comparing and selecting the most appropriate ones that fit specific migration scenarios. The paper also suggests research opportunities to improve the status quo. </w:t>
        <w:br/>
        <w:br/>
        <w:t>Keywords Cloud Migration; Legacy Applications; Cloud Migration Method-ology, Evaluation Framework</w:t>
      </w:r>
    </w:p>
    <w:p>
      <w:pPr/>
      <w:r>
        <w:rPr>
          <w:b/>
        </w:rPr>
        <w:t>POSSIBLE 2019:</w:t>
      </w:r>
      <w:r>
        <w:t xml:space="preserve"> Transcriptome-wide association study of attention deficit hyperactivity disorder identifies associated genes and phenotypes — https://doi.org/10.1038/s41467-019-12450-9</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Abstract Attention deficit/hyperactivity disorder (ADHD) is one of the most common neurodevelopmental psychiatric disorders. Previous studies have shown that the disorder is highly heritable and associated with several different risk-taking behaviors. Additionally, brain-imaging studies have identified various brain regions such as the cerebellum and frontal cortex to be altered in ADHD. Large genome-wide association studies (GWAS) have identified several loci associated with ADHD. However, understanding the biological relevance of these genetic loci has proven to be difficult. Here, we conducted the largest ADHD transcriptome-wide association study (TWAS) to date consisting of 19,099 cases and 34,194 controls and identified 9 transcriptome-wide significant hits. We successfully demonstrate that several previous GWAS hits can be largely explained by expression. Probabilistic causal fine-mapping of TWAS signals prioritized KAT2B with a posterior probability of 0.467 in the dorsolateral prefrontal cortex and TMEM161B with a posterior probability of 0.838 in the amygdala. Furthermore, pathway enrichments identified dopaminergic and norepinephrine pathways, which are highly relevant for ADHD. Finally, we used the top eQTLs associated with the TWAS genes to identify phenotypes relevant to ADHD and found an inverse genetic correlation with educational attainment and a positive correl</w:t>
      </w:r>
    </w:p>
    <w:p>
      <w:pPr/>
      <w:r>
        <w:rPr>
          <w:b/>
        </w:rPr>
        <w:t>POSSIBLE 2017:</w:t>
      </w:r>
      <w:r>
        <w:t xml:space="preserve"> Genome-wide association meta-analysis of 78,308 individuals identifies new loci and genes influencing human intelligence — https://doi.org/10.1038/ng.3869</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Danielle Posthuma and colleagues perform a large meta-analysis for intelligence and determine genetic overlap with several neuropsychiatric and metabolic traits. They find 15 new significant loci and implicate 40 new genes, most of which are predominantly expressed in the brain. Intelligence is associated with important economic and health-related life outcomes1. Despite intelligence having substantial heritability2 (0.54) and a confirmed polygenic nature, initial genetic studies were mostly underpowered3,4,5. Here we report a meta-analysis for intelligence of 78,308 individuals. We identify 336 associated SNPs (METAL P &lt; 5 × 10−8) in 18 genomic loci, of which 15 are new. Around half of the SNPs are located inside a gene, implicating 22 genes, of which 11 are new findings. Gene-based analyses identified an additional 30 genes (MAGMA P &lt; 2.73 × 10−6), of which all but one had not been implicated previously. We show that the identified genes are predominantly expressed in brain tissue, and pathway analysis indicates the involvement of genes regulating cell development (MAGMA competitive P = 3.5 × 10−6). Despite the well-known difference in twin-based heritability2 for intelligence in childhood (0.45) and adulthood (0.80), we show substantial genetic correlation (rg = 0.89, LD score regression P = 5.4 × 10−29). These findings provide new insight into the genetic architecture of in</w:t>
      </w:r>
    </w:p>
    <w:p>
      <w:pPr/>
      <w:r>
        <w:rPr>
          <w:b/>
        </w:rPr>
        <w:t>POSSIBLE 2016:</w:t>
      </w:r>
      <w:r>
        <w:t xml:space="preserve"> Disaster Mental Health Epidemiology: Methodological Review and Interpretation of Research Findings — https://doi.org/10.1080/00332747.2016.1155926</w:t>
      </w:r>
    </w:p>
    <w:p>
      <w:pPr/>
      <w:r>
        <w:rPr>
          <w:b/>
        </w:rPr>
        <w:t>Shared claim-specific concepts:</w:t>
      </w:r>
      <w:r>
        <w:t xml:space="preserve"> findings, several; EU scope not established. This is a provisional connection, not an outcome finding.</w:t>
      </w:r>
    </w:p>
    <w:p>
      <w:pPr>
        <w:pStyle w:val="SourceNote"/>
      </w:pPr>
      <w:r>
        <w:rPr>
          <w:b/>
        </w:rPr>
        <w:t>Available abstract (not full text):</w:t>
      </w:r>
      <w:r>
        <w:t xml:space="preserve"> Worldwide, disasters are increasing in frequency and severity. Mental health consequences of disasters are extensive, and knowledge of anticipated mental health effects is needed for effective disaster response. Difficulties inherent in conducting disaster research have limited the understanding of research findings. This article presents and interprets disaster mental health research findings in the context of research methods. A brief history of the disaster mental health research field is provided, and the presentation of findings is ordered into topical areas of disaster mental health consequences and timing and prediction of mental health outcomes. Results of different studies varied greatly by several main characteristics of research methods, especially methods of psychiatric assessment, sampling and exposure group determination, and consideration of confounding variables. In conclusion, many complexities in conducting disaster mental health research have limited the understanding and interpretation of available knowledge needed to inform efforts to plan and carry out effective mental health responses to disasters. Thoughtful interpretation of findings in the context of research design and methods is vital to accurate understanding of the types, prevalence, and predictors of anticipated mental health effects of disasters. A wealth of knowledge from disaster mental health </w:t>
      </w:r>
    </w:p>
    <w:p>
      <w:pPr/>
      <w:r>
        <w:rPr>
          <w:b/>
        </w:rPr>
        <w:t>POSSIBLE 2016:</w:t>
      </w:r>
      <w:r>
        <w:t xml:space="preserve"> Auditory Hallucinations and the Brain’s Resting-State Networks: Findings and Methodological Observations — https://doi.org/10.1093/schbul/sbw078</w:t>
      </w:r>
    </w:p>
    <w:p>
      <w:pPr/>
      <w:r>
        <w:rPr>
          <w:b/>
        </w:rPr>
        <w:t>Shared claim-specific concepts:</w:t>
      </w:r>
      <w:r>
        <w:t xml:space="preserve"> findings, control, well; EU scope not established. This is a provisional connection, not an outcome finding.</w:t>
      </w:r>
    </w:p>
    <w:p>
      <w:pPr>
        <w:pStyle w:val="SourceNote"/>
      </w:pPr>
      <w:r>
        <w:rPr>
          <w:b/>
        </w:rPr>
        <w:t>Available abstract (not full text):</w:t>
      </w:r>
      <w:r>
        <w:t xml:space="preserve"> In recent years, there has been increasing interest in the potential for alterations to the brain's resting-state networks (RSNs) to explain various kinds of psychopathology. RSNs provide an intriguing new explanatory framework for hallucinations, which can occur in different modalities and population groups, but which remain poorly understood. This collaboration from the International Consortium on Hallucination Research (ICHR) reports on the evidence linking resting-state alterations to auditory hallucinations (AH) and provides a critical appraisal of the methodological approaches used in this area. In the report, we describe findings from resting connectivity fMRI in AH (in schizophrenia and nonclinical individuals) and compare them with findings from neurophysiological research, structural MRI, and research on visual hallucinations (VH). In AH, various studies show resting connectivity differences in left-hemisphere auditory and language regions, as well as atypical interaction of the default mode network and RSNs linked to cognitive control and salience. As the latter are also evident in studies of VH, this points to a domain-general mechanism for hallucinations alongside modality-specific changes to RSNs in different sensory regions. However, we also observed high methodological heterogeneity in the current literature, affecting the ability to make clear comparisons betwe</w:t>
      </w:r>
    </w:p>
    <w:p>
      <w:pPr/>
      <w:r>
        <w:rPr>
          <w:b/>
        </w:rPr>
        <w:t>POSSIBLE 2016:</w:t>
      </w:r>
      <w:r>
        <w:t xml:space="preserve"> Methodological support for the further abstraction of and philosophical examination of empirical findings in the context of caring science — https://doi.org/10.3402/qhw.v11.30482</w:t>
      </w:r>
    </w:p>
    <w:p>
      <w:pPr/>
      <w:r>
        <w:rPr>
          <w:b/>
        </w:rPr>
        <w:t>Shared claim-specific concepts:</w:t>
      </w:r>
      <w:r>
        <w:t xml:space="preserve"> findings, several, present, well; EU scope not established. This is a provisional connection, not an outcome finding.</w:t>
      </w:r>
    </w:p>
    <w:p>
      <w:pPr>
        <w:pStyle w:val="SourceNote"/>
      </w:pPr>
      <w:r>
        <w:rPr>
          <w:b/>
        </w:rPr>
        <w:t>Available abstract (not full text):</w:t>
      </w:r>
      <w:r>
        <w:t xml:space="preserve"> Phenomena in caring science are often complex and laden with meanings. Empirical research with the aim of capturing lived experiences is one way of revealing the complexity. Sometimes, however, results from empirical research need to be further discussed. One way is to further abstract the result and/or philosophically examine it. This has previously been performed and presented in scientific journals and doctoral theses, contributing to a greater understanding of phenomena in caring science. Although the intentions in many of these publications are laudable, the lack of methodological descriptions as well as a theoretical and systematic foundation can contribute to an ambiguity concerning how the results have emerged during the analysis. The aim of this paper is to describe the methodological support for the further abstraction of and/or philosophical examination of empirical findings. When trying to systematize the support procedures, we have used a reflective lifeworld research (RLR) approach. Based on the assumptions in RLR, this article will present methodological support for a theoretical examination that can include two stages. In the first stage, data from several (two or more) empirical results on an essential level are synthesized into a general structure. Sometimes the analysis ends with the general structure, but sometimes there is a need to proceed further. The sec</w:t>
      </w:r>
    </w:p>
    <w:p>
      <w:pPr>
        <w:pStyle w:val="Heading2"/>
      </w:pPr>
      <w:r>
        <w:t>999.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r>
        <w:rPr>
          <w:b/>
        </w:rPr>
        <w:t>POSSIBLE 2016:</w:t>
      </w:r>
      <w:r>
        <w:t xml:space="preserve"> Muscle Synergies Facilitate Computational Prediction of Subject-Specific Walking Motions — https://doi.org/10.3389/fbioe.2016.00077</w:t>
      </w:r>
    </w:p>
    <w:p>
      <w:pPr/>
      <w:r>
        <w:rPr>
          <w:b/>
        </w:rPr>
        <w:t>Shared claim-specific concepts:</w:t>
      </w:r>
      <w:r>
        <w:t xml:space="preserve"> predictions, subject, simulation, predicted; EU scope not established. This is a provisional connection, not an outcome finding.</w:t>
      </w:r>
    </w:p>
    <w:p>
      <w:pPr>
        <w:pStyle w:val="SourceNote"/>
      </w:pPr>
      <w:r>
        <w:rPr>
          <w:b/>
        </w:rPr>
        <w:t>Available abstract (not full text):</w:t>
      </w:r>
      <w:r>
        <w:t xml:space="preserve">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pPr/>
      <w:r>
        <w:rPr>
          <w:b/>
        </w:rPr>
        <w:t>POSSIBLE 2013:</w:t>
      </w:r>
      <w:r>
        <w:t xml:space="preserve"> The experience of agency: an interplay between prediction and postdiction — https://doi.org/10.3389/fpsyg.2013.00127</w:t>
      </w:r>
    </w:p>
    <w:p>
      <w:pPr/>
      <w:r>
        <w:rPr>
          <w:b/>
        </w:rPr>
        <w:t>Shared claim-specific concepts:</w:t>
      </w:r>
      <w:r>
        <w:t xml:space="preserve"> predictions, subject, range, given, same; EU scope not established. This is a provisional connection, not an outcome finding.</w:t>
      </w:r>
    </w:p>
    <w:p>
      <w:pPr>
        <w:pStyle w:val="SourceNote"/>
      </w:pPr>
      <w:r>
        <w:rPr>
          <w:b/>
        </w:rPr>
        <w:t>Available abstract (not full text):</w:t>
      </w:r>
      <w:r>
        <w:t xml:space="preserve"> The experience of agency, i.e., the registration that I am the initiator of my actions, is a basic and constant underpinning of our interaction with the world. Whereas several accounts have underlined predictive processes as the central mechanism (e.g., the comparator model by C. Frith), others emphasized postdictive inferences (e.g., post-hoc inference account by D. Wegner). Based on increasing evidence that both predictive and postdictive processes contribute to the experience of agency, we here present a unifying but at the same time parsimonious approach that reconciles these accounts: predictive and postdictive processes are both integrated by the brain according to the principles of optimal cue integration. According to this framework, predictive and postdictive processes each serve as authorship cues that are continuously integrated and weighted depending on their availability and reliability in a given situation. Both sensorimotor and cognitive signals can serve as predictive cues (e.g., internal predictions based on an efferency copy of the motor command or cognitive anticipations based on priming). Similarly, other sensorimotor and cognitive cues can each serve as post-hoc cues (e.g., visual feedback of the action or the affective valence of the action outcome). Integration and weighting of these cues might not only differ between contexts and individuals, but also be</w:t>
      </w:r>
    </w:p>
    <w:p>
      <w:pPr>
        <w:pStyle w:val="Heading2"/>
      </w:pPr>
      <w:r>
        <w:t>1000.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2022:</w:t>
      </w:r>
      <w:r>
        <w:t xml:space="preserve"> Perceptions of long-term monitoring for civil and structural engineering — https://doi.org/10.1016/j.istruc.2022.05.090</w:t>
      </w:r>
    </w:p>
    <w:p>
      <w:pPr/>
      <w:r>
        <w:rPr>
          <w:b/>
        </w:rPr>
        <w:t>Shared claim-specific concepts:</w:t>
      </w:r>
      <w:r>
        <w:t xml:space="preserve"> long-term, civil, design, engineering; EU scope not established. This is a provisional connection, not an outcome finding.</w:t>
      </w:r>
    </w:p>
    <w:p>
      <w:pPr>
        <w:pStyle w:val="SourceNote"/>
      </w:pPr>
      <w:r>
        <w:rPr>
          <w:b/>
        </w:rPr>
        <w:t>Available abstract (not full text):</w:t>
      </w:r>
      <w:r>
        <w:t xml:space="preserve">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pPr/>
      <w:r>
        <w:rPr>
          <w:b/>
        </w:rPr>
        <w:t>POSSIBLE 2022:</w:t>
      </w:r>
      <w:r>
        <w:t xml:space="preserve"> Modelling of the long-term evolution and performance of engineered barrier system — https://doi.org/10.1051/epjn/2022038</w:t>
      </w:r>
    </w:p>
    <w:p>
      <w:pPr/>
      <w:r>
        <w:rPr>
          <w:b/>
        </w:rPr>
        <w:t>Shared claim-specific concepts:</w:t>
      </w:r>
      <w:r>
        <w:t xml:space="preserve"> long-term, tools, against, safety; EU scope visible. This is a provisional connection, not an outcome finding.</w:t>
      </w:r>
    </w:p>
    <w:p>
      <w:pPr>
        <w:pStyle w:val="SourceNote"/>
      </w:pPr>
      <w:r>
        <w:rPr>
          <w:b/>
        </w:rPr>
        <w:t>Available abstract (not full text):</w:t>
      </w:r>
      <w:r>
        <w:t xml:space="preserve">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pPr/>
      <w:r>
        <w:rPr>
          <w:b/>
        </w:rPr>
        <w:t>POSSIBLE 2021:</w:t>
      </w:r>
      <w:r>
        <w:t xml:space="preserve"> A model of long-term value creation — https://doi.org/10.1080/20430795.2021.1920231</w:t>
      </w:r>
    </w:p>
    <w:p>
      <w:pPr/>
      <w:r>
        <w:rPr>
          <w:b/>
        </w:rPr>
        <w:t>Shared claim-specific concepts:</w:t>
      </w:r>
      <w:r>
        <w:t xml:space="preserve"> long-term, currently, they; EU scope not established. This is a provisional connection, not an outcome finding.</w:t>
      </w:r>
    </w:p>
    <w:p>
      <w:pPr>
        <w:pStyle w:val="SourceNote"/>
      </w:pPr>
      <w:r>
        <w:rPr>
          <w:b/>
        </w:rPr>
        <w:t>Available abstract (not full text):</w:t>
      </w:r>
      <w:r>
        <w:t xml:space="preserve"> Companies need to rethink the way they create value and grow their business to thrive in tomorrow’s volatile and uncertain business environment. Companies in virtually every industry are impacted by new disruptive societal trends, such as climate change, energy transition and social inequality. At the same time, companies are increasingly evaluated on their sustainability performance.Still, only a few companies have begun to invent new strategic directions, pioneering strategies focused on creating long-term value, not just for shareholders but for all stakeholders. A playbook on how to create long-term value is currently lacking, making it difficult for companies to capture the opportunities and mitigate the risks created by these societal trends.This paper develops a model of long-term value creation that supports companies in creating long-term value and setting their strategies accordingly. Financial institutions can draw on the model to assess how future proof their investment and/or lending portfolios are.</w:t>
      </w:r>
    </w:p>
    <w:p>
      <w:pPr/>
      <w:r>
        <w:rPr>
          <w:b/>
        </w:rPr>
        <w:t>POSSIBLE 2021:</w:t>
      </w:r>
      <w:r>
        <w:t xml:space="preserve"> On models of long-term behavior of concrete — https://doi.org/10.21136/panm.2020.02</w:t>
      </w:r>
    </w:p>
    <w:p>
      <w:pPr/>
      <w:r>
        <w:rPr>
          <w:b/>
        </w:rPr>
        <w:t>Shared claim-specific concepts:</w:t>
      </w:r>
      <w:r>
        <w:t xml:space="preserve"> long-term, tools, other; EU scope not established. This is a provisional connection, not an outcome finding.</w:t>
      </w:r>
    </w:p>
    <w:p>
      <w:pPr>
        <w:pStyle w:val="SourceNote"/>
      </w:pPr>
      <w:r>
        <w:rPr>
          <w:b/>
        </w:rPr>
        <w:t>Available abstract (not full text):</w:t>
      </w:r>
      <w:r>
        <w:t xml:space="preserve"> Long-term behavior of concrete is modeled by several widely accepted models, such as B3, \emph{fib} MC 2010, or ACI 209 whose input parameters and output values are not identical to each other. Moreover, the input and, consequently, the output values are uncertain. In this paper, fuzzy input parameters are considered in uncertainty quantification of each model response and, finally, the sets of responses are analyzed by elementary tools of evidence theory. That is, belief and plausibility functions are proposed to combine evidence from different models.</w:t>
      </w:r>
    </w:p>
    <w:p>
      <w:pPr/>
      <w:r>
        <w:rPr>
          <w:b/>
        </w:rPr>
        <w:t>POSSIBLE 2020:</w:t>
      </w:r>
      <w:r>
        <w:t xml:space="preserve"> Short-term solar and wind variability in long-term energy system models - A European case study — https://doi.org/10.1016/j.energy.2020.118377</w:t>
      </w:r>
    </w:p>
    <w:p>
      <w:pPr/>
      <w:r>
        <w:rPr>
          <w:b/>
        </w:rPr>
        <w:t>Shared claim-specific concepts:</w:t>
      </w:r>
      <w:r>
        <w:t xml:space="preserve"> long-term, important; EU scope visible. This is a provisional connection, not an outcome finding.</w:t>
      </w:r>
    </w:p>
    <w:p>
      <w:pPr>
        <w:pStyle w:val="SourceNote"/>
      </w:pPr>
      <w:r>
        <w:rPr>
          <w:b/>
        </w:rPr>
        <w:t>Available abstract (not full text):</w:t>
      </w:r>
      <w:r>
        <w:t xml:space="preserve"> Integration of variable renewables such as solar and wind has grown at an unprecedented pace in Europe over the past two decades. As the share of solar and wind rises, it becomes increasingly important for long-term energy system models to adequately represent their short-term variability. This paper uses a long-term TIMES model of the European power and district heat sectors towards 2050 to explore how stochastic modelling of short-term solar and wind variability as well as different temporal resolutions influence the model performance. Using a stochastic model with 48 time-slices as benchmark, the results show that deterministic models with low temporal resolution give a 15–20% underestimation of annual costs, an overestimation of the contribution of variable renewables (13–15% of total electricity generation) and a lack of system flexibility. The results of the deterministic models converge towards the stochastic solution when the temporal resolution is increased, but even with 2016 time-slices, the need for flexibility is underestimated. In addition, the deterministic model with 2016 time-slices takes 30 times longer to solve than the stochastic model with 48 time-slices. Based on these findings, a stochastic approach is recommended for long-term studies of energy systems with large shares of variable renewable energy sources.</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civil, because, they, guide, safety;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2018:</w:t>
      </w:r>
      <w:r>
        <w:t xml:space="preserve"> A changing economic vote in Western Europe? Long-term vs. short-term forces — https://doi.org/10.1017/s1755773918000231</w:t>
      </w:r>
    </w:p>
    <w:p>
      <w:pPr/>
      <w:r>
        <w:rPr>
          <w:b/>
        </w:rPr>
        <w:t>Shared claim-specific concepts:</w:t>
      </w:r>
      <w:r>
        <w:t xml:space="preserve"> long-term, against, because; EU scope visible. This is a provisional connection, not an outcome finding.</w:t>
      </w:r>
    </w:p>
    <w:p>
      <w:pPr>
        <w:pStyle w:val="SourceNote"/>
      </w:pPr>
      <w:r>
        <w:rPr>
          <w:b/>
        </w:rPr>
        <w:t>Available abstract (not full text):</w:t>
      </w:r>
      <w:r>
        <w:t xml:space="preserve"> Abstract Considerable research shows the presence of an economic vote, with governments rewarded or punished by voters, depending on the state of the economy. But how stable is this economic vote? A current argument holds its effect has increased over time, because of weakening long-term social and political forces. Under these conditions, short-term forces, foremostly the economic issue, can come to the fore. A counter-argument, however, sees the economic vote effect in decline, due to globalization. Against these rival hypotheses rests the status-quo argument: the economic vote effect remains unchanged. To test these claims, we estimate carefully specified models of the incumbent vote, at both the individual and aggregate levels. Western European elections provide the data, with particular attention to Denmark, Germany, Great Britain, Italy, The Netherlands, Norway, and Sweden. Perhaps surprisingly, we find the economic vote to be stable over time, a ‘standing decision’ rule that voters follow in national elections.</w:t>
      </w:r>
    </w:p>
    <w:p>
      <w:pPr/>
      <w:r>
        <w:rPr>
          <w:b/>
        </w:rPr>
        <w:t>POSSIBLE 2018:</w:t>
      </w:r>
      <w:r>
        <w:t xml:space="preserve"> Mediterranean Civil Economy and the European System — https://doi.org/10.23756/sp.v6i1.403</w:t>
      </w:r>
    </w:p>
    <w:p>
      <w:pPr/>
      <w:r>
        <w:rPr>
          <w:b/>
        </w:rPr>
        <w:t>Shared claim-specific concepts:</w:t>
      </w:r>
      <w:r>
        <w:t xml:space="preserve"> currently, civil, against; EU scope visible. This is a provisional connection, not an outcome finding.</w:t>
      </w:r>
    </w:p>
    <w:p>
      <w:pPr>
        <w:pStyle w:val="SourceNote"/>
      </w:pPr>
      <w:r>
        <w:rPr>
          <w:b/>
        </w:rPr>
        <w:t>Available abstract (not full text):</w:t>
      </w:r>
      <w:r>
        <w:t xml:space="preserve"> This paper argues that: a) the indiscriminate application of the German model to all European countries (mainly to Mediterranean Catholic countries) has fostered economic growth in the EU at different speeds; b) Italy, the cradle of Catholic capitalism, is currently attempting to react against austerity measures - imposed by the economic constrictions of the German model – by focusing on the third sector and non-profit companies.</w:t>
      </w:r>
    </w:p>
    <w:p>
      <w:pPr>
        <w:pStyle w:val="Heading2"/>
      </w:pPr>
      <w:r>
        <w:t>1001.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2022:</w:t>
      </w:r>
      <w:r>
        <w:t xml:space="preserve"> Land–climate interactions — https://doi.org/10.1017/9781009157988.004</w:t>
      </w:r>
    </w:p>
    <w:p>
      <w:pPr/>
      <w:r>
        <w:rPr>
          <w:b/>
        </w:rPr>
        <w:t>Shared claim-specific concepts:</w:t>
      </w:r>
      <w:r>
        <w:t xml:space="preserve"> climate, land; EU scope not established. This is a provisional connection, not an outcome finding.</w:t>
      </w:r>
    </w:p>
    <w:p>
      <w:pPr>
        <w:pStyle w:val="SourceNote"/>
      </w:pPr>
      <w:r>
        <w:rPr>
          <w:b/>
        </w:rPr>
        <w:t>Available abstract (not full text):</w:t>
      </w:r>
      <w:r>
        <w:t xml:space="preserve"> responses to warming and changes in soil moisture ......</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2022:</w:t>
      </w:r>
      <w:r>
        <w:t xml:space="preserve"> 21st Century alpine climate change — https://doi.org/10.1007/s00382-022-06303-3</w:t>
      </w:r>
    </w:p>
    <w:p>
      <w:pPr/>
      <w:r>
        <w:rPr>
          <w:b/>
        </w:rPr>
        <w:t>Shared claim-specific concepts:</w:t>
      </w:r>
      <w:r>
        <w:t xml:space="preserve"> climate, cover, precipitation, temperature, over, main; EU scope visible. This is a provisional connection, not an outcome finding.</w:t>
      </w:r>
    </w:p>
    <w:p>
      <w:pPr>
        <w:pStyle w:val="SourceNote"/>
      </w:pPr>
      <w:r>
        <w:rPr>
          <w:b/>
        </w:rPr>
        <w:t>Available abstract (not full text):</w:t>
      </w:r>
      <w:r>
        <w:t xml:space="preserve">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pPr/>
      <w:r>
        <w:rPr>
          <w:b/>
        </w:rPr>
        <w:t>POSSIBLE 2021:</w:t>
      </w:r>
      <w:r>
        <w:t xml:space="preserve"> The role of land cover in the climate of glacial Europe — https://doi.org/10.5194/cp-17-1161-2021</w:t>
      </w:r>
    </w:p>
    <w:p>
      <w:pPr/>
      <w:r>
        <w:rPr>
          <w:b/>
        </w:rPr>
        <w:t>Shared claim-specific concepts:</w:t>
      </w:r>
      <w:r>
        <w:t xml:space="preserve"> climate, land, cover, vegetation, used, over; EU scope visible. This is a provisional connection, not an outcome finding.</w:t>
      </w:r>
    </w:p>
    <w:p>
      <w:pPr>
        <w:pStyle w:val="SourceNote"/>
      </w:pPr>
      <w:r>
        <w:rPr>
          <w:b/>
        </w:rPr>
        <w:t>Available abstract (not full text):</w:t>
      </w:r>
      <w:r>
        <w:t xml:space="preserve"> Abstract. Earth system models show wide disagreement when simulating the climate of the continents at the Last Glacial Maximum (LGM). This disagreement may be related to a variety of factors, including model resolution and an incomplete representation of Earth system processes. To assess the importance of resolution and land-atmosphere feedbacks on the climate of Europe, we performed an iterative, asynchronously coupled land-atmosphere modelling experiment that combined a global climate model, a regional climate model, and a dynamic vegetation model. The regional climate and land cover models were run at high (18 km) resolution over a domain covering the ice-free regions of Europe. Asynchronous coupling between the regional climate model and the vegetation model showed that the land-atmosphere coupling achieves quasi-equilibrium after four iterations. Modelled climate and land cover agree reasonably well with independent reconstructions based on pollen and other paleoenvironmental proxies. To assess the importance of land cover on the LGM climate of Europe, we performed a sensitivity test where we used LGM climate but present day land cover as boundary conditions. These simulations show that the LGM land-atmosphere feedback leads to colder and drier conditions around the Alps and a warmer and drier climate in southeastern Europe. Even in mid-latitude Europe where the land-atmos</w:t>
      </w:r>
    </w:p>
    <w:p>
      <w:pPr/>
      <w:r>
        <w:rPr>
          <w:b/>
        </w:rPr>
        <w:t>POSSIBLE 2021:</w:t>
      </w:r>
      <w:r>
        <w:t xml:space="preserve"> High-resolution land-use land-cover change data for regional climate modelling applications over Europe – Part 2: Historical and future changes — https://doi.org/10.5194/essd-2021-252</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pPr/>
      <w:r>
        <w:rPr>
          <w:b/>
        </w:rPr>
        <w:t>POSSIBLE 2020:</w:t>
      </w:r>
      <w:r>
        <w:t xml:space="preserve"> Influence of climate, soil, and land cover on plant species distribution in the European Alps — https://doi.org/10.1002/ecm.1433</w:t>
      </w:r>
    </w:p>
    <w:p>
      <w:pPr/>
      <w:r>
        <w:rPr>
          <w:b/>
        </w:rPr>
        <w:t>Shared claim-specific concepts:</w:t>
      </w:r>
      <w:r>
        <w:t xml:space="preserve"> climate, land, cover; EU scope visible. This is a provisional connection, not an outcome finding.</w:t>
      </w:r>
    </w:p>
    <w:p>
      <w:pPr>
        <w:pStyle w:val="SourceNote"/>
      </w:pPr>
      <w:r>
        <w:rPr>
          <w:b/>
        </w:rPr>
        <w:t>Available abstract (not full text):</w:t>
      </w:r>
      <w:r>
        <w:t xml:space="preserve"> Abstract Although the importance of edaphic factors and habitat structure for plant growth and survival is known, both are often neglected in favor of climatic drivers when investigating the spatial patterns of plant species and diversity. Yet, especially in mountain ecosystems with complex topography, missing edaphic and habitat components may be detrimental for a sound understanding of biodiversity distribution. Here, we compare the relative importance of climate, soil and land cover variables when predicting the distributions of 2,616 vascular plant species in the European Alps, representing approximately two‐thirds of all European flora. Using presence‐only data, we built point‐process models (PPMs) to relate species observations to different combinations of covariates. We evaluated the PPMs through block cross‐validations and assessed the independent contributions of climate, soil, and land cover covariates to predict plant species distributions using an innovative predictive partitioning approach. We found climate to be the most influential driver of spatial patterns in plant species with a relative influence of ~58.5% across all species, with decreasing importance from low to high elevations. Soil (~20.1%) and land cover (~21.4%), overall, were less influential than climate, but increased in importance along the elevation gradient. Furthermore, land cover showed strong l</w:t>
      </w:r>
    </w:p>
    <w:p>
      <w:pPr/>
      <w:r>
        <w:rPr>
          <w:b/>
        </w:rPr>
        <w:t>POSSIBLE 2020:</w:t>
      </w:r>
      <w:r>
        <w:t xml:space="preserve"> Climate change will affect global water availability through compounding changes in seasonal precipitation and evaporation — https://doi.org/10.1038/s41467-020-16757-w</w:t>
      </w:r>
    </w:p>
    <w:p>
      <w:pPr/>
      <w:r>
        <w:rPr>
          <w:b/>
        </w:rPr>
        <w:t>Shared claim-specific concepts:</w:t>
      </w:r>
      <w:r>
        <w:t xml:space="preserve"> climate, land, precipitation, used; EU scope not established. This is a provisional connection, not an outcome finding.</w:t>
      </w:r>
    </w:p>
    <w:p>
      <w:pPr>
        <w:pStyle w:val="SourceNote"/>
      </w:pPr>
      <w:r>
        <w:rPr>
          <w:b/>
        </w:rPr>
        <w:t>Available abstract (not full text):</w:t>
      </w:r>
      <w:r>
        <w:t xml:space="preserve"> Both seasonal and annual mean precipitation and evaporation influence patterns of water availability impacting society and ecosystems. Existing global climate studies rarely consider such patterns from non-parametric statistical standpoint. Here, we employ a non-parametric analysis framework to analyze seasonal hydroclimatic regimes by classifying global land regions into nine regimes using late 20th century precipitation means and seasonality. These regimes are used to assess implications for water availability due to concomitant changes in mean and seasonal precipitation and evaporation changes using CMIP5 model future climate projections. Out of 9 regimes, 4 show increased precipitation variation, while 5 show decreased evaporation variation coupled with increasing mean precipitation and evaporation. Increases in projected seasonal precipitation variation in already highly variable precipitation regimes gives rise to a pattern of "seasonally variable regimes becoming more variable". Regimes with low seasonality in precipitation, instead, experience increased wet season precipitation.</w:t>
      </w:r>
    </w:p>
    <w:p>
      <w:pPr/>
      <w:r>
        <w:rPr>
          <w:b/>
        </w:rPr>
        <w:t>POSSIBLE 2020:</w:t>
      </w:r>
      <w:r>
        <w:t xml:space="preserve"> Climate change impact on flood and extreme precipitation increases with water availability — https://doi.org/10.1038/s41598-020-70816-2</w:t>
      </w:r>
    </w:p>
    <w:p>
      <w:pPr/>
      <w:r>
        <w:rPr>
          <w:b/>
        </w:rPr>
        <w:t>Shared claim-specific concepts:</w:t>
      </w:r>
      <w:r>
        <w:t xml:space="preserve"> climate, precipitation, over; EU scope not established. This is a provisional connection, not an outcome finding.</w:t>
      </w:r>
    </w:p>
    <w:p>
      <w:pPr>
        <w:pStyle w:val="SourceNote"/>
      </w:pPr>
      <w:r>
        <w:rPr>
          <w:b/>
        </w:rPr>
        <w:t>Available abstract (not full text):</w:t>
      </w:r>
      <w:r>
        <w:t xml:space="preserve"> The hydrological cycle is expected to intensify with global warming, which likely increases the intensity of extreme precipitation events and the risk of flooding. The changes, however, often differ from the theorized expectation of increases in water-holding capacity of the atmosphere in the warmer conditions, especially when water availability is limited. Here, the relationships of changes in extreme precipitation and flood intensities for the end of the twenty-first century with spatial and seasonal water availability are quantified. Results show an intensification of extreme precipitation and flood events over all climate regions which increases as water availability increases from wet to dry regions. Similarly, there is an increase in the intensification of extreme precipitation and flood with the seasonal cycle of water availability. The connection between extreme precipitation and flood intensity changes and spatial and seasonal water availability becomes stronger as events become less extreme.</w:t>
      </w:r>
    </w:p>
    <w:p>
      <w:pPr/>
      <w:r>
        <w:rPr>
          <w:b/>
        </w:rPr>
        <w:t>POSSIBLE 2019:</w:t>
      </w:r>
      <w:r>
        <w:t xml:space="preserve"> Satellite Remote Sensing of Precipitation and the Terrestrial Water Cycle in a Changing Climate — https://doi.org/10.3390/rs11192301</w:t>
      </w:r>
    </w:p>
    <w:p>
      <w:pPr/>
      <w:r>
        <w:rPr>
          <w:b/>
        </w:rPr>
        <w:t>Shared claim-specific concepts:</w:t>
      </w:r>
      <w:r>
        <w:t xml:space="preserve"> climate, land, precipitation, environmental; EU scope not established. This is a provisional connection, not an outcome finding.</w:t>
      </w:r>
    </w:p>
    <w:p>
      <w:pPr>
        <w:pStyle w:val="SourceNote"/>
      </w:pPr>
      <w:r>
        <w:rPr>
          <w:b/>
        </w:rPr>
        <w:t>Available abstract (not full text):</w:t>
      </w:r>
      <w:r>
        <w:t xml:space="preserve"> The water cycle is the most essential supporting physical mechanism ensuring the existence of life on Earth. Its components encompass the atmosphere, land, and oceans. The cycle is composed of evaporation, evapotranspiration, sublimation, water vapor transport, condensation, precipitation, runoff, infiltration and percolation, groundwater flow, and plant uptake. For a correct closure of the global water cycle, observations are needed of all these processes with a global perspective. In particular, precipitation requires continuous monitoring, as it is the most important component of the cycle, especially under changing climatic conditions. Passive and active sensors on board meteorological and environmental satellites now make reasonably complete data available that allow better measurements of precipitation to be made from space, in order to improve our understanding of the cycle’s acceleration/deceleration under current and projected climate conditions. The article aims to draw an up-to-date picture of the current status of observations of precipitation from space, with an outlook to the near future of the satellite constellation, modeling applications, and water resource management.</w:t>
      </w:r>
    </w:p>
    <w:p>
      <w:pPr>
        <w:pStyle w:val="Heading2"/>
      </w:pPr>
      <w:r>
        <w:t>1002. Regulating the Use of Bisphenol A in Baby and Children's Products in the European Union: Current Developments and Scenarios for the Regulatory Future</w:t>
      </w:r>
    </w:p>
    <w:p>
      <w:pPr>
        <w:pStyle w:val="SourceNote"/>
      </w:pPr>
      <w:r>
        <w:rPr>
          <w:b/>
        </w:rPr>
        <w:t>Original source (2011):</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r>
        <w:rPr>
          <w:b/>
        </w:rPr>
        <w:t>POSSIBLE 2024:</w:t>
      </w:r>
      <w:r>
        <w:t xml:space="preserve"> Scientific opinion on the tolerable upper intake level for iron — https://doi.org/10.2903/j.efsa.2024.8819</w:t>
      </w:r>
    </w:p>
    <w:p>
      <w:pPr/>
      <w:r>
        <w:rPr>
          <w:b/>
        </w:rPr>
        <w:t>Shared claim-specific concepts:</w:t>
      </w:r>
      <w:r>
        <w:t xml:space="preserve"> tolerable, intake, levels, not, level; EU scope visible. This is a provisional connection, not an outcome finding.</w:t>
      </w:r>
    </w:p>
    <w:p>
      <w:pPr>
        <w:pStyle w:val="SourceNote"/>
      </w:pPr>
      <w:r>
        <w:rPr>
          <w:b/>
        </w:rPr>
        <w:t>Available abstract (not full text):</w:t>
      </w:r>
      <w:r>
        <w:t xml:space="preserve"> Abstract Following a request from the European Commission, the EFSA Panel on Nutrition, Novel Foods and Food Allergens (NDA) was asked to deliver a scientific opinion on the tolerable upper intake level (UL) for iron. Systematic reviews were conducted to identify evidence regarding high iron intakes and risk of chronic diseases, adverse gastrointestinal effects and adverse effects of iron supplementation in infancy, young childhood and pregnancy. It is established that systemic iron overload leads to organ toxicity, but no UL could be established. The only indicator for which a dose–response could be established was black stools, which reflect the presence of large amounts of unabsorbed iron in the gut. This is a conservative endpoint among the chain of events that may lead to systemic iron overload but is not adverse per se. Based on interventions in which black stools did not occur at supplemental iron intakes of 20–25 mg/day (added to a background intake of 15 mg/day), a safe level of intake for iron of 40 mg/day for adults (including pregnant and lactating women) was established. Using allometric scaling (body weight0.75), this value was scaled down to children and adolescents and safe levels of intakes between 10 mg/day (1–3 years) and 35 mg/day (15–17 years) were derived. For infants 7–11 months of age who have a higher iron requirement than young children, allometric sca</w:t>
      </w:r>
    </w:p>
    <w:p>
      <w:pPr/>
      <w:r>
        <w:rPr>
          <w:b/>
        </w:rPr>
        <w:t>POSSIBLE 2022:</w:t>
      </w:r>
      <w:r>
        <w:t xml:space="preserve"> Exposure modelling in Europe: how to pave the road for the future as part of the European Exposure Science Strategy 2020–2030 — https://doi.org/10.1038/s41370-022-00455-4</w:t>
      </w:r>
    </w:p>
    <w:p>
      <w:pPr/>
      <w:r>
        <w:rPr>
          <w:b/>
        </w:rPr>
        <w:t>Shared claim-specific concepts:</w:t>
      </w:r>
      <w:r>
        <w:t xml:space="preserve"> regulatory, exposure, use; EU scope visible. This is a provisional connection, not an outcome finding.</w:t>
      </w:r>
    </w:p>
    <w:p>
      <w:pPr>
        <w:pStyle w:val="SourceNote"/>
      </w:pPr>
      <w:r>
        <w:rPr>
          <w:b/>
        </w:rPr>
        <w:t>Available abstract (not full text):</w:t>
      </w:r>
      <w:r>
        <w:t xml:space="preserve"> Exposure models are essential in almost all relevant contexts for exposure science. To address the numerous challenges and gaps that exist, exposure modelling is one of the priority areas of the European Exposure Science Strategy developed by the European Chapter of the International Society of Exposure Science (ISES Europe). A strategy was developed for the priority area of exposure modelling in Europe with four strategic objectives. These objectives are (1) improvement of models and tools, (2) development of new methodologies and support for understudied fields, (3) improvement of model use and (4) regulatory needs for modelling. In a bottom-up approach, exposure modellers from different European countries and institutions who are active in the fields of occupational, population and environmental exposure science pooled their expertise under the umbrella of the ISES Europe Working Group on exposure models. This working group assessed the state-of-the-art of exposure modelling in Europe by developing an inventory of exposure models used in Europe and reviewing the existing literature on pitfalls for exposure modelling, in order to identify crucial modelling-related strategy elements. Decisive actions were defined for ISES Europe stakeholders, including collecting available models and accompanying information in a living document curated and published by ISES Europe, as well as</w:t>
      </w:r>
    </w:p>
    <w:p>
      <w:pPr/>
      <w:r>
        <w:rPr>
          <w:b/>
        </w:rPr>
        <w:t>POSSIBLE 2022:</w:t>
      </w:r>
      <w:r>
        <w:t xml:space="preserve"> European Regulatory and Insurance Aspects of Carbon Capture and Storage — https://doi.org/10.54648/eelr2022024</w:t>
      </w:r>
    </w:p>
    <w:p>
      <w:pPr/>
      <w:r>
        <w:rPr>
          <w:b/>
        </w:rPr>
        <w:t>Shared claim-specific concepts:</w:t>
      </w:r>
      <w:r>
        <w:t xml:space="preserve"> regulatory, not, any, use, however; EU scope visible. This is a provisional connection, not an outcome finding.</w:t>
      </w:r>
    </w:p>
    <w:p>
      <w:pPr>
        <w:pStyle w:val="SourceNote"/>
      </w:pPr>
      <w:r>
        <w:rPr>
          <w:b/>
        </w:rPr>
        <w:t>Available abstract (not full text):</w:t>
      </w:r>
      <w:r>
        <w:t xml:space="preserve"> Carbon capture, use and storage (CCUS) has the potential to significantly reduce carbon emissions, however, because CCUS technology almost exclusively aims for carbon mitigation without co-benefits, this expensive technology has not been widely adopted. In order to make this technology viable, a robust regulatory and legal regime is required both internationally and within the European Union (EU). A comprehensive insurance system is also required to ensure that efficient running of CCUS. With this understanding in mind, this article analyses the regulatory regime governing CCUS both internationally and in the EU and also the law governing insurance of this technology. It argues that whilst European regulation has improved with respect to filling regulatory gaps, a number of gaps are identified which still need to be closed. In addition, the article will argue that special insurance coverage for specialized risks must be in place to diminish any environmental impact and hazard, including cyber-related risks that need to be identified and insured to be properly handled and adequately covered to allow for the successful deployment of CCUS. Carbon capture, use and storage; climate change; climate change mitigation; environmental insurance; cyber insurance; EU environmental law</w:t>
      </w:r>
    </w:p>
    <w:p>
      <w:pPr/>
      <w:r>
        <w:rPr>
          <w:b/>
        </w:rPr>
        <w:t>POSSIBLE 2022:</w:t>
      </w:r>
      <w:r>
        <w:t xml:space="preserve"> Electromagnetic Fields Exposure Assessment in Europe Utilizing Publicly Available Data — https://doi.org/10.3390/s22218481</w:t>
      </w:r>
    </w:p>
    <w:p>
      <w:pPr/>
      <w:r>
        <w:rPr>
          <w:b/>
        </w:rPr>
        <w:t>Shared claim-specific concepts:</w:t>
      </w:r>
      <w:r>
        <w:t xml:space="preserve"> exposure, limits, levels, use; EU scope visible. This is a provisional connection, not an outcome finding.</w:t>
      </w:r>
    </w:p>
    <w:p>
      <w:pPr>
        <w:pStyle w:val="SourceNote"/>
      </w:pPr>
      <w:r>
        <w:rPr>
          <w:b/>
        </w:rPr>
        <w:t>Available abstract (not full text):</w:t>
      </w:r>
      <w:r>
        <w:t xml:space="preserve"> The ever-increasing use of wireless communication systems during the last few decades has raised concerns about the potential health effects of electromagnetic fields (EMFs) on humans. Safety limits and exposure assessment methods were developed and are regularly updated to mitigate health risks. Continuous radiofrequency EMF monitoring networks and in situ measurement campaigns provide useful information about environmental EMF levels and their variations over time and in different microenvironments. In this study, published data from the five largest monitoring networks and from two extensive in situ measurement campaigns in different European countries were gathered and processed. Median electric field values for monitoring networks across different countries lay in the interval of 0.67-1.51 V/m. The median electric field value across different microenvironments, as evaluated from in situ measurements, varied from 0.10 V/m to 1.42 V/m. The differences between networks were identified and mainly attributed to variations in population density. No significant trends in the temporal evolution of EMF levels were observed. The influences of parameters such as population density, type of microenvironment, and height of measurement on EMF levels were investigated.</w:t>
      </w:r>
    </w:p>
    <w:p>
      <w:pPr/>
      <w:r>
        <w:rPr>
          <w:b/>
        </w:rPr>
        <w:t>POSSIBLE 2021:</w:t>
      </w:r>
      <w:r>
        <w:t xml:space="preserve"> Malignant mesothelioma and asbestos exposure in Europe: Evidence of spatial clustering — https://doi.org/10.4081/gh.2021.951</w:t>
      </w:r>
    </w:p>
    <w:p>
      <w:pPr/>
      <w:r>
        <w:rPr>
          <w:b/>
        </w:rPr>
        <w:t>Shared claim-specific concepts:</w:t>
      </w:r>
      <w:r>
        <w:t xml:space="preserve"> exposure, levels, not, use, yet, however; EU scope visible. This is a provisional connection, not an outcome finding.</w:t>
      </w:r>
    </w:p>
    <w:p>
      <w:pPr>
        <w:pStyle w:val="SourceNote"/>
      </w:pPr>
      <w:r>
        <w:rPr>
          <w:b/>
        </w:rPr>
        <w:t>Available abstract (not full text):</w:t>
      </w:r>
      <w:r>
        <w:t xml:space="preserve">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pPr/>
      <w:r>
        <w:rPr>
          <w:b/>
        </w:rPr>
        <w:t>POSSIBLE 2021:</w:t>
      </w:r>
      <w:r>
        <w:t xml:space="preserve"> Enhancing the use of exposure science across EU chemical policies as part of the European Exposure Science Strategy 2020–2030 — https://doi.org/10.1038/s41370-021-00388-4</w:t>
      </w:r>
    </w:p>
    <w:p>
      <w:pPr/>
      <w:r>
        <w:rPr>
          <w:b/>
        </w:rPr>
        <w:t>Shared claim-specific concepts:</w:t>
      </w:r>
      <w:r>
        <w:t xml:space="preserve"> regulatory, exposure, use; EU scope visible. This is a provisional connection, not an outcome finding.</w:t>
      </w:r>
    </w:p>
    <w:p>
      <w:pPr>
        <w:pStyle w:val="SourceNote"/>
      </w:pPr>
      <w:r>
        <w:rPr>
          <w:b/>
        </w:rPr>
        <w:t>Available abstract (not full text):</w:t>
      </w:r>
      <w:r>
        <w:t xml:space="preserve"> BACKGROUND: A scientific framework on exposure science will boost the multiuse of exposure knowledge across EU chemicals-related policies and improve risk assessment, risk management and communication across EU safety, security and sustainability domains. OBJECTIVE: To stimulate public and private actors to align and strengthen the cross-policy adoption of exposure assessment data, methods and tools across EU legislation. METHODS: By mapping and analysing the EU regulatory landscape making use of exposure information, policy and research challenges and key areas of action are identified and translated into opportunities enhancing policy and scientific efficiency. RESULTS: Identified key areas of actions are to develop a common scientific exposure assessment framework, supported by baseline acceptance criteria and a shared knowledge base enhancing exchangeability and acceptability of exposure knowledge within and across EU chemicals-related policies. Furthermore, such framework will improve communication and management across EU chemical safety, security and sustainability policies comprising sourcing, manufacturing and global trade of goods and waste management. In support of building such a common framework and its effective use in policy and industry, exposure science innovation needs to be better embedded along the whole policymaking cycle, and be integrated into companies' </w:t>
      </w:r>
    </w:p>
    <w:p>
      <w:pPr/>
      <w:r>
        <w:rPr>
          <w:b/>
        </w:rPr>
        <w:t>POSSIBLE 2020:</w:t>
      </w:r>
      <w:r>
        <w:t xml:space="preserve"> Safety and tolerability of topical polyhexamethylene biguanide: a randomised clinical trial in healthy adult volunteers — https://doi.org/10.1136/bjophthalmol-2020-317848</w:t>
      </w:r>
    </w:p>
    <w:p>
      <w:pPr/>
      <w:r>
        <w:rPr>
          <w:b/>
        </w:rPr>
        <w:t>Shared claim-specific concepts:</w:t>
      </w:r>
      <w:r>
        <w:t xml:space="preserve"> daily, levels, not, any, use; EU scope not established. This is a provisional connection, not an outcome finding.</w:t>
      </w:r>
    </w:p>
    <w:p>
      <w:pPr>
        <w:pStyle w:val="SourceNote"/>
      </w:pPr>
      <w:r>
        <w:rPr>
          <w:b/>
        </w:rPr>
        <w:t>Available abstract (not full text):</w:t>
      </w:r>
      <w:r>
        <w:t xml:space="preserve"> BACKGROUND AND AIMS: keratitis (AK), is unlicensed with no formal safety assessment. This study evaluated its safety and tolerability. METHODS: A prospective, randomised, double-masked controlled trial in 90 healthy volunteers. Subjects were treated with topical 0.04%, 0.06%, 0.08% PHMB or placebo (vehicle) 12× daily for 7 days, then 6× daily for 7 days. The rates of dose-limiting adverse events (DLAEs) leading to interruption of dosing, mild adverse events (AEs) (not dose limiting) and incidental AEs (unrelated to treatment) were compared. The primary outcome was the difference between treatments for DLAE rates. RESULTS: 5/90 subjects developed DLAE within &lt;1-4 days of starting treatment; 2/5 using PHMB 0.06% and 3/5 PHMB 0.08%. These resolved within 1-15 days. There were no significant differences in DLAE between treatment groups. Mild AEs occurred in 48/90 subjects (including placebo). There was no trend for an increased incidence of any AE with increasing concentrations of PHMB, except for corneal punctate keratopathy with PHMB 0.08%, which fully resolved within 7-14 days. CONCLUSION: These findings are reassuring for PHMB 0.02% users. They also suggest that higher PHMB concentrations may show acceptable levels of tolerance and toxicity in AK subjects, whose susceptibility to AE may be greater than for the normal eyes in this study. Given the potential benefits of higher PH</w:t>
      </w:r>
    </w:p>
    <w:p>
      <w:pPr>
        <w:pStyle w:val="Heading2"/>
      </w:pPr>
      <w:r>
        <w:t>1003.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2025:</w:t>
      </w:r>
      <w:r>
        <w:t xml:space="preserve"> DECONSTRUCTING SDG PERFORMANCE FOR STRATEGIC INSIGHT: QUANTITATIVE INSIGHTS FROM TÜRKİYE AND EUROPEAN COUNTRIES — https://doi.org/10.15544/mts.2025.29</w:t>
      </w:r>
    </w:p>
    <w:p>
      <w:pPr/>
      <w:r>
        <w:rPr>
          <w:b/>
        </w:rPr>
        <w:t>Shared claim-specific concepts:</w:t>
      </w:r>
      <w:r>
        <w:t xml:space="preserve"> insights, strategic, particularly; EU scope visible. This is a provisional connection, not an outcome finding.</w:t>
      </w:r>
    </w:p>
    <w:p>
      <w:pPr>
        <w:pStyle w:val="SourceNote"/>
      </w:pPr>
      <w:r>
        <w:rPr>
          <w:b/>
        </w:rPr>
        <w:t>Available abstract (not full text):</w:t>
      </w:r>
      <w:r>
        <w:t xml:space="preserve">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pPr/>
      <w:r>
        <w:rPr>
          <w:b/>
        </w:rPr>
        <w:t>POSSIBLE 2025:</w:t>
      </w:r>
      <w:r>
        <w:t xml:space="preserve"> Korea in Strategic Competition: A European Perspective — https://openalex.org/W7119569940</w:t>
      </w:r>
    </w:p>
    <w:p>
      <w:pPr/>
      <w:r>
        <w:rPr>
          <w:b/>
        </w:rPr>
        <w:t>Shared claim-specific concepts:</w:t>
      </w:r>
      <w:r>
        <w:t xml:space="preserve"> insights, strategic, key; EU scope visible. This is a provisional connection, not an outcome finding.</w:t>
      </w:r>
    </w:p>
    <w:p>
      <w:pPr>
        <w:pStyle w:val="SourceNote"/>
      </w:pPr>
      <w:r>
        <w:rPr>
          <w:b/>
        </w:rPr>
        <w:t>Available abstract (not full text):</w:t>
      </w:r>
      <w:r>
        <w:t xml:space="preserve"> CSDS In-Depth Paper, No. 20 1 CSDS In-Depth Papers provide critical reflections on issues that affect European security and Europe's partners.The Papers are dedicated to providing analytical insights on specific diplomatic, strategic and security challenges.The Centre for Security, Diplomacy and Strategy (CSDS) seeks to contribute to a better understanding of the key contemporary security and diplomatic challenges of the 21st century -and their impact on Europewhile reaching out to the policy community that will ultimately need to handle such challenges.Our expertise in security studies will seek to establish comprehensive theoretical and policy coverage of strategic competition and its impact on Europe, whilst paying particular attention to the Transatlantic relationship and the wider Indo-Pacific region.Diplomacy as a field of study will be treated broadly and comparatively to encompass traditional statecraft and foreign policy analysis, as well as public, economic and cultural diplomacy.</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insights, drivers;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2023:</w:t>
      </w:r>
      <w:r>
        <w:t xml:space="preserve"> Arguing — https://doi.org/10.1093/oso/9780198866053.003.0008</w:t>
      </w:r>
    </w:p>
    <w:p>
      <w:pPr/>
      <w:r>
        <w:rPr>
          <w:b/>
        </w:rPr>
        <w:t>Shared claim-specific concepts:</w:t>
      </w:r>
      <w:r>
        <w:t xml:space="preserve"> insights, particularly, suited; EU scope visible. This is a provisional connection, not an outcome finding.</w:t>
      </w:r>
    </w:p>
    <w:p>
      <w:pPr>
        <w:pStyle w:val="SourceNote"/>
      </w:pPr>
      <w:r>
        <w:rPr>
          <w:b/>
        </w:rPr>
        <w:t>Available abstract (not full text):</w:t>
      </w:r>
      <w:r>
        <w:t xml:space="preserve"> Abstract This chapter discusses three genres concerned with argumentative advocacy of or against certain positions. The dialogue, a genre with deep ancient roots, was by its very nature suitable for the discussion of controversial subjects. The dissertation, an extremely prolific genre in Central and Northern Europe, was originally the basis of a disputatio, an academic exercise in scholarly argumentation; from the eighteenth century, it began to evolve into the proof of a candidate’s scientific capacity which it is today. Dissertations were avidly collected by some because of the novelty of their contents. Innovativeness was also a hallmark of the monograph, the focused treatment of a single, coherent topic, which rose to new prominence in early modern times. Medium-sized, neatly structured, and thoroughly argued, this type of book was particularly well suited to the presentation of new insights and theories.</w:t>
      </w:r>
    </w:p>
    <w:p>
      <w:pPr/>
      <w:r>
        <w:rPr>
          <w:b/>
        </w:rPr>
        <w:t>POSSIBLE 2022:</w:t>
      </w:r>
      <w:r>
        <w:t xml:space="preserve"> Strategic partnerships and China’s diplomacy in Europe: Insights from Italy — https://doi.org/10.1177/13691481221127571</w:t>
      </w:r>
    </w:p>
    <w:p>
      <w:pPr/>
      <w:r>
        <w:rPr>
          <w:b/>
        </w:rPr>
        <w:t>Shared claim-specific concepts:</w:t>
      </w:r>
      <w:r>
        <w:t xml:space="preserve"> insights, strategic, ideational; EU scope visible. This is a provisional connection, not an outcome finding.</w:t>
      </w:r>
    </w:p>
    <w:p>
      <w:pPr>
        <w:pStyle w:val="SourceNote"/>
      </w:pPr>
      <w:r>
        <w:rPr>
          <w:b/>
        </w:rPr>
        <w:t>Available abstract (not full text):</w:t>
      </w:r>
      <w:r>
        <w:t xml:space="preserve"> As discussions of a ‘new cold war’ between China and the West intensify, it has never been more important to understand how China engages internationally. Crucially, as of 2022, China has established 110 ‘strategic partnerships’, without stipulating any formal treaty of alliance, but we know little about strategic partnerships and how China uses them, despite their centrality as a foreign policy tool. Departing from the assumption of the state as a unitary and monolithic actor in international affairs, this article proposes a new framework of strategic partnerships which incorporates sub-state entities as well as an ideational component, highlighting the image-building purpose that these partnerships serve. Empirically, the analysis focuses on the evolution of the Sino-Italian strategic partnership, drawing on a critical discourse analysis of 1294 news articles published as part of the agreement between the Chinese and Italian news agencies Xinhua and ANSA.</w:t>
      </w:r>
    </w:p>
    <w:p>
      <w:pPr/>
      <w:r>
        <w:rPr>
          <w:b/>
        </w:rPr>
        <w:t>POSSIBLE 2022:</w:t>
      </w:r>
      <w:r>
        <w:t xml:space="preserve"> Strategic European counterterrorism? An empirical analysis — https://doi.org/10.1080/09662839.2022.2029847</w:t>
      </w:r>
    </w:p>
    <w:p>
      <w:pPr/>
      <w:r>
        <w:rPr>
          <w:b/>
        </w:rPr>
        <w:t>Shared claim-specific concepts:</w:t>
      </w:r>
      <w:r>
        <w:t xml:space="preserve"> insights, strategic, assessment; EU scope visible. This is a provisional connection, not an outcome finding.</w:t>
      </w:r>
    </w:p>
    <w:p>
      <w:pPr>
        <w:pStyle w:val="SourceNote"/>
      </w:pPr>
      <w:r>
        <w:rPr>
          <w:b/>
        </w:rPr>
        <w:t>Available abstract (not full text):</w:t>
      </w:r>
      <w:r>
        <w:t xml:space="preserve">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pPr/>
      <w:r>
        <w:rPr>
          <w:b/>
        </w:rPr>
        <w:t>POSSIBLE 2021:</w:t>
      </w:r>
      <w:r>
        <w:t xml:space="preserve"> Demystifying the modernized European data protection regime: Cross‐disciplinary insights from legal and regulatory governance scholarship — https://doi.org/10.1111/rego.12401</w:t>
      </w:r>
    </w:p>
    <w:p>
      <w:pPr/>
      <w:r>
        <w:rPr>
          <w:b/>
        </w:rPr>
        <w:t>Shared claim-specific concepts:</w:t>
      </w:r>
      <w:r>
        <w:t xml:space="preserve"> insights, key, uncertainties; EU scope visible. This is a provisional connection, not an outcome finding.</w:t>
      </w:r>
    </w:p>
    <w:p>
      <w:pPr>
        <w:pStyle w:val="SourceNote"/>
      </w:pPr>
      <w:r>
        <w:rPr>
          <w:b/>
        </w:rPr>
        <w:t>Available abstract (not full text):</w:t>
      </w:r>
      <w:r>
        <w:t xml:space="preserve"> Abstract This article critically examines fundamental aspects of the recently reformed European regime for protection of personal data, focusing on the General Data Protection Regulation (GDPR) adopted by the European Union (EU) in 2016. Although the GDPR is now a central concern for many organizations across multiple sectors, many complain that it is arcane, confusing, and complex. By combining knowledge from two disciplinary perspectives – from regulatory governance scholarship, on the one hand, with legal scholarship from the fields of data protection law, constitutional law, and fundamental rights, on the other hand – this article seeks to “demystify” the key elements of the regime's architecture and approach in light of the significant uncertainties concerning the nature of its requirements. In particular, this article examines the tension between the regime's pronounced “risk‐based” approach to compliance and its basic objective of safeguarding fundamental rights, and the challenges facing data protection authorities in providing timely clarifications of the regime's norms. We argue that, despite its complex and arcane character and continuing uncertainty about the precise scope of its requirements, the regime is an innovative hybrid with a significant degree of in‐built “future‐proofing” that should help render it more resistant to being rapidly overtaken or outpaced by </w:t>
      </w:r>
    </w:p>
    <w:p>
      <w:pPr>
        <w:pStyle w:val="Heading2"/>
      </w:pPr>
      <w:r>
        <w:t>1004.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2024:</w:t>
      </w:r>
      <w:r>
        <w:t xml:space="preserve"> Lithium: critical, or not so critical? — https://doi.org/10.1144/geoenergy2023-045</w:t>
      </w:r>
    </w:p>
    <w:p>
      <w:pPr/>
      <w:r>
        <w:rPr>
          <w:b/>
        </w:rPr>
        <w:t>Shared claim-specific concepts:</w:t>
      </w:r>
      <w:r>
        <w:t xml:space="preserve"> critical, current, overall; EU scope not established. This is a provisional connection, not an outcome finding.</w:t>
      </w:r>
    </w:p>
    <w:p>
      <w:pPr>
        <w:pStyle w:val="SourceNote"/>
      </w:pPr>
      <w:r>
        <w:rPr>
          <w:b/>
        </w:rPr>
        <w:t>Available abstract (not full text):</w:t>
      </w:r>
      <w:r>
        <w:t xml:space="preserve">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pPr/>
      <w:r>
        <w:rPr>
          <w:b/>
        </w:rPr>
        <w:t>POSSIBLE 2024:</w:t>
      </w:r>
      <w:r>
        <w:t xml:space="preserve"> Critical Disposition Towards the Uncertainty of Events – Aspirations, Endeavour and Plans of Future Teachers — https://doi.org/10.17951/j.2023.36.4.19-35</w:t>
      </w:r>
    </w:p>
    <w:p>
      <w:pPr/>
      <w:r>
        <w:rPr>
          <w:b/>
        </w:rPr>
        <w:t>Shared claim-specific concepts:</w:t>
      </w:r>
      <w:r>
        <w:t xml:space="preserve"> so-called, critical; EU scope not established. This is a provisional connection, not an outcome finding.</w:t>
      </w:r>
    </w:p>
    <w:p>
      <w:pPr>
        <w:pStyle w:val="SourceNote"/>
      </w:pPr>
      <w:r>
        <w:rPr>
          <w:b/>
        </w:rPr>
        <w:t>Available abstract (not full text):</w:t>
      </w:r>
      <w:r>
        <w:t xml:space="preserve">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pPr/>
      <w:r>
        <w:rPr>
          <w:b/>
        </w:rPr>
        <w:t>POSSIBLE 2024:</w:t>
      </w:r>
      <w:r>
        <w:t xml:space="preserve"> The So-Called Creative PhD — https://doi.org/10.31182/cubic.2024.7.75</w:t>
      </w:r>
    </w:p>
    <w:p>
      <w:pPr/>
      <w:r>
        <w:rPr>
          <w:b/>
        </w:rPr>
        <w:t>Shared claim-specific concepts:</w:t>
      </w:r>
      <w:r>
        <w:t xml:space="preserve"> so-called, concern, particularly; EU scope not established. This is a provisional connection, not an outcome finding.</w:t>
      </w:r>
    </w:p>
    <w:p>
      <w:pPr>
        <w:pStyle w:val="SourceNote"/>
      </w:pPr>
      <w:r>
        <w:rPr>
          <w:b/>
        </w:rPr>
        <w:t>Available abstract (not full text):</w:t>
      </w:r>
      <w:r>
        <w:t xml:space="preserve"> This paper constitutes a short reflection on architectural research and knowledge production in the tertiary education sector, with particular reference to the establishment of a ‘creative’ PhD degree in South Africa. It arises from the growing interest in and pressure for the establishment of a practice-led (architecture) PhD. This interest has emerged predominantly from within performance-based disciplines whose application takes the form of practice-based and professionally produced work. In reflecting on the nature of PhDs and on various ‘alternative’ approaches, I conclude that the conventional PhD implicitly infers creativity and is entirely capable of sponsoring any performance-based PhD enquiry – particularly within practice-based disciplines in which theory and method have been critically identified to support appropriate investigations. Concern is therefore raised regarding the emerging predominance of an author’s self-evaluation of their own ‘creative’ production at the level of a PhD enquiry. On the one hand, knowledge remains largely embedded within the performance/production, and on the other hand, the subjectivity intrinsic to autoethnographic studies is noted for its privileging of the self over the other, and its method often follows what may be termed a self-fulfilling prophesy.</w:t>
      </w:r>
    </w:p>
    <w:p>
      <w:pPr/>
      <w:r>
        <w:rPr>
          <w:b/>
        </w:rPr>
        <w:t>POSSIBLE 2024:</w:t>
      </w:r>
      <w:r>
        <w:t xml:space="preserve"> Uncertainty quantification for overshoots of tipping thresholds — https://doi.org/10.5194/egusphere-egu24-8618</w:t>
      </w:r>
    </w:p>
    <w:p>
      <w:pPr/>
      <w:r>
        <w:rPr>
          <w:b/>
        </w:rPr>
        <w:t>Shared claim-specific concepts:</w:t>
      </w:r>
      <w:r>
        <w:t xml:space="preserve"> so-called, critical, uncertainties, found, current, climate; EU scope not established. This is a provisional connection, not an outcome finding.</w:t>
      </w:r>
    </w:p>
    <w:p>
      <w:pPr>
        <w:pStyle w:val="SourceNote"/>
      </w:pPr>
      <w:r>
        <w:rPr>
          <w:b/>
        </w:rPr>
        <w:t>Available abstract (not full text):</w:t>
      </w:r>
      <w:r>
        <w:t xml:space="preserve"> To tip or not to tip?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and driving a nonlinear system beyond a critical threshold that signifies self-amplifying feedbacks inducing tipping. However, previous work has shown that it is possible to briefly overshoot a critical threshold and avoid tipping. Specifically, the peak distance of an overshoot and the time a system can spend beyond a threshold are governed by an inverse square law relationship. In the real world or complex models, critical thresholds and other system features determining the permitted overshoot are highly uncertain. In this presentation, we look at how such uncertainties affect the probability of tipping from the perspective of uncertainty quantification. We show the importance of constraining uncertainty in the location of the critical threshold and the linear restoring rate to the stable state to reduce the uncertainty in the probability of tipping. Using a simple box model for the Atlantic Meridional Overturning Circulation, we highlight the need to constrain the high un</w:t>
      </w:r>
    </w:p>
    <w:p>
      <w:pPr/>
      <w:r>
        <w:rPr>
          <w:b/>
        </w:rPr>
        <w:t>POSSIBLE 2023:</w:t>
      </w:r>
      <w:r>
        <w:t xml:space="preserve"> A Critical Comment on T.S. Kuhn’s Views about the So-called Copernican Revolution and Several Current Prejudices – Barriers in Scientific Communities — https://doi.org/10.4467/2543702xshs.23.004.17695</w:t>
      </w:r>
    </w:p>
    <w:p>
      <w:pPr/>
      <w:r>
        <w:rPr>
          <w:b/>
        </w:rPr>
        <w:t>Shared claim-specific concepts:</w:t>
      </w:r>
      <w:r>
        <w:t xml:space="preserve"> so-called, critical, current, about; EU scope not established. This is a provisional connection, not an outcome finding.</w:t>
      </w:r>
    </w:p>
    <w:p>
      <w:pPr>
        <w:pStyle w:val="SourceNote"/>
      </w:pPr>
      <w:r>
        <w:rPr>
          <w:b/>
        </w:rPr>
        <w:t>Available abstract (not full text):</w:t>
      </w:r>
      <w:r>
        <w:t xml:space="preserve"> The article is a case study on the views of the famous T.S. Kuhn about the so-called Copernican revolution. Generally, Kuhn is presented as a very successful historian and philosopher of science: an author of world bestsellers. The division among his supporters, i.e. about so-called left-wing and right-wing Kuhnians, is recalled, and the fact that Kuhn himself vehemently dissociated from a large proportion of his adherents. It is also noted here, that in the last 30 years, in addition to abundant hagiographic literature on T. S. Kuhn, there have also been a few critical studies of Kuhn’s achievements. The rest of the article presents the author’s critical analysis of Kuhn’s views on the so-called Copernican Revolution, which formed the basis of Kuhn’s scheme of scientific development presented in The Structure of Scientific Revolutions (1962); i.e. the world’s most famous monograph in social sciences and humanities so far. The criticism encompasses a genesis, content and reception of Kuhn’s views and the development of his interpretations. The analysis is carried out by the means of methodology of historical sciences and a scientific method, which the author describes as the hypothetico-deductive method of correspondence thinking. The criticism is based on the author’s current publications (developed here further on), which were sadly unnoticed by the researchers, although pres</w:t>
      </w:r>
    </w:p>
    <w:p>
      <w:pPr/>
      <w:r>
        <w:rPr>
          <w:b/>
        </w:rPr>
        <w:t>POSSIBLE 2023:</w:t>
      </w:r>
      <w:r>
        <w:t xml:space="preserve"> Knowledge, Integration and Scope of Deepfakes in Arts Education: The Development of Critical Thinking in Postgraduate Students in Primary Education and Master’s Degree in Secondary Education — https://doi.org/10.3390/educsci13111073</w:t>
      </w:r>
    </w:p>
    <w:p>
      <w:pPr/>
      <w:r>
        <w:rPr>
          <w:b/>
        </w:rPr>
        <w:t>Shared claim-specific concepts:</w:t>
      </w:r>
      <w:r>
        <w:t xml:space="preserve"> so-called, critical, current; EU scope not established. This is a provisional connection, not an outcome finding.</w:t>
      </w:r>
    </w:p>
    <w:p>
      <w:pPr>
        <w:pStyle w:val="SourceNote"/>
      </w:pPr>
      <w:r>
        <w:rPr>
          <w:b/>
        </w:rPr>
        <w:t>Available abstract (not full text):</w:t>
      </w:r>
      <w:r>
        <w:t xml:space="preserve"> If the appearance of digital images does not coincide with what they look like when they are presented as authentic photos or videos, we must reflect on concepts such as mimesis, truth, Artificial Intelligence and impersonation, something that is currently gaining prominence in the education of teachers and university professors. The current study presents the results of a research focused on the scope and knowledge of the so-called ‘deepfake images’ by the university student body of the Visual and Plastic Education subject, in the Graduate Certificate in Primary Education, and the student body of the Activity Design subject, in the master’s degree in Secondary Education—Specialty in Drawing, in the subject of Activity Design, University of Zaragoza. To do so, a quasi-experimental design with qualitative methodology was used, in which of 100 students participated. As a data collection strategy, reports were used, based on semi-structured questions, for the analysis of the development of critical thinking. The achieved results allow us to verify that deepfakes put forward an innovation in the study by university classrooms. The use of these deepfake representations is a novel issue that generates some moral and ethical controversy due to the different uses it can have, where the age of the interpreter is a differentiating factor for the knowledge and the possibilities that these</w:t>
      </w:r>
    </w:p>
    <w:p>
      <w:pPr/>
      <w:r>
        <w:rPr>
          <w:b/>
        </w:rPr>
        <w:t>POSSIBLE 2022:</w:t>
      </w:r>
      <w:r>
        <w:t xml:space="preserve"> Supplying Critical Materials in a Time of Uncertainty — https://doi.org/10.31410/limen.2022.315</w:t>
      </w:r>
    </w:p>
    <w:p>
      <w:pPr/>
      <w:r>
        <w:rPr>
          <w:b/>
        </w:rPr>
        <w:t>Shared claim-specific concepts:</w:t>
      </w:r>
      <w:r>
        <w:t xml:space="preserve"> so-called, critical, climate; EU scope not established. This is a provisional connection, not an outcome finding.</w:t>
      </w:r>
    </w:p>
    <w:p>
      <w:pPr>
        <w:pStyle w:val="SourceNote"/>
      </w:pPr>
      <w:r>
        <w:rPr>
          <w:b/>
        </w:rPr>
        <w:t>Available abstract (not full text):</w:t>
      </w:r>
      <w:r>
        <w:t xml:space="preserve"> The high demand for energy, food, and raw materials is putting an enormous strain on ecosystems around the planet. Therefore, the indus­trial strategies of many countries rely on the so-called green plan and tran­sition toward climate neutrality. In this sense, the need for new materials greatly exceeds the existing possibilities and capacities. Critical materials are raw materials that have great economic importance and for which there is a probability of shortage. Since the world is facing more and more serious problems, whether it is an economic crisis, a pandemic, or war conflicts, the general character of the present and, one would say, future time, is uncer­tain. Prediction of uncertainty is a task that decision-makers must keep in mind when deciding on the present and the future, not only of economies but of entire ecosystems and populations as a whole. The paper shows how critical materials affect development and growth, and the fulfillment of en­vironmental requirements, using examples from various industries.</w:t>
      </w:r>
    </w:p>
    <w:p>
      <w:pPr/>
      <w:r>
        <w:rPr>
          <w:b/>
        </w:rPr>
        <w:t>POSSIBLE 2022:</w:t>
      </w:r>
      <w:r>
        <w:t xml:space="preserve"> Truth and uncertainty. A critical discussion of the error concept versus the uncertainty concept — https://doi.org/10.5194/amt-15-1145-2022</w:t>
      </w:r>
    </w:p>
    <w:p>
      <w:pPr/>
      <w:r>
        <w:rPr>
          <w:b/>
        </w:rPr>
        <w:t>Shared claim-specific concepts:</w:t>
      </w:r>
      <w:r>
        <w:t xml:space="preserve"> critical, uncertainties, found; EU scope not established. This is a provisional connection, not an outcome finding.</w:t>
      </w:r>
    </w:p>
    <w:p>
      <w:pPr>
        <w:pStyle w:val="SourceNote"/>
      </w:pPr>
      <w:r>
        <w:rPr>
          <w:b/>
        </w:rPr>
        <w:t>Available abstract (not full text):</w:t>
      </w:r>
      <w:r>
        <w:t xml:space="preserve"> Abstract. Contrary to the claims put forward in “Evaluation of measurement data – Guide to the expression of uncertainty in measurement”, issued by the Joint Committee for Guides in Metrology, the error concept and the uncertainty concept are the same. Arguments in favour of the contrary have been analyzed and were found not compelling. Neither was any evidence presented in this document that “errors” and “uncertainties” define a different relation between the measured and the true value of the variable of interest, nor does this document refer to a Bayesian account of uncertainty beyond the mere endorsement of a degree-of-belief-type conception of probability.</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