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 ideas: what happened, what remains open</w:t>
      </w:r>
    </w:p>
    <w:p>
      <w:pPr>
        <w:pStyle w:val="Subtitle"/>
      </w:pPr>
      <w:r>
        <w:t>Twelve cross-cutting insights and twenty unresolved investigations</w:t>
      </w:r>
    </w:p>
    <w:p>
      <w:pPr/>
      <w:r>
        <w:t>Research edition · 28 October 2026 · Findings are LLM-assisted and source verification varies. No overall forecast-accuracy grade is implied.</w:t>
      </w:r>
    </w:p>
    <w:p>
      <w:r>
        <w:t>No placeholder 50/100 scores are used. This edition distinguishes later developments from full-horizon verdicts and from topic-matched publications. As of the research cutoff, zero cases are recorded as formally verified forecast outcomes.</w:t>
      </w:r>
    </w:p>
    <w:p>
      <w:pPr>
        <w:pStyle w:val="Heading1"/>
      </w:pPr>
      <w:r>
        <w:t>Twelve findings across the cases</w:t>
      </w:r>
    </w:p>
    <w:p>
      <w:pPr>
        <w:pStyle w:val="Heading2"/>
      </w:pPr>
      <w:r>
        <w:t>SYN-01. Dependency warnings can be right while their demand assumptions are wrong</w:t>
      </w:r>
    </w:p>
    <w:p>
      <w:r>
        <w:rPr>
          <w:b/>
        </w:rPr>
        <w:t xml:space="preserve">Interpretation: </w:t>
      </w:r>
      <w:r>
        <w:t>Energy security was framed around additional supply routes; later exposure was amplified by declining domestic output and disrupted by war. Diversification became LNG, demand reduction, legislation and industrial policy, rather than one new corridor.</w:t>
      </w:r>
    </w:p>
    <w:p>
      <w:r>
        <w:rPr>
          <w:b/>
        </w:rPr>
        <w:t xml:space="preserve">Research links: </w:t>
      </w:r>
      <w:r>
        <w:t>R24-01,P26-03,R24-05</w:t>
      </w:r>
    </w:p>
    <w:p>
      <w:r>
        <w:rPr>
          <w:b/>
        </w:rPr>
        <w:t xml:space="preserve">Confidence and limits: </w:t>
      </w:r>
      <w:r>
        <w:t>High; 2030 gas demand and autonomy outcomes still open</w:t>
      </w:r>
    </w:p>
    <w:p>
      <w:pPr>
        <w:pStyle w:val="Heading2"/>
      </w:pPr>
      <w:r>
        <w:t>SYN-02. Infrastructure deployment is a separate hypothesis from technology viability</w:t>
      </w:r>
    </w:p>
    <w:p>
      <w:r>
        <w:rPr>
          <w:b/>
        </w:rPr>
        <w:t xml:space="preserve">Interpretation: </w:t>
      </w:r>
      <w:r>
        <w:t>Hydrogen, ocean energy, transcontinental electricity and CO2 transport could be modelled as technically credible without creating matching finance, offtake, planning and cross-border physical networks.</w:t>
      </w:r>
    </w:p>
    <w:p>
      <w:r>
        <w:rPr>
          <w:b/>
        </w:rPr>
        <w:t xml:space="preserve">Research links: </w:t>
      </w:r>
      <w:r>
        <w:t>P26-01,P26-06,R24-03,R24-02</w:t>
      </w:r>
    </w:p>
    <w:p>
      <w:r>
        <w:rPr>
          <w:b/>
        </w:rPr>
        <w:t xml:space="preserve">Confidence and limits: </w:t>
      </w:r>
      <w:r>
        <w:t>High; 2030/2050 deployment horizons not reached</w:t>
      </w:r>
    </w:p>
    <w:p>
      <w:pPr>
        <w:pStyle w:val="Heading2"/>
      </w:pPr>
      <w:r>
        <w:t>SYN-03. Policy adoption can make a topic salient without proving implementation</w:t>
      </w:r>
    </w:p>
    <w:p>
      <w:r>
        <w:rPr>
          <w:b/>
        </w:rPr>
        <w:t xml:space="preserve">Interpretation: </w:t>
      </w:r>
      <w:r>
        <w:t>Legislation and strategic documents are observations of political salience. Measurable industry capacity and social outcomes are a separate evidentiary tier.</w:t>
      </w:r>
    </w:p>
    <w:p>
      <w:r>
        <w:rPr>
          <w:b/>
        </w:rPr>
        <w:t xml:space="preserve">Research links: </w:t>
      </w:r>
      <w:r>
        <w:t>P26-03,R24-03,R24-04,ED-48</w:t>
      </w:r>
    </w:p>
    <w:p>
      <w:r>
        <w:rPr>
          <w:b/>
        </w:rPr>
        <w:t xml:space="preserve">Confidence and limits: </w:t>
      </w:r>
      <w:r>
        <w:t>High; Causal influence from original studies mostly untraced</w:t>
      </w:r>
    </w:p>
    <w:p>
      <w:pPr>
        <w:pStyle w:val="Heading2"/>
      </w:pPr>
      <w:r>
        <w:t>SYN-04. Spatial hazard foresight performed better at direction than attribution</w:t>
      </w:r>
    </w:p>
    <w:p>
      <w:r>
        <w:rPr>
          <w:b/>
        </w:rPr>
        <w:t xml:space="preserve">Interpretation: </w:t>
      </w:r>
      <w:r>
        <w:t>Mosquito establishment and species-range lags illustrate the usefulness of mapping climatic suitability, while transport, introductions, land use and extinction processes determine observed geography.</w:t>
      </w:r>
    </w:p>
    <w:p>
      <w:r>
        <w:rPr>
          <w:b/>
        </w:rPr>
        <w:t xml:space="preserve">Research links: </w:t>
      </w:r>
      <w:r>
        <w:t>R24-10,P26-10,R24-07</w:t>
      </w:r>
    </w:p>
    <w:p>
      <w:r>
        <w:rPr>
          <w:b/>
        </w:rPr>
        <w:t xml:space="preserve">Confidence and limits: </w:t>
      </w:r>
      <w:r>
        <w:t>Moderate; Biological establishment and climate attribution differ</w:t>
      </w:r>
    </w:p>
    <w:p>
      <w:pPr>
        <w:pStyle w:val="Heading2"/>
      </w:pPr>
      <w:r>
        <w:t>SYN-05. Emissions and exposure can move in different directions</w:t>
      </w:r>
    </w:p>
    <w:p>
      <w:r>
        <w:rPr>
          <w:b/>
        </w:rPr>
        <w:t xml:space="preserve">Interpretation: </w:t>
      </w:r>
      <w:r>
        <w:t>European precursor emissions and Finnish sectoral emissions decreased, but ozone metrics, public-health endpoints, and forest sinks respond to interacting processes rather than one emissions inventory.</w:t>
      </w:r>
    </w:p>
    <w:p>
      <w:r>
        <w:rPr>
          <w:b/>
        </w:rPr>
        <w:t xml:space="preserve">Research links: </w:t>
      </w:r>
      <w:r>
        <w:t>R24-07,R24-08,R24-09,R24-13</w:t>
      </w:r>
    </w:p>
    <w:p>
      <w:r>
        <w:rPr>
          <w:b/>
        </w:rPr>
        <w:t xml:space="preserve">Confidence and limits: </w:t>
      </w:r>
      <w:r>
        <w:t>Moderate; Long-range ozone and health horizons open</w:t>
      </w:r>
    </w:p>
    <w:p>
      <w:pPr>
        <w:pStyle w:val="Heading2"/>
      </w:pPr>
      <w:r>
        <w:t>SYN-06. National emissions progress need not deliver net climate neutrality</w:t>
      </w:r>
    </w:p>
    <w:p>
      <w:r>
        <w:rPr>
          <w:b/>
        </w:rPr>
        <w:t xml:space="preserve">Interpretation: </w:t>
      </w:r>
      <w:r>
        <w:t>Finland cut territorial emissions excluding land use, but the LULUCF sector turned net positive; the forest sink is a nonlinear constraint on a seemingly linear energy-transition narrative.</w:t>
      </w:r>
    </w:p>
    <w:p>
      <w:r>
        <w:rPr>
          <w:b/>
        </w:rPr>
        <w:t xml:space="preserve">Research links: </w:t>
      </w:r>
      <w:r>
        <w:t>R24-13,R24-11,P26-10</w:t>
      </w:r>
    </w:p>
    <w:p>
      <w:r>
        <w:rPr>
          <w:b/>
        </w:rPr>
        <w:t xml:space="preserve">Confidence and limits: </w:t>
      </w:r>
      <w:r>
        <w:t>High; Finland 2035 neutrality and EU sink evolution uncertain</w:t>
      </w:r>
    </w:p>
    <w:p>
      <w:pPr>
        <w:pStyle w:val="Heading2"/>
      </w:pPr>
      <w:r>
        <w:t>SYN-07. A scenario condition can become obsolete before its date arrives</w:t>
      </w:r>
    </w:p>
    <w:p>
      <w:r>
        <w:rPr>
          <w:b/>
        </w:rPr>
        <w:t xml:space="preserve">Interpretation: </w:t>
      </w:r>
      <w:r>
        <w:t>Russia war interrupted Finland–Russia rail assumptions; European waste treatment changed the fixed-plants baseline; a new gas security regime displaced old demand assumptions.</w:t>
      </w:r>
    </w:p>
    <w:p>
      <w:r>
        <w:rPr>
          <w:b/>
        </w:rPr>
        <w:t xml:space="preserve">Research links: </w:t>
      </w:r>
      <w:r>
        <w:t>R24-12,R24-17,R24-01</w:t>
      </w:r>
    </w:p>
    <w:p>
      <w:r>
        <w:rPr>
          <w:b/>
        </w:rPr>
        <w:t xml:space="preserve">Confidence and limits: </w:t>
      </w:r>
      <w:r>
        <w:t>High; Counterfactual outcomes are unobservable</w:t>
      </w:r>
    </w:p>
    <w:p>
      <w:pPr>
        <w:pStyle w:val="Heading2"/>
      </w:pPr>
      <w:r>
        <w:t>SYN-08. Labour supply is contingent on migration, retention and policy responses</w:t>
      </w:r>
    </w:p>
    <w:p>
      <w:r>
        <w:rPr>
          <w:b/>
        </w:rPr>
        <w:t xml:space="preserve">Interpretation: </w:t>
      </w:r>
      <w:r>
        <w:t>Nursing staffing rose despite a contraction-risk scenario, with international recruitment essential. EU population also grew because net migration offset natural decrease. Bulgaria aged without an observed fall in productivity.</w:t>
      </w:r>
    </w:p>
    <w:p>
      <w:r>
        <w:rPr>
          <w:b/>
        </w:rPr>
        <w:t xml:space="preserve">Research links: </w:t>
      </w:r>
      <w:r>
        <w:t>R24-16,R24-18,P26-11</w:t>
      </w:r>
    </w:p>
    <w:p>
      <w:r>
        <w:rPr>
          <w:b/>
        </w:rPr>
        <w:t xml:space="preserve">Confidence and limits: </w:t>
      </w:r>
      <w:r>
        <w:t>High; 2050 demographic consequences remain unresolved</w:t>
      </w:r>
    </w:p>
    <w:p>
      <w:pPr>
        <w:pStyle w:val="Heading2"/>
      </w:pPr>
      <w:r>
        <w:t>SYN-09. Extrapolated health trajectories require serial recalibration</w:t>
      </w:r>
    </w:p>
    <w:p>
      <w:r>
        <w:rPr>
          <w:b/>
        </w:rPr>
        <w:t xml:space="preserve">Interpretation: </w:t>
      </w:r>
      <w:r>
        <w:t>Obesity remained high but trajectories slowed relative to older extrapolation; 2024 UK measured obesity is 30%. Scenario midpoints and data collection methods matter more than one ultimate verdict.</w:t>
      </w:r>
    </w:p>
    <w:p>
      <w:r>
        <w:rPr>
          <w:b/>
        </w:rPr>
        <w:t xml:space="preserve">Research links: </w:t>
      </w:r>
      <w:r>
        <w:t>R24-14,R24-15,R24-16</w:t>
      </w:r>
    </w:p>
    <w:p>
      <w:r>
        <w:rPr>
          <w:b/>
        </w:rPr>
        <w:t xml:space="preserve">Confidence and limits: </w:t>
      </w:r>
      <w:r>
        <w:t>Moderate; Irish cost burden and 2030 prevalence not settled</w:t>
      </w:r>
    </w:p>
    <w:p>
      <w:pPr>
        <w:pStyle w:val="Heading2"/>
      </w:pPr>
      <w:r>
        <w:t>SYN-10. The green transition creates a new resource-security problem</w:t>
      </w:r>
    </w:p>
    <w:p>
      <w:r>
        <w:rPr>
          <w:b/>
        </w:rPr>
        <w:t xml:space="preserve">Interpretation: </w:t>
      </w:r>
      <w:r>
        <w:t>Raw material concentration and electrolyser supply show how reducing fossil dependence can create import and infrastructure dependencies, rather than removing dependence in general.</w:t>
      </w:r>
    </w:p>
    <w:p>
      <w:r>
        <w:rPr>
          <w:b/>
        </w:rPr>
        <w:t xml:space="preserve">Research links: </w:t>
      </w:r>
      <w:r>
        <w:t>P26-03,P26-01,R24-02</w:t>
      </w:r>
    </w:p>
    <w:p>
      <w:r>
        <w:rPr>
          <w:b/>
        </w:rPr>
        <w:t xml:space="preserve">Confidence and limits: </w:t>
      </w:r>
      <w:r>
        <w:t>High; 2030 extraction / recycling / diversification projects mostly in progress</w:t>
      </w:r>
    </w:p>
    <w:p>
      <w:pPr>
        <w:pStyle w:val="Heading2"/>
      </w:pPr>
      <w:r>
        <w:t>SYN-11. Market transformation can be real but uneven within one sector</w:t>
      </w:r>
    </w:p>
    <w:p>
      <w:r>
        <w:rPr>
          <w:b/>
        </w:rPr>
        <w:t xml:space="preserve">Interpretation: </w:t>
      </w:r>
      <w:r>
        <w:t>Organic sales grew in nominal value but fell during 2022; declining graphic papers coexisted with growing packaging grades. One average trend can hide substitutions and reversals.</w:t>
      </w:r>
    </w:p>
    <w:p>
      <w:r>
        <w:rPr>
          <w:b/>
        </w:rPr>
        <w:t xml:space="preserve">Research links: </w:t>
      </w:r>
      <w:r>
        <w:t>P26-02,ED-30,P26-08</w:t>
      </w:r>
    </w:p>
    <w:p>
      <w:r>
        <w:rPr>
          <w:b/>
        </w:rPr>
        <w:t xml:space="preserve">Confidence and limits: </w:t>
      </w:r>
      <w:r>
        <w:t>Moderate; Volume, value and country series not harmonised</w:t>
      </w:r>
    </w:p>
    <w:p>
      <w:pPr>
        <w:pStyle w:val="Heading2"/>
      </w:pPr>
      <w:r>
        <w:t>SYN-12. The agenda moved from optimized futures to stress-tested resilience</w:t>
      </w:r>
    </w:p>
    <w:p>
      <w:r>
        <w:rPr>
          <w:b/>
        </w:rPr>
        <w:t xml:space="preserve">Interpretation: </w:t>
      </w:r>
      <w:r>
        <w:t>Early scenario analyses stressed technology pathways and global integration; later institutional agendas increasingly emphasized autonomy, supply chains, asymmetric security, resilience and integration under shocks.</w:t>
      </w:r>
    </w:p>
    <w:p>
      <w:r>
        <w:rPr>
          <w:b/>
        </w:rPr>
        <w:t xml:space="preserve">Research links: </w:t>
      </w:r>
      <w:r>
        <w:t>R24-04,R24-05,R24-18,P26-03</w:t>
      </w:r>
    </w:p>
    <w:p>
      <w:r>
        <w:rPr>
          <w:b/>
        </w:rPr>
        <w:t xml:space="preserve">Confidence and limits: </w:t>
      </w:r>
      <w:r>
        <w:t>Moderate; Collection biased toward selected available studies</w:t>
      </w:r>
    </w:p>
    <w:p>
      <w:pPr>
        <w:pStyle w:val="Heading1"/>
      </w:pPr>
      <w:r>
        <w:t>Twenty questions still worth answering</w:t>
      </w:r>
    </w:p>
    <w:p>
      <w:pPr>
        <w:pStyle w:val="Heading2"/>
      </w:pPr>
      <w:r>
        <w:t>GAP-01. What share of the EU hydrogen project pipeline reaches commissioned production before 2030?</w:t>
      </w:r>
    </w:p>
    <w:p>
      <w:r>
        <w:rPr>
          <w:b/>
        </w:rPr>
        <w:t xml:space="preserve">Historical source: </w:t>
      </w:r>
      <w:r>
        <w:t>How far away is hydrogen? Its role in the medium and long-term decarbonisation of the European energy system (2015) · claim-af58b0bea2ac0aaa</w:t>
      </w:r>
    </w:p>
    <w:p>
      <w:r>
        <w:rPr>
          <w:b/>
        </w:rPr>
        <w:t xml:space="preserve">Evidence needed: </w:t>
      </w:r>
      <w:r>
        <w:t>Operational electrolyser MW, audited production, final investment decisions and signed offtake by state</w:t>
      </w:r>
    </w:p>
    <w:p>
      <w:r>
        <w:rPr>
          <w:b/>
        </w:rPr>
        <w:t xml:space="preserve">Next research step: </w:t>
      </w:r>
      <w:r>
        <w:t>Compare ACER annual installed capacity, JRC tracking and independent market data to original carbon-cap scenario; separate EU from wider-Europe and input from output MW.</w:t>
      </w:r>
    </w:p>
    <w:p>
      <w:r>
        <w:rPr>
          <w:b/>
        </w:rPr>
        <w:t xml:space="preserve">Original publication: </w:t>
      </w:r>
      <w:r>
        <w:t>https://doi.org/10.1016/j.ijhydene.2015.09.004</w:t>
      </w:r>
    </w:p>
    <w:p>
      <w:pPr>
        <w:pStyle w:val="Heading2"/>
      </w:pPr>
      <w:r>
        <w:t>GAP-02. Will Finland meet 2035 net-zero once land-use emissions are included?</w:t>
      </w:r>
    </w:p>
    <w:p>
      <w:r>
        <w:rPr>
          <w:b/>
        </w:rPr>
        <w:t xml:space="preserve">Historical source: </w:t>
      </w:r>
      <w:r>
        <w:t>Backcasting scenarios for Finland 2050 of low emissions (2012) · claim-93d981a3ef93589e</w:t>
      </w:r>
    </w:p>
    <w:p>
      <w:r>
        <w:rPr>
          <w:b/>
        </w:rPr>
        <w:t xml:space="preserve">Evidence needed: </w:t>
      </w:r>
      <w:r>
        <w:t>Inventories through 2035 with consistent annual LULUCF estimates</w:t>
      </w:r>
    </w:p>
    <w:p>
      <w:r>
        <w:rPr>
          <w:b/>
        </w:rPr>
        <w:t xml:space="preserve">Next research step: </w:t>
      </w:r>
      <w:r>
        <w:t>Audit Statistics Finland revised inventory and Luke forest sink, stress-test harvest and land-area assumptions; compare net versus non-land-use pathways.</w:t>
      </w:r>
    </w:p>
    <w:p>
      <w:r>
        <w:rPr>
          <w:b/>
        </w:rPr>
        <w:t xml:space="preserve">Original publication: </w:t>
      </w:r>
      <w:r>
        <w:t>https://doi.org/10.1108/14636681211256099</w:t>
      </w:r>
    </w:p>
    <w:p>
      <w:pPr>
        <w:pStyle w:val="Heading2"/>
      </w:pPr>
      <w:r>
        <w:t>GAP-03. Do CRMA strategic projects measurably reduce single-country supply concentration by 2030?</w:t>
      </w:r>
    </w:p>
    <w:p>
      <w:r>
        <w:rPr>
          <w:b/>
        </w:rPr>
        <w:t xml:space="preserve">Historical source: </w:t>
      </w:r>
      <w:r>
        <w:t>2022 Strategic Foresight Report: Twinning the green and digital transitions in the new geopolitical context (2022) · report-3eff29ec207eb208</w:t>
      </w:r>
    </w:p>
    <w:p>
      <w:r>
        <w:rPr>
          <w:b/>
        </w:rPr>
        <w:t xml:space="preserve">Evidence needed: </w:t>
      </w:r>
      <w:r>
        <w:t>Material-specific imports and actual operating extraction/processing capacity</w:t>
      </w:r>
    </w:p>
    <w:p>
      <w:r>
        <w:rPr>
          <w:b/>
        </w:rPr>
        <w:t xml:space="preserve">Next research step: </w:t>
      </w:r>
      <w:r>
        <w:t>Follow ECA special report 04/2026; build material-level data for 17 strategic minerals and track operating rather than designated capacity.</w:t>
      </w:r>
    </w:p>
    <w:p>
      <w:r>
        <w:rPr>
          <w:b/>
        </w:rPr>
        <w:t xml:space="preserve">Original publication: </w:t>
      </w:r>
      <w:r>
        <w:t>https://commission.europa.eu/strategy-and-policy/strategic-foresight/2022-strategic-foresight-report_en</w:t>
      </w:r>
    </w:p>
    <w:p>
      <w:pPr>
        <w:pStyle w:val="Heading2"/>
      </w:pPr>
      <w:r>
        <w:t>GAP-04. Which mechanism explains the 2013 gas-demand forecast divergence?</w:t>
      </w:r>
    </w:p>
    <w:p>
      <w:r>
        <w:rPr>
          <w:b/>
        </w:rPr>
        <w:t xml:space="preserve">Historical source: </w:t>
      </w:r>
      <w:r>
        <w:t>The European Unions Strategic Gas Supply Options and the Prevalence of the Southern Corridor (2013) · claim-c8bd592f750e834c</w:t>
      </w:r>
    </w:p>
    <w:p>
      <w:r>
        <w:rPr>
          <w:b/>
        </w:rPr>
        <w:t xml:space="preserve">Evidence needed: </w:t>
      </w:r>
      <w:r>
        <w:t>Original paper full-text demand/import model and matched EU gas balance through 2030</w:t>
      </w:r>
    </w:p>
    <w:p>
      <w:r>
        <w:rPr>
          <w:b/>
        </w:rPr>
        <w:t xml:space="preserve">Next research step: </w:t>
      </w:r>
      <w:r>
        <w:t>Retrieve Kluwer full paper and historical EU consumption/production balance; isolate changing consumption, production and supplier concentration.</w:t>
      </w:r>
    </w:p>
    <w:p>
      <w:r>
        <w:rPr>
          <w:b/>
        </w:rPr>
        <w:t xml:space="preserve">Original publication: </w:t>
      </w:r>
      <w:r>
        <w:t>https://doi.org/10.54648/eerr2013040</w:t>
      </w:r>
    </w:p>
    <w:p>
      <w:pPr>
        <w:pStyle w:val="Heading2"/>
      </w:pPr>
      <w:r>
        <w:t>GAP-05. How much physical EU CO2 storage and cross-border transport will exist by 2030?</w:t>
      </w:r>
    </w:p>
    <w:p>
      <w:r>
        <w:rPr>
          <w:b/>
        </w:rPr>
        <w:t xml:space="preserve">Historical source: </w:t>
      </w:r>
      <w:r>
        <w:t>The feasibility of a European‐wide integrated CO 2 transport network (2014) · claim-29bd38aa3695dbd3</w:t>
      </w:r>
    </w:p>
    <w:p>
      <w:r>
        <w:rPr>
          <w:b/>
        </w:rPr>
        <w:t xml:space="preserve">Evidence needed: </w:t>
      </w:r>
      <w:r>
        <w:t>Operational injection Mt/year and transboundary connected network lengths</w:t>
      </w:r>
    </w:p>
    <w:p>
      <w:r>
        <w:rPr>
          <w:b/>
        </w:rPr>
        <w:t xml:space="preserve">Next research step: </w:t>
      </w:r>
      <w:r>
        <w:t>Audit Northern Lights and EU projects annually; distinguish 50 Mt 2030 legal goal from installed injection and delivered storage.</w:t>
      </w:r>
    </w:p>
    <w:p>
      <w:r>
        <w:rPr>
          <w:b/>
        </w:rPr>
        <w:t xml:space="preserve">Original publication: </w:t>
      </w:r>
      <w:r>
        <w:t>https://doi.org/10.1002/ghg.1410</w:t>
      </w:r>
    </w:p>
    <w:p>
      <w:pPr>
        <w:pStyle w:val="Heading2"/>
      </w:pPr>
      <w:r>
        <w:t>GAP-06. Did North Africa-to-Europe electricity exports lag because of political, economic or technical constraints?</w:t>
      </w:r>
    </w:p>
    <w:p>
      <w:r>
        <w:rPr>
          <w:b/>
        </w:rPr>
        <w:t xml:space="preserve">Historical source: </w:t>
      </w:r>
      <w:r>
        <w:t>Scenarios for renewable energy deployment in North African countries and electricity exchange with Europe – A modelbased analysis for 2050 (2014) · claim-b2a08bb4b054505c</w:t>
      </w:r>
    </w:p>
    <w:p>
      <w:r>
        <w:rPr>
          <w:b/>
        </w:rPr>
        <w:t xml:space="preserve">Evidence needed: </w:t>
      </w:r>
      <w:r>
        <w:t>Regional generation/transmission and interconnector energy flows by origin</w:t>
      </w:r>
    </w:p>
    <w:p>
      <w:r>
        <w:rPr>
          <w:b/>
        </w:rPr>
        <w:t xml:space="preserve">Next research step: </w:t>
      </w:r>
      <w:r>
        <w:t>Rebuild 2014 four scenarios and compare plant additions and cross-border traded MWh for each country; separate proposed cables and hydrogen trade.</w:t>
      </w:r>
    </w:p>
    <w:p>
      <w:r>
        <w:rPr>
          <w:b/>
        </w:rPr>
        <w:t xml:space="preserve">Original publication: </w:t>
      </w:r>
      <w:r>
        <w:t>https://doi.org/10.12720/sgce.3.3.299-306</w:t>
      </w:r>
    </w:p>
    <w:p>
      <w:pPr>
        <w:pStyle w:val="Heading2"/>
      </w:pPr>
      <w:r>
        <w:t>GAP-07. How well did the 2012 mosquito model forecast regional establishment when trade and surveillance are controlled?</w:t>
      </w:r>
    </w:p>
    <w:p>
      <w:r>
        <w:rPr>
          <w:b/>
        </w:rPr>
        <w:t xml:space="preserve">Historical source: </w:t>
      </w:r>
      <w:r>
        <w:t>Suitability of European climate for the Asian tiger mosquito Aedes albopictus : recent trends and future scenarios (2012) · claim-e0f3cbcdc25788f2</w:t>
      </w:r>
    </w:p>
    <w:p>
      <w:r>
        <w:rPr>
          <w:b/>
        </w:rPr>
        <w:t xml:space="preserve">Evidence needed: </w:t>
      </w:r>
      <w:r>
        <w:t>Comparable 2012 predicted suitability grids, 2026 surveillance unit boundaries and introduction rates</w:t>
      </w:r>
    </w:p>
    <w:p>
      <w:r>
        <w:rPr>
          <w:b/>
        </w:rPr>
        <w:t xml:space="preserve">Next research step: </w:t>
      </w:r>
      <w:r>
        <w:t>Geospatial hindcast with harmonised EU/EEA units, trade importation proxies and surveillance intensity, then test climate-only and joint explanations.</w:t>
      </w:r>
    </w:p>
    <w:p>
      <w:r>
        <w:rPr>
          <w:b/>
        </w:rPr>
        <w:t xml:space="preserve">Original publication: </w:t>
      </w:r>
      <w:r>
        <w:t>https://doi.org/10.1098/rsif.2012.0138</w:t>
      </w:r>
    </w:p>
    <w:p>
      <w:pPr>
        <w:pStyle w:val="Heading2"/>
      </w:pPr>
      <w:r>
        <w:t>GAP-08. Are long-lived European tree species keeping pace with climatic range shifts?</w:t>
      </w:r>
    </w:p>
    <w:p>
      <w:r>
        <w:rPr>
          <w:b/>
        </w:rPr>
        <w:t xml:space="preserve">Historical source: </w:t>
      </w:r>
      <w:r>
        <w:t>Climate, competition and connectivity affect future migration and ranges of European trees (2011) · claim-529dd495e6d148e4</w:t>
      </w:r>
    </w:p>
    <w:p>
      <w:r>
        <w:rPr>
          <w:b/>
        </w:rPr>
        <w:t xml:space="preserve">Evidence needed: </w:t>
      </w:r>
      <w:r>
        <w:t>Species-level resurveyed plot distributions by life stage and connectivity</w:t>
      </w:r>
    </w:p>
    <w:p>
      <w:r>
        <w:rPr>
          <w:b/>
        </w:rPr>
        <w:t xml:space="preserve">Next research step: </w:t>
      </w:r>
      <w:r>
        <w:t>Reconstruct 2011 model grid and compare with ICP Forests 2020s plots, including disturbance and drought mortality.</w:t>
      </w:r>
    </w:p>
    <w:p>
      <w:r>
        <w:rPr>
          <w:b/>
        </w:rPr>
        <w:t xml:space="preserve">Original publication: </w:t>
      </w:r>
      <w:r>
        <w:t>https://doi.org/10.1111/j.1466-8238.2011.00669.x</w:t>
      </w:r>
    </w:p>
    <w:p>
      <w:pPr>
        <w:pStyle w:val="Heading2"/>
      </w:pPr>
      <w:r>
        <w:t>GAP-09. Have 2030 EU ozone indicators followed the 2012 model’s high- versus low-emission paths?</w:t>
      </w:r>
    </w:p>
    <w:p>
      <w:r>
        <w:rPr>
          <w:b/>
        </w:rPr>
        <w:t xml:space="preserve">Historical source: </w:t>
      </w:r>
      <w:r>
        <w:t>Future air quality in Europe: a multi-model assessment of projected exposure to ozone (2012) · claim-872e8bc8934fa439</w:t>
      </w:r>
    </w:p>
    <w:p>
      <w:r>
        <w:rPr>
          <w:b/>
        </w:rPr>
        <w:t xml:space="preserve">Evidence needed: </w:t>
      </w:r>
      <w:r>
        <w:t>2012 scenario-specific mean/peak ozone definitions and harmonised 2030 measurements</w:t>
      </w:r>
    </w:p>
    <w:p>
      <w:r>
        <w:rPr>
          <w:b/>
        </w:rPr>
        <w:t xml:space="preserve">Next research step: </w:t>
      </w:r>
      <w:r>
        <w:t>Retrieve model tables; align SOMO35, maximum daily 8-hour mean and growing-season metrics in EEA AirBase.</w:t>
      </w:r>
    </w:p>
    <w:p>
      <w:r>
        <w:rPr>
          <w:b/>
        </w:rPr>
        <w:t xml:space="preserve">Original publication: </w:t>
      </w:r>
      <w:r>
        <w:t>https://doi.org/10.5194/acp-12-10613-2012</w:t>
      </w:r>
    </w:p>
    <w:p>
      <w:pPr>
        <w:pStyle w:val="Heading2"/>
      </w:pPr>
      <w:r>
        <w:t>GAP-10. How much later ozone mortality change is attributable to climate rather than precursor cuts?</w:t>
      </w:r>
    </w:p>
    <w:p>
      <w:r>
        <w:rPr>
          <w:b/>
        </w:rPr>
        <w:t xml:space="preserve">Historical source: </w:t>
      </w:r>
      <w:r>
        <w:t>Impact of climate change on ozone-related mortality and morbidity in Europe (2012) · claim-c5a14eb6f1f7dd43</w:t>
      </w:r>
    </w:p>
    <w:p>
      <w:r>
        <w:rPr>
          <w:b/>
        </w:rPr>
        <w:t xml:space="preserve">Evidence needed: </w:t>
      </w:r>
      <w:r>
        <w:t>Counterfactual runs with fixed emissions and population ageing</w:t>
      </w:r>
    </w:p>
    <w:p>
      <w:r>
        <w:rPr>
          <w:b/>
        </w:rPr>
        <w:t xml:space="preserve">Next research step: </w:t>
      </w:r>
      <w:r>
        <w:t>Compare original climate-only model to newer health burden attribution with matched exposure-response functions.</w:t>
      </w:r>
    </w:p>
    <w:p>
      <w:r>
        <w:rPr>
          <w:b/>
        </w:rPr>
        <w:t xml:space="preserve">Original publication: </w:t>
      </w:r>
      <w:r>
        <w:t>https://doi.org/10.1183/09031936.00210411</w:t>
      </w:r>
    </w:p>
    <w:p>
      <w:pPr>
        <w:pStyle w:val="Heading2"/>
      </w:pPr>
      <w:r>
        <w:t>GAP-11. Will EU woody biomass increment stagnate under changing management and disturbance?</w:t>
      </w:r>
    </w:p>
    <w:p>
      <w:r>
        <w:rPr>
          <w:b/>
        </w:rPr>
        <w:t xml:space="preserve">Historical source: </w:t>
      </w:r>
      <w:r>
        <w:t>Potential stocks and increments of woody biomass in the European Union under different management and climate scenarios (2013) · claim-65c6f526acccd869</w:t>
      </w:r>
    </w:p>
    <w:p>
      <w:r>
        <w:rPr>
          <w:b/>
        </w:rPr>
        <w:t xml:space="preserve">Evidence needed: </w:t>
      </w:r>
      <w:r>
        <w:t>Inventory increment series corrected for national accounting revisions</w:t>
      </w:r>
    </w:p>
    <w:p>
      <w:r>
        <w:rPr>
          <w:b/>
        </w:rPr>
        <w:t xml:space="preserve">Next research step: </w:t>
      </w:r>
      <w:r>
        <w:t>Pair EU forests increment from National Forest Inventories with harvest, disturbance and LULUCF sink; distinguish total stock and annual increment.</w:t>
      </w:r>
    </w:p>
    <w:p>
      <w:r>
        <w:rPr>
          <w:b/>
        </w:rPr>
        <w:t xml:space="preserve">Original publication: </w:t>
      </w:r>
      <w:r>
        <w:t>https://doi.org/10.1186/1750-0680-8-2</w:t>
      </w:r>
    </w:p>
    <w:p>
      <w:pPr>
        <w:pStyle w:val="Heading2"/>
      </w:pPr>
      <w:r>
        <w:t>GAP-12. Could Finland–Russia rail liberalisation have created competition absent the war?</w:t>
      </w:r>
    </w:p>
    <w:p>
      <w:r>
        <w:rPr>
          <w:b/>
        </w:rPr>
        <w:t xml:space="preserve">Historical source: </w:t>
      </w:r>
      <w:r>
        <w:t>Finland-Russia rail transport deregulation: future scenarios of market development (2011) · claim-bae835546dfc91be</w:t>
      </w:r>
    </w:p>
    <w:p>
      <w:r>
        <w:rPr>
          <w:b/>
        </w:rPr>
        <w:t xml:space="preserve">Evidence needed: </w:t>
      </w:r>
      <w:r>
        <w:t>Historic 2011–2021 competitor entry, tariffs and cross-border rail flows</w:t>
      </w:r>
    </w:p>
    <w:p>
      <w:r>
        <w:rPr>
          <w:b/>
        </w:rPr>
        <w:t xml:space="preserve">Next research step: </w:t>
      </w:r>
      <w:r>
        <w:t>Obtain Finnish regulatory rail-market entry decisions and throughput; separate pre-war market uptake and post-2022 rupture.</w:t>
      </w:r>
    </w:p>
    <w:p>
      <w:r>
        <w:rPr>
          <w:b/>
        </w:rPr>
        <w:t xml:space="preserve">Original publication: </w:t>
      </w:r>
      <w:r>
        <w:t>https://doi.org/10.1504/IJSTL.2011.039377</w:t>
      </w:r>
    </w:p>
    <w:p>
      <w:pPr>
        <w:pStyle w:val="Heading2"/>
      </w:pPr>
      <w:r>
        <w:t>GAP-13. Which assumptions explain the gap between UK Foresight obesity curves and 2024 survey data?</w:t>
      </w:r>
    </w:p>
    <w:p>
      <w:r>
        <w:rPr>
          <w:b/>
        </w:rPr>
        <w:t xml:space="preserve">Historical source: </w:t>
      </w:r>
      <w:r>
        <w:t>O4-2.1 Foresight tackling obesities: future choices (2011) · claim-c4bd64f065820699</w:t>
      </w:r>
    </w:p>
    <w:p>
      <w:r>
        <w:rPr>
          <w:b/>
        </w:rPr>
        <w:t xml:space="preserve">Evidence needed: </w:t>
      </w:r>
      <w:r>
        <w:t>Historical model coefficients, age/sex rates and consistent measured surveys</w:t>
      </w:r>
    </w:p>
    <w:p>
      <w:r>
        <w:rPr>
          <w:b/>
        </w:rPr>
        <w:t xml:space="preserve">Next research step: </w:t>
      </w:r>
      <w:r>
        <w:t>Re-fit Foresight projection to post-2007 data with validation at 2015, 2020 and 2024; separate uncertainty and intervention effects.</w:t>
      </w:r>
    </w:p>
    <w:p>
      <w:r>
        <w:rPr>
          <w:b/>
        </w:rPr>
        <w:t xml:space="preserve">Original publication: </w:t>
      </w:r>
      <w:r>
        <w:t>https://doi.org/10.1136/jech.2011.142976b.14</w:t>
      </w:r>
    </w:p>
    <w:p>
      <w:pPr>
        <w:pStyle w:val="Heading2"/>
      </w:pPr>
      <w:r>
        <w:t>GAP-14. Will Irish obesity and disease costs approach 2013 extrapolations by 2030?</w:t>
      </w:r>
    </w:p>
    <w:p>
      <w:r>
        <w:rPr>
          <w:b/>
        </w:rPr>
        <w:t xml:space="preserve">Historical source: </w:t>
      </w:r>
      <w:r>
        <w:t>Application of the UK Foresight Obesity Model in Ireland: The Health and Economic Consequences of Projected Obesity Trends in Ireland (2013) · claim-d9056b0d2f24898b</w:t>
      </w:r>
    </w:p>
    <w:p>
      <w:r>
        <w:rPr>
          <w:b/>
        </w:rPr>
        <w:t xml:space="preserve">Evidence needed: </w:t>
      </w:r>
      <w:r>
        <w:t>Comparable Irish measured BMI cohorts, disease incidence and healthcare cost deflators</w:t>
      </w:r>
    </w:p>
    <w:p>
      <w:r>
        <w:rPr>
          <w:b/>
        </w:rPr>
        <w:t xml:space="preserve">Next research step: </w:t>
      </w:r>
      <w:r>
        <w:t>Re-estimate paper’s 2013 model with CSO/Healthy Ireland and NCD-RisC; document self-reported versus measured differences.</w:t>
      </w:r>
    </w:p>
    <w:p>
      <w:r>
        <w:rPr>
          <w:b/>
        </w:rPr>
        <w:t xml:space="preserve">Original publication: </w:t>
      </w:r>
      <w:r>
        <w:t>https://doi.org/10.1371/journal.pone.0079827</w:t>
      </w:r>
    </w:p>
    <w:p>
      <w:pPr>
        <w:pStyle w:val="Heading2"/>
      </w:pPr>
      <w:r>
        <w:t>GAP-15. What combination of retention, recruitment and training changed the nurse scenario?</w:t>
      </w:r>
    </w:p>
    <w:p>
      <w:r>
        <w:rPr>
          <w:b/>
        </w:rPr>
        <w:t xml:space="preserve">Historical source: </w:t>
      </w:r>
      <w:r>
        <w:t>Using scenarios to assess the future supply of NHS nursing staff in England (2012) · claim-1b6b71170e9f7fa5</w:t>
      </w:r>
    </w:p>
    <w:p>
      <w:r>
        <w:rPr>
          <w:b/>
        </w:rPr>
        <w:t xml:space="preserve">Evidence needed: </w:t>
      </w:r>
      <w:r>
        <w:t>Reconciled 2010–2025 England headcount and FTE by role and training geography</w:t>
      </w:r>
    </w:p>
    <w:p>
      <w:r>
        <w:rPr>
          <w:b/>
        </w:rPr>
        <w:t xml:space="preserve">Next research step: </w:t>
      </w:r>
      <w:r>
        <w:t>Re-run 2012 conditional scenarios with NHS workforce annual observations and overseas joiner flows; avoid comparing FTE to headcount.</w:t>
      </w:r>
    </w:p>
    <w:p>
      <w:r>
        <w:rPr>
          <w:b/>
        </w:rPr>
        <w:t xml:space="preserve">Original publication: </w:t>
      </w:r>
      <w:r>
        <w:t>https://doi.org/10.1186/1478-4491-10-16</w:t>
      </w:r>
    </w:p>
    <w:p>
      <w:pPr>
        <w:pStyle w:val="Heading2"/>
      </w:pPr>
      <w:r>
        <w:t>GAP-16. What was the actual legacy burden near 2001 waste facilities after plant portfolios changed?</w:t>
      </w:r>
    </w:p>
    <w:p>
      <w:r>
        <w:rPr>
          <w:b/>
        </w:rPr>
        <w:t xml:space="preserve">Historical source: </w:t>
      </w:r>
      <w:r>
        <w:t>Health impact assessment of waste management facilities in three European countries (2011) · claim-17422a844c2cce7d</w:t>
      </w:r>
    </w:p>
    <w:p>
      <w:r>
        <w:rPr>
          <w:b/>
        </w:rPr>
        <w:t xml:space="preserve">Evidence needed: </w:t>
      </w:r>
      <w:r>
        <w:t>Site- and technology-specific health outcomes and exposure since 2011</w:t>
      </w:r>
    </w:p>
    <w:p>
      <w:r>
        <w:rPr>
          <w:b/>
        </w:rPr>
        <w:t xml:space="preserve">Next research step: </w:t>
      </w:r>
      <w:r>
        <w:t>Reproduce 2011 conditional fixed-cohort model; attach facility-level emissions and closure/build chronology, compare with updated epidemiology.</w:t>
      </w:r>
    </w:p>
    <w:p>
      <w:r>
        <w:rPr>
          <w:b/>
        </w:rPr>
        <w:t xml:space="preserve">Original publication: </w:t>
      </w:r>
      <w:r>
        <w:t>https://doi.org/10.1186/1476-069X-10-53</w:t>
      </w:r>
    </w:p>
    <w:p>
      <w:pPr>
        <w:pStyle w:val="Heading2"/>
      </w:pPr>
      <w:r>
        <w:t>GAP-17. How much of immigration’s demographic benefit depends on actual labour integration?</w:t>
      </w:r>
    </w:p>
    <w:p>
      <w:r>
        <w:rPr>
          <w:b/>
        </w:rPr>
        <w:t xml:space="preserve">Historical source: </w:t>
      </w:r>
      <w:r>
        <w:t>Immigration and integration scenarios in global Europe: Forward-looking up to 2050 (2013) · claim-33bbbb43737342ec</w:t>
      </w:r>
    </w:p>
    <w:p>
      <w:r>
        <w:rPr>
          <w:b/>
        </w:rPr>
        <w:t xml:space="preserve">Evidence needed: </w:t>
      </w:r>
      <w:r>
        <w:t>Country-by-origin age, employment and skills flows through 2035</w:t>
      </w:r>
    </w:p>
    <w:p>
      <w:r>
        <w:rPr>
          <w:b/>
        </w:rPr>
        <w:t xml:space="preserve">Next research step: </w:t>
      </w:r>
      <w:r>
        <w:t>Rerun 2013 migration pathways with EUROPOP2023 and JRC 2020 integration scenarios; compare employment rather than raw arrivals.</w:t>
      </w:r>
    </w:p>
    <w:p>
      <w:r>
        <w:rPr>
          <w:b/>
        </w:rPr>
        <w:t xml:space="preserve">Original publication: </w:t>
      </w:r>
      <w:r>
        <w:t>https://doi.org/10.2298/SOC1302169A</w:t>
      </w:r>
    </w:p>
    <w:p>
      <w:pPr>
        <w:pStyle w:val="Heading2"/>
      </w:pPr>
      <w:r>
        <w:t>GAP-18. Did ageing cause the projected compound-specific Dutch pharmaceutical effluent increases?</w:t>
      </w:r>
    </w:p>
    <w:p>
      <w:r>
        <w:rPr>
          <w:b/>
        </w:rPr>
        <w:t xml:space="preserve">Historical source: </w:t>
      </w:r>
      <w:r>
        <w:t>Demographic projections of future pharmaceutical consumption in the Netherlands (2011) · claim-3d30340f6e823d1c</w:t>
      </w:r>
    </w:p>
    <w:p>
      <w:r>
        <w:rPr>
          <w:b/>
        </w:rPr>
        <w:t xml:space="preserve">Evidence needed: </w:t>
      </w:r>
      <w:r>
        <w:t>Prescribed drug masses by therapeutic class and wastewater detection by year</w:t>
      </w:r>
    </w:p>
    <w:p>
      <w:r>
        <w:rPr>
          <w:b/>
        </w:rPr>
        <w:t xml:space="preserve">Next research step: </w:t>
      </w:r>
      <w:r>
        <w:t>Recompute 2011 age-only baseline against SFK consumption, production mix, and water monitoring, controlling novel drugs and quaternary treatment.</w:t>
      </w:r>
    </w:p>
    <w:p>
      <w:r>
        <w:rPr>
          <w:b/>
        </w:rPr>
        <w:t xml:space="preserve">Original publication: </w:t>
      </w:r>
      <w:r>
        <w:t>https://doi.org/10.2166/wst.2011.120</w:t>
      </w:r>
    </w:p>
    <w:p>
      <w:pPr>
        <w:pStyle w:val="Heading2"/>
      </w:pPr>
      <w:r>
        <w:t>GAP-19. What conditions would be required to achieve the 2050 EU rail-freight high-policy scenario?</w:t>
      </w:r>
    </w:p>
    <w:p>
      <w:r>
        <w:rPr>
          <w:b/>
        </w:rPr>
        <w:t xml:space="preserve">Historical source: </w:t>
      </w:r>
      <w:r>
        <w:t>Assessing the impact of the 2011 EU Transport White Paper - a rail freight demand forecast up to 2050 for the EU27 (2015) · claim-0e11a67eff6ab8fa</w:t>
      </w:r>
    </w:p>
    <w:p>
      <w:r>
        <w:rPr>
          <w:b/>
        </w:rPr>
        <w:t xml:space="preserve">Evidence needed: </w:t>
      </w:r>
      <w:r>
        <w:t>Comparable freight modal series for &gt;300 km road-to-rail flows, infrastructure capacity</w:t>
      </w:r>
    </w:p>
    <w:p>
      <w:r>
        <w:rPr>
          <w:b/>
        </w:rPr>
        <w:t xml:space="preserve">Next research step: </w:t>
      </w:r>
      <w:r>
        <w:t>Retrieve TRANS-TOOLS scenario input tables; model terminals and costs using harmonised EEA and Eurostat data with 2030 review.</w:t>
      </w:r>
    </w:p>
    <w:p>
      <w:r>
        <w:rPr>
          <w:b/>
        </w:rPr>
        <w:t xml:space="preserve">Original publication: </w:t>
      </w:r>
      <w:r>
        <w:t>https://doi.org/10.1007/s12544-015-0171-7</w:t>
      </w:r>
    </w:p>
    <w:p>
      <w:pPr>
        <w:pStyle w:val="Heading2"/>
      </w:pPr>
      <w:r>
        <w:t>GAP-20. Have EU 2035 security scenarios become strategically useful rather than merely rhetorically similar?</w:t>
      </w:r>
    </w:p>
    <w:p>
      <w:r>
        <w:rPr>
          <w:b/>
        </w:rPr>
        <w:t xml:space="preserve">Historical source: </w:t>
      </w:r>
      <w:r>
        <w:t>Analytical support to foresighting EU roles as a Global Security Actor (2013) · claim-69950b53a5830d9a</w:t>
      </w:r>
    </w:p>
    <w:p>
      <w:r>
        <w:rPr>
          <w:b/>
        </w:rPr>
        <w:t xml:space="preserve">Evidence needed: </w:t>
      </w:r>
      <w:r>
        <w:t>Actual FOCUS scenario deliverables and recorded use in EU planning</w:t>
      </w:r>
    </w:p>
    <w:p>
      <w:r>
        <w:rPr>
          <w:b/>
        </w:rPr>
        <w:t xml:space="preserve">Next research step: </w:t>
      </w:r>
      <w:r>
        <w:t>Read FP7 project outputs and trace citations in EU capability planning, comparing assumptions against 2022–2026 decisions without post hoc prediction labels.</w:t>
      </w:r>
    </w:p>
    <w:p>
      <w:r>
        <w:rPr>
          <w:b/>
        </w:rPr>
        <w:t xml:space="preserve">Original publication: </w:t>
      </w:r>
      <w:r>
        <w:t>https://doi.org/10.11610/isij.2902</w:t>
      </w:r>
    </w:p>
    <w:p>
      <w:r>
        <w:br w:type="page"/>
      </w:r>
    </w:p>
    <w:p>
      <w:pPr>
        <w:pStyle w:val="Heading1"/>
      </w:pPr>
      <w:r>
        <w:t>Previous edition — preserved original material</w:t>
      </w:r>
    </w:p>
    <w:p>
      <w:r>
        <w:t>The following is the complete material from the earlier repository edition, retained for research continuity and provenance. The updated research and evidence classifications above take precedence. Earlier accuracy scores, tentative assessments, and source links below are historical records and should not be treated as newly verified findings.</w:t>
      </w:r>
    </w:p>
    <w:p>
      <w:pPr>
        <w:pStyle w:val="Title"/>
      </w:pPr>
      <w:r>
        <w:t>Future ideas — what happened?</w:t>
      </w:r>
    </w:p>
    <w:p>
      <w:pPr>
        <w:pStyle w:val="Subtitle"/>
      </w:pPr>
      <w:r>
        <w:t>Evidence collected from 2026-06-01 through 2026-10-19; cumulative across runs.</w:t>
      </w:r>
    </w:p>
    <w:p>
      <w:pPr>
        <w:pStyle w:val="Heading2"/>
      </w:pPr>
      <w:r>
        <w:t>2040 · EU working-age population</w:t>
      </w:r>
    </w:p>
    <w:p>
      <w:r>
        <w:t>Idea: The EU is projected to have 17 million fewer people of working age in 2040 than in 2023.</w:t>
      </w:r>
    </w:p>
    <w:p>
      <w:r>
        <w:t>What happened: 50/100 — Unclear (insufficient evidence); 0 supporting, 0 contradicting and 0 mixed headline signals since June 2026.</w:t>
      </w:r>
    </w:p>
    <w:p>
      <w:r>
        <w:t>Basis: No directional evidence (placeholder). Signal matches do not establish facts; open the underlying sources before trusting this score.</w:t>
      </w:r>
    </w:p>
    <w:p>
      <w:r>
        <w:rPr>
          <w:sz w:val="16"/>
        </w:rPr>
        <w:t>Original idea: https://commission.europa.eu/strategy-and-policy/strategic-foresight/2025-strategic-foresight-report_en</w:t>
      </w:r>
    </w:p>
    <w:p>
      <w:pPr>
        <w:pStyle w:val="Heading2"/>
      </w:pPr>
      <w:r>
        <w:t>2030 · European employment growth</w:t>
      </w:r>
    </w:p>
    <w:p>
      <w:r>
        <w:t>Idea: European employment growth was expected to be moderate and to slow considerably after 2025.</w:t>
      </w:r>
    </w:p>
    <w:p>
      <w:r>
        <w:t>What happened: 50/100 — Unclear (insufficient evidence); 0 supporting, 0 contradicting and 0 mixed headline signals since June 2026.</w:t>
      </w:r>
    </w:p>
    <w:p>
      <w:r>
        <w:t>Basis: No directional evidence (placeholder). Signal matches do not establish facts; open the underlying sources before trusting this score.</w:t>
      </w:r>
    </w:p>
    <w:p>
      <w:pPr>
        <w:pStyle w:val="Heading2"/>
      </w:pPr>
      <w:r>
        <w:t>Unspecified · 2025 Strategic Foresight Report</w:t>
      </w:r>
    </w:p>
    <w:p>
      <w:r>
        <w:t>Idea: the EU is projected to have 17 million fewer people of working age by 2040 than in 2023 (33).</w:t>
      </w:r>
    </w:p>
    <w:p>
      <w:r>
        <w:t>What happened: 50/100 — Unclear (insufficient evidence); 0 supporting, 0 contradicting and 0 mixed headline signals since June 2026.</w:t>
      </w:r>
    </w:p>
    <w:p>
      <w:r>
        <w:t>Basis: No directional evidence (placeholder). Signal matches do not establish facts; open the underlying sources before trusting this score.</w:t>
      </w:r>
    </w:p>
    <w:p>
      <w:r>
        <w:rPr>
          <w:sz w:val="16"/>
        </w:rPr>
        <w:t>Original idea: https://commission.europa.eu/document/download/bdba60f0-abb3-42f8-b5be-fd35d693b289_en?filename=SFR2025-Report_web.pdf</w:t>
      </w:r>
    </w:p>
    <w:p>
      <w:pPr>
        <w:pStyle w:val="Heading2"/>
      </w:pPr>
      <w:r>
        <w:t>Unspecified · 2023 Strategic Foresight Report</w:t>
      </w:r>
    </w:p>
    <w:p>
      <w:r>
        <w:t>Idea: It will be key to reinforcing Europe’s long-term competitiveness and social model, and thus its global leadership in the new, net-zero economy, also by supporting other regions in building a sustainable future.</w:t>
      </w:r>
    </w:p>
    <w:p>
      <w:r>
        <w:t>What happened: 50/100 — Unclear (insufficient evidence); 0 supporting, 0 contradicting and 0 mixed headline signals since June 2026.</w:t>
      </w:r>
    </w:p>
    <w:p>
      <w:r>
        <w:t>Basis: No directional evidence (placeholder). Signal matches do not establish facts; open the underlying sources before trusting this score.</w:t>
      </w:r>
    </w:p>
    <w:p>
      <w:r>
        <w:rPr>
          <w:sz w:val="16"/>
        </w:rPr>
        <w:t>Original idea: https://commission.europa.eu/document/download/ca1c61b7-e413-4877-970b-8ef619fc6b6c_en?filename=SFR-23-beautified-version_en_0.pdf</w:t>
      </w:r>
    </w:p>
    <w:p>
      <w:pPr>
        <w:pStyle w:val="Heading2"/>
      </w:pPr>
      <w:r>
        <w:t>Unspecified · What if...? Scanning the horizon: 12 scenarios for 2021</w:t>
      </w:r>
    </w:p>
    <w:p>
      <w:r>
        <w:t>Idea: Furthermore, while the 2018 revised EU Maritime Security Strategy Action Plan 7 called on member states to improve the resilience of maritime trans - port infrastructure by 2020, Zirta had a relatively small navy and an under-re - sourced ministry of defence.</w:t>
      </w:r>
    </w:p>
    <w:p>
      <w:r>
        <w:t>What happened: 50/100 — Unclear (insufficient evidence); 0 supporting, 0 contradicting and 0 mixed headline signals since June 2026.</w:t>
      </w:r>
    </w:p>
    <w:p>
      <w:r>
        <w:t>Basis: No directional evidence (placeholder). Signal matches do not establish facts; open the underlying sources before trusting this score.</w:t>
      </w:r>
    </w:p>
    <w:p>
      <w:r>
        <w:rPr>
          <w:sz w:val="16"/>
        </w:rPr>
        <w:t>Original idea: https://www.iss.europa.eu/sites/default/files/EUISSFiles/CP_150_0.pdf</w:t>
      </w:r>
    </w:p>
    <w:p>
      <w:pPr>
        <w:pStyle w:val="Heading2"/>
      </w:pPr>
      <w:r>
        <w:t>Unspecified · Skills forecast: trends and challenges to 2030</w:t>
      </w:r>
    </w:p>
    <w:p>
      <w:r>
        <w:t>Idea: Prospects for employment and labour force trends in Europe Key messages Employment growth is expected to be moderate over the medium term, slowing down considerably after 2025.</w:t>
      </w:r>
    </w:p>
    <w:p>
      <w:r>
        <w:t>What happened: 50/100 — Unclear (insufficient evidence); 0 supporting, 0 contradicting and 0 mixed headline signals since June 2026.</w:t>
      </w:r>
    </w:p>
    <w:p>
      <w:r>
        <w:t>Basis: No directional evidence (placeholder). Signal matches do not establish facts; open the underlying sources before trusting this score.</w:t>
      </w:r>
    </w:p>
    <w:p>
      <w:r>
        <w:rPr>
          <w:sz w:val="16"/>
        </w:rPr>
        <w:t>Original idea: https://www.cedefop.europa.eu/files/3077_en.pdf</w:t>
      </w:r>
    </w:p>
    <w:p>
      <w:r>
        <w:t>Method: 1 = contradicted, 100 = fully supported, 50 = unknown/mixed. Automatic scores are provisional: start at 50, add 10 per supporting headline and subtract 10 per contradicting headline (range 10–90). Headlines are discovery leads, not verified outcomes; repeated reporting may bias scores. For reviewed primary-source assessments, set reviewed_score (1–100) and reviewed_note in future-ideas.json. A future target year can only be provisionally assessed today.</w:t>
      </w:r>
    </w:p>
    <w:sectPr w:rsidR="00FC693F" w:rsidRPr="0006063C" w:rsidSect="00034616">
      <w:footerReference w:type="default" r:id="rId9"/>
      <w:pgSz w:w="12240" w:h="15840"/>
      <w:pgMar w:top="1080"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VV FUTURES  |  Evidence-led research · 2026-10-28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543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543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54353"/>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 ideas: what happened, what remains open</dc:title>
  <dc:subject>VV FUTURES evidence-led research update | 2026-10-28</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