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was expected vs. what happened</w:t>
      </w:r>
    </w:p>
    <w:p>
      <w:pPr>
        <w:pStyle w:val="Subtitle"/>
      </w:pPr>
      <w:r>
        <w:t>32 research comparisons · one accountable record per case</w:t>
      </w:r>
    </w:p>
    <w:p>
      <w:pPr/>
      <w:r>
        <w:t>Research edition · 28 October 2026 · Findings are LLM-assisted and source verification varies. No overall forecast-accuracy grade is implied.</w:t>
      </w:r>
    </w:p>
    <w:p>
      <w:r>
        <w:t>This replaces the earlier 1–100 score framing with named descriptive statuses and explicit evidence limitations. There are 32 assessed cases: 31 match current historical claim IDs and one is an institutional report outside the claim catalogue. Status does not imply independently verified forecast outcomes.</w:t>
      </w:r>
    </w:p>
    <w:p>
      <w:pPr>
        <w:pStyle w:val="Heading1"/>
      </w:pPr>
      <w:r>
        <w:t>01. The European Unions Strategic Gas Supply Options and the Prevalence of the Southern Corridor (2013)</w:t>
      </w:r>
    </w:p>
    <w:p>
      <w:r>
        <w:rPr>
          <w:b/>
        </w:rPr>
        <w:t xml:space="preserve">Research case: </w:t>
      </w:r>
      <w:r>
        <w:t>R24-01 · claim-c8bd592f750e834c</w:t>
      </w:r>
    </w:p>
    <w:p>
      <w:r>
        <w:rPr>
          <w:b/>
        </w:rPr>
        <w:t xml:space="preserve">Original proposition: </w:t>
      </w:r>
      <w:r>
        <w:t>Paraphrase from the abstract: EU gas consumption was expected to rise significantly, and the authors cite current estimates that the EU would need to import “up to 80% of the gas it will consume in 2030”, amid strong concern about reliance on Russian gas, especially in Eastern Europe. Weighing shale gas, more LNG and supplier diversification, they conclude that the EU’s main priority appeared to be the Southern Gas Corridor, with Turkey retaining its strategic importance as a hub. The 80% figure is a cited projection; the article’s own forward-looking claim is the prevalence of the corridor. Catalogue excerpt: HISTORICAL-CLAIMS record 458 (which reproduces only the import-dependence sentences).</w:t>
      </w:r>
    </w:p>
    <w:p>
      <w:r>
        <w:rPr>
          <w:b/>
        </w:rPr>
        <w:t xml:space="preserve">Type and horizon: </w:t>
      </w:r>
      <w:r>
        <w:t>projection · 2030</w:t>
      </w:r>
    </w:p>
    <w:p>
      <w:r>
        <w:rPr>
          <w:b/>
        </w:rPr>
        <w:t xml:space="preserve">What happened: </w:t>
      </w:r>
      <w:r>
        <w:t>The concern about import dependence proved well founded, but for a different reason than expected. Eurostat’s energy-dependency series shows the EU-27’s import dependence for natural gas rising from 68.3% in 2013 to above 80% already in 2017 (80.2%), peaking at 97.6% in 2022 and standing at 85.0% in 2024. The driver was the collapse of domestic production — from about 135 bcm in 2013 to about 37 bcm in 2024 — not rising demand. Gas consumption never grew as the article assumed: it stayed around 390–420 bcm until 2021 and then fell by about a fifth, to about 335 bcm in 2023 and 2024. The Southern Gas Corridor was built. Analyses published in 2017–2018 already described it as far smaller than earlier EU ambitions: about 10 bcm a year for Europe once the Trans Adriatic Pipeline (TAP) opened, against Commission expectations around 2011 of roughly 10–20% of EU demand. Eurostat records EU imports from Azerbaijan from 2020, at about 12 bcm a year in 2022–2024, or roughly 4% of extra-EU gas imports in 2024. TAP reported in July 2026 that it h</w:t>
      </w:r>
    </w:p>
    <w:p>
      <w:r>
        <w:rPr>
          <w:b/>
        </w:rPr>
        <w:t xml:space="preserve">Interpretation: </w:t>
      </w:r>
      <w:r>
        <w:t>The import-dependence warning materialised early, through falling domestic production rather than rising demand. The Southern Corridor became a working supply route but at modest scale; it did not “prevail” as the Union’s central diversification option. The break with Russian gas came through an unexpected geopolitical shock and was achieved mainly through LNG, Norwegian supply and lower demand.</w:t>
      </w:r>
    </w:p>
    <w:p>
      <w:r>
        <w:rPr>
          <w:b/>
        </w:rPr>
        <w:t xml:space="preserve">Status: </w:t>
      </w:r>
      <w:r>
        <w:t>mixed</w:t>
      </w:r>
    </w:p>
    <w:p>
      <w:r>
        <w:rPr>
          <w:b/>
        </w:rPr>
        <w:t xml:space="preserve">Evidence limitations: </w:t>
      </w:r>
      <w:r>
        <w:t>The original article was read as an abstract only, so the projects it compared (Nabucco, TAP, ITGI, South Stream) and the source of the 80% estimate are unchecked. Corridor milestones such as the 2013 selection of TAP and the July 2022 EU–Azerbaijan memorandum were not verified against primary sources. Partner shares are the reviewer’s calculations from Eurostat data that contain sizeable unallocated volumes, and today’s EU-27 aggregate differs from the EU-28 of 2013.</w:t>
      </w:r>
    </w:p>
    <w:p>
      <w:r>
        <w:rPr>
          <w:b/>
        </w:rPr>
        <w:t xml:space="preserve">Original source: </w:t>
      </w:r>
      <w:r>
        <w:t>https://doi.org/10.54648/eerr2013040</w:t>
      </w:r>
    </w:p>
    <w:p>
      <w:r>
        <w:rPr>
          <w:b/>
        </w:rPr>
        <w:t xml:space="preserve">Later evidence: </w:t>
      </w:r>
      <w:r>
        <w:t>https://ec.europa.eu/eurostat/web/main/data/database · https://doi.org/10.26889/9781784671167 · https://fiia.fi/wp-content/uploads/2017/04/bp216_the_southern_gas_corridor.pdf · https://www.tap-ag.com/news/news-stories/one-flow-two-milestones-60-bcm-delivered-to-europe-50-bcm-to-italy · https://eur-lex.europa.eu/legal-content/EN/TXT/?uri=CELEX:52022DC0230</w:t>
      </w:r>
    </w:p>
    <w:p>
      <w:pPr>
        <w:pStyle w:val="Heading1"/>
      </w:pPr>
      <w:r>
        <w:t>02. Scenarios for renewable energy deployment in North African countries and electricity exchange with Europe – A modelbased analysis for 2050 (2014)</w:t>
      </w:r>
    </w:p>
    <w:p>
      <w:r>
        <w:rPr>
          <w:b/>
        </w:rPr>
        <w:t xml:space="preserve">Research case: </w:t>
      </w:r>
      <w:r>
        <w:t>R24-02 · claim-b2a08bb4b054505c</w:t>
      </w:r>
    </w:p>
    <w:p>
      <w:r>
        <w:rPr>
          <w:b/>
        </w:rPr>
        <w:t xml:space="preserve">Original proposition: </w:t>
      </w:r>
      <w:r>
        <w:t>Paraphrase from the abstract: four scenarios with renewable shares of 83–98% of electricity generation (regional average) in Morocco, Algeria, Tunisia, Libya and Egypt by 2050, evaluating the opportunities and technical challenges of electricity exchange within the region and with Europe; the authors found that “extensive grid reinforcements would be required” (abstract). The 2016 Fraunhofer report by the same team specifies that two scenarios assume exports to Europe, of about 191–347 TWh a year in 2050, with renewable shares of 59–68% already in 2030. Catalogue excerpt: HISTORICAL-CLAIMS record 421.</w:t>
      </w:r>
    </w:p>
    <w:p>
      <w:r>
        <w:rPr>
          <w:b/>
        </w:rPr>
        <w:t xml:space="preserve">Type and horizon: </w:t>
      </w:r>
      <w:r>
        <w:t>scenario · 2050</w:t>
      </w:r>
    </w:p>
    <w:p>
      <w:r>
        <w:rPr>
          <w:b/>
        </w:rPr>
        <w:t xml:space="preserve">What happened: </w:t>
      </w:r>
      <w:r>
        <w:t>The 2050 horizon has not been reached, but current trends lie far below all four pathways. Ember generation data show renewables supplying about 9% of electricity across the five countries in 2024, up from about 6.5% in 2013 (reviewer’s aggregation). Morocco reached about 24% and Egypt about 11%, while Tunisia, Algeria and Libya remained at or below about 4%. The scenarios’ intermediate shares for 2030 were around 59–68%. Electricity trade across the Mediterranean stayed small and ran largely in the opposite direction. Eurostat’s trade statistics record EU–North Africa electricity flows only between Spain and Morocco. Morocco was a small net exporter to Spain in 2019 and 2021, but since 2022 Spain has been a growing net exporter, with about 2.9 TWh of exports against about 0.4 TWh of imports in 2024 — three orders of magnitude below the export volumes of the export scenarios. The policy framing changed. The REPowerEU plan of 2022 set a target of 10 million tonnes of renewable hydrogen imports by 2030, with a Mediterranean import corri</w:t>
      </w:r>
    </w:p>
    <w:p>
      <w:r>
        <w:rPr>
          <w:b/>
        </w:rPr>
        <w:t xml:space="preserve">Interpretation: </w:t>
      </w:r>
      <w:r>
        <w:t>So far the imagined pathway of large-scale renewable electricity exports from North Africa to Europe has not materialised; the region’s own renewable build-out has been slow outside Morocco, and the export idea has been largely reframed towards hydrogen and selected bilateral interconnectors. Because the scenarios are conditional and their horizon is 2050, they remain formally open, but the intermediate milestones are far out of reach.</w:t>
      </w:r>
    </w:p>
    <w:p>
      <w:r>
        <w:rPr>
          <w:b/>
        </w:rPr>
        <w:t xml:space="preserve">Status: </w:t>
      </w:r>
      <w:r>
        <w:t>premature</w:t>
      </w:r>
    </w:p>
    <w:p>
      <w:r>
        <w:rPr>
          <w:b/>
        </w:rPr>
        <w:t xml:space="preserve">Evidence limitations: </w:t>
      </w:r>
      <w:r>
        <w:t>The 2014 paper itself could not be opened; scenario details come from its abstract and the same team’s 2016 report. The retreat of the Desertec industrial initiative, the status of proposed interconnectors (for example Morocco–United Kingdom, Tunisia–Italy and Egypt–Greece) and national hydrogen strategies were not verified. Renewable shares are generation shares partly estimated by Ember and aggregated by the reviewer.</w:t>
      </w:r>
    </w:p>
    <w:p>
      <w:r>
        <w:rPr>
          <w:b/>
        </w:rPr>
        <w:t xml:space="preserve">Original source: </w:t>
      </w:r>
      <w:r>
        <w:t>https://doi.org/10.12720/sgce.3.3.299-306</w:t>
      </w:r>
    </w:p>
    <w:p>
      <w:r>
        <w:rPr>
          <w:b/>
        </w:rPr>
        <w:t xml:space="preserve">Later evidence: </w:t>
      </w:r>
      <w:r>
        <w:t>https://ourworldindata.org/grapher/share-electricity-renewables · https://ec.europa.eu/eurostat/web/main/data/database · https://www.ise.fraunhofer.de/content/dam/ise/en/documents/press-releases/2016/Study_Supergrid_final_160412_.pdf · https://doi.org/10.1016/j.renene.2015.10.008 · https://eur-lex.europa.eu/legal-content/EN/TXT/?uri=CELEX:52022DC0230</w:t>
      </w:r>
    </w:p>
    <w:p>
      <w:pPr>
        <w:pStyle w:val="Heading1"/>
      </w:pPr>
      <w:r>
        <w:t>03. The feasibility of a European‐wide integrated CO 2 transport network (2014)</w:t>
      </w:r>
    </w:p>
    <w:p>
      <w:r>
        <w:rPr>
          <w:b/>
        </w:rPr>
        <w:t xml:space="preserve">Research case: </w:t>
      </w:r>
      <w:r>
        <w:t>R24-03 · claim-29bd38aa3695dbd3</w:t>
      </w:r>
    </w:p>
    <w:p>
      <w:r>
        <w:rPr>
          <w:b/>
        </w:rPr>
        <w:t xml:space="preserve">Original proposition: </w:t>
      </w:r>
      <w:r>
        <w:t>Key phrase (conclusions): extensive CO₂ pipeline networks “will be required by both low and high levels of CCS deployment”. Paraphrase: modelling capture of 50–350 Mt CO₂ a year by 2030 and 280–800 Mt by 2050, the authors found that least-cost networks would need roughly 7,000–15,000 km of pipeline by 2030 and 12,000–20,000 km by 2050, with pipeline capital costs of the order of €10–20 billion; offshore storage would be needed even at low deployment, almost no 2030 routes would become redundant by 2050, and priority CO₂ corridors should become EU projects of common interest. The catalogued excerpt (HISTORICAL-CLAIMS record 427) gives only the contextual opening sentence.</w:t>
      </w:r>
    </w:p>
    <w:p>
      <w:r>
        <w:rPr>
          <w:b/>
        </w:rPr>
        <w:t xml:space="preserve">Type and horizon: </w:t>
      </w:r>
      <w:r>
        <w:t>projection · 2030 and 2050</w:t>
      </w:r>
    </w:p>
    <w:p>
      <w:r>
        <w:rPr>
          <w:b/>
        </w:rPr>
        <w:t xml:space="preserve">What happened: </w:t>
      </w:r>
      <w:r>
        <w:t>Deployment on the assumed timescale did not happen. In its February 2024 Industrial Carbon Management Strategy the Commission acknowledged that operational large-scale projects were limited in Europe; draft national plans then projected only about 34 Mt of CO₂ captured in 2030. The Net-Zero Industry Act of June 2024 set a binding Union objective of at least 50 Mt a year of CO₂ injection capacity by 2030 — equal to the lowest of the paper’s 2030 scenarios, and a target rather than an outcome. The infrastructure that is emerging has a different shape from the integrated pipeline system modelled in 2014. The Commission expects the early phase to be organised around industrial clusters, with CO₂ moved to the coast by various means and then shipped to offshore storage; a Commission study it cites estimates a combined pipeline and shipping network of up to 7,300 km by 2030 and around 19,000 km by 2040. The first cross-border transport-and-storage service in operation is ship-based: Norway’s Northern Lights began injecting CO₂ in August 2025</w:t>
      </w:r>
    </w:p>
    <w:p>
      <w:r>
        <w:rPr>
          <w:b/>
        </w:rPr>
        <w:t xml:space="preserve">Interpretation: </w:t>
      </w:r>
      <w:r>
        <w:t>The study’s core insight — that CCS at scale in Europe requires transboundary transport and offshore storage — has been absorbed into EU policy, but the envisaged integrated pipeline network has been delayed by roughly a decade and reshaped into clusters linked by shipping, with 2030 ambitions at the low end of the 2014 scenarios. The 2050 horizon remains open.</w:t>
      </w:r>
    </w:p>
    <w:p>
      <w:r>
        <w:rPr>
          <w:b/>
        </w:rPr>
        <w:t xml:space="preserve">Status: </w:t>
      </w:r>
      <w:r>
        <w:t>mixed</w:t>
      </w:r>
    </w:p>
    <w:p>
      <w:r>
        <w:rPr>
          <w:b/>
        </w:rPr>
        <w:t xml:space="preserve">Evidence limitations: </w:t>
      </w:r>
      <w:r>
        <w:t>The original was read as an accepted manuscript; its abstract and body give inconsistent figures for the cost increase without onshore storage. Cost figures are not comparable across sources (2010 pipeline capital costs versus 2024 estimates that include shipping). The status of other flagship projects (Porthos, Greensand, UK cluster investments) and total operational CCS capacity in Europe were not verified. The Northern Lights information comes from trade press rather than the operator.</w:t>
      </w:r>
    </w:p>
    <w:p>
      <w:r>
        <w:rPr>
          <w:b/>
        </w:rPr>
        <w:t xml:space="preserve">Original source: </w:t>
      </w:r>
      <w:r>
        <w:t>https://doi.org/10.1002/ghg.1410</w:t>
      </w:r>
    </w:p>
    <w:p>
      <w:r>
        <w:rPr>
          <w:b/>
        </w:rPr>
        <w:t xml:space="preserve">Later evidence: </w:t>
      </w:r>
      <w:r>
        <w:t>https://eur-lex.europa.eu/eli/reg/2024/1735/oj · https://eur-lex.europa.eu/legal-content/EN/TXT/?uri=CELEX:52024DC0062 · https://pgjonline.com/news/2025/august/norways-northern-lights-ccs-project-starts-operations-with-first-co2-injected · https://arxiv.org/abs/2402.19042 · https://arxiv.org/abs/2601.15090</w:t>
      </w:r>
    </w:p>
    <w:p>
      <w:pPr>
        <w:pStyle w:val="Heading1"/>
      </w:pPr>
      <w:r>
        <w:t>04. Analytical support to foresighting EU roles as a Global Security Actor (2013)</w:t>
      </w:r>
    </w:p>
    <w:p>
      <w:r>
        <w:rPr>
          <w:b/>
        </w:rPr>
        <w:t xml:space="preserve">Research case: </w:t>
      </w:r>
      <w:r>
        <w:t>R24-04 · claim-69950b53a5830d9a</w:t>
      </w:r>
    </w:p>
    <w:p>
      <w:r>
        <w:rPr>
          <w:b/>
        </w:rPr>
        <w:t xml:space="preserve">Original proposition: </w:t>
      </w:r>
      <w:r>
        <w:t>Key phrase (conclusion): scenario-based foresight “cannot be rigorously performed without adequate analytical support”. Paraphrase: the paper describes how expert groups and formal tools built three context scenarios for 2035 — Constructive, Fragmented and Confusing World — and explored possible new EU roles as a global security actor beyond the Petersberg tasks of the Lisbon Treaty, clustered in cybersecurity, protection of sea lines of communication, energy security, space and solidarity/defence, with control of CBRN proliferation, extended air defence against advanced drones and Responsibility-to-Protect tasks added by the project team. These were plausible options for security-research planning, not predictions. Catalogue excerpt: HISTORICAL-CLAIMS record 437 (a methods passage).</w:t>
      </w:r>
    </w:p>
    <w:p>
      <w:r>
        <w:rPr>
          <w:b/>
        </w:rPr>
        <w:t xml:space="preserve">Type and horizon: </w:t>
      </w:r>
      <w:r>
        <w:t>scenario · 2035</w:t>
      </w:r>
    </w:p>
    <w:p>
      <w:r>
        <w:rPr>
          <w:b/>
        </w:rPr>
        <w:t xml:space="preserve">What happened: </w:t>
      </w:r>
      <w:r>
        <w:t>Several of the role areas identified in 2012 became established EU security fields within a decade, largely in the form of policies, coordination and financing rather than autonomous EU operations. The Strategic Compass approved in March 2022 and its first progress report record an EU cyber-defence policy and a hybrid toolbox, coordinated naval presences in the Gulf of Guinea and the north-western Indian Ocean with an updated maritime security strategy, a first EU space strategy for security and defence, and exercises of the treaty’s mutual-assistance clause built around cyber, hybrid and space scenarios. From 2022, Russia’s full-scale invasion of Ukraine shifted attention to conventional defence and to support for a state at war. Through the European Peace Facility the EU mobilised €11.1 billion for Ukraine by 2024, although one member state has blocked further use of the instrument for Ukraine since 2023. The Commission presented a first defence-industrial strategy in 2024, a Commissioner for Defence and Space took office in Decembe</w:t>
      </w:r>
    </w:p>
    <w:p>
      <w:r>
        <w:rPr>
          <w:b/>
        </w:rPr>
        <w:t xml:space="preserve">Interpretation: </w:t>
      </w:r>
      <w:r>
        <w:t>The EU’s security role developed partly along the role areas the exercise identified — cyber, maritime, space and solidarity/defence — but mainly through regulatory, financial and industrial instruments, and since 2022 under conditions closer to the project’s fragmented or conflict-dominated configurations than to its “Constructive World” (the reviewer’s mapping, not the authors’). Whether the EU will perform wider roles itself by 2035 remains open.</w:t>
      </w:r>
    </w:p>
    <w:p>
      <w:r>
        <w:rPr>
          <w:b/>
        </w:rPr>
        <w:t xml:space="preserve">Status: </w:t>
      </w:r>
      <w:r>
        <w:t>premature</w:t>
      </w:r>
    </w:p>
    <w:p>
      <w:r>
        <w:rPr>
          <w:b/>
        </w:rPr>
        <w:t xml:space="preserve">Evidence limitations: </w:t>
      </w:r>
      <w:r>
        <w:t>The original was read through text extraction of a mirror copy, and the full FOCUS scenario deliverables were not read. Much of the later evidence is official self-reporting or national spending aggregates. No evaluation was found of whether FOCUS shaped EU security-research planning, and the operational status of the EU Rapid Deployment Capacity in 2025 was not verified.</w:t>
      </w:r>
    </w:p>
    <w:p>
      <w:r>
        <w:rPr>
          <w:b/>
        </w:rPr>
        <w:t xml:space="preserve">Original source: </w:t>
      </w:r>
      <w:r>
        <w:t>https://doi.org/10.11610/isij.2902</w:t>
      </w:r>
    </w:p>
    <w:p>
      <w:r>
        <w:rPr>
          <w:b/>
        </w:rPr>
        <w:t xml:space="preserve">Later evidence: </w:t>
      </w:r>
      <w:r>
        <w:t>https://data.consilium.europa.eu/doc/document/ST-6891-2023-INIT/en/pdf · https://www.consilium.europa.eu/en/policies/european-peace-facility/ · https://www.europarl.europa.eu/RegData/etudes/IDAN/2025/764354/ECTI_IDA(2025 · https://eda.europa.eu/docs/default-source/eda-publications/2026-eda_defencedata_webpublic.pdf · https://www.nato.int</w:t>
      </w:r>
    </w:p>
    <w:p>
      <w:pPr>
        <w:pStyle w:val="Heading1"/>
      </w:pPr>
      <w:r>
        <w:t>05. Towards Europe 2035 - In Search of the Archimedean Screw: FOCUS in Perspective (2013)</w:t>
      </w:r>
    </w:p>
    <w:p>
      <w:r>
        <w:rPr>
          <w:b/>
        </w:rPr>
        <w:t xml:space="preserve">Research case: </w:t>
      </w:r>
      <w:r>
        <w:t>R24-05 · claim-5e5974ad685d9d38</w:t>
      </w:r>
    </w:p>
    <w:p>
      <w:r>
        <w:rPr>
          <w:b/>
        </w:rPr>
        <w:t xml:space="preserve">Original proposition: </w:t>
      </w:r>
      <w:r>
        <w:t>Key phrase (p. 166): reliance on the United States “can no longer be taken for granted”. Paraphrase: setting the FOCUS 2035 scenarios against the US National Intelligence Council’s Global Trends 2030, Nerlich described a Europe seen by other powers as in relative decline, with signs of renationalisation; he warned that the EU would appear marginal if some $300 billion of annual collective defence spending kept failing to buy strategic freedom of action, and argued that the EU had to stabilise itself as a strategic unit combining its dual civil–military nature with strategic assertiveness. He proposed repeating FOCUS-type analysis about every five years. Catalogue excerpt: HISTORICAL-CLAIMS record 460 (framework-oriented).</w:t>
      </w:r>
    </w:p>
    <w:p>
      <w:r>
        <w:rPr>
          <w:b/>
        </w:rPr>
        <w:t xml:space="preserve">Type and horizon: </w:t>
      </w:r>
      <w:r>
        <w:t>scenario · 2035</w:t>
      </w:r>
    </w:p>
    <w:p>
      <w:r>
        <w:rPr>
          <w:b/>
        </w:rPr>
        <w:t xml:space="preserve">What happened: </w:t>
      </w:r>
      <w:r>
        <w:t>The conditions Nerlich highlighted became central after 2022, triggered mainly by Russia’s full-scale invasion of Ukraine and by shifts in US policy rather than by deliberate planning. At NATO’s 2025 summit, allies committed to spend 5% of GDP on defence and related security by 2035 under strong US pressure. Defence spending by the 27 EU states rose to €418 billion in 2025 (2.2% of GDP), a figure not directly comparable with his 2013 estimate because of differences in currency, prices and membership. The EU did not fragment as a security actor; instead it created new instruments — military-support financing for Ukraine, a defence-industrial strategy and programme, up to €150 billion of joint-procurement loans and a defence commissioner — while unanimity still constrained it, as one member state’s blocking of European Peace Facility support for Ukraine shows. Whether higher spending now buys the strategic freedom to act he called for remains open, since procurement remains largely national. Scholarship describes the EU’s security role</w:t>
      </w:r>
    </w:p>
    <w:p>
      <w:r>
        <w:rPr>
          <w:b/>
        </w:rPr>
        <w:t xml:space="preserve">Interpretation: </w:t>
      </w:r>
      <w:r>
        <w:t>The dependencies and weaknesses Nerlich flagged became the core of the EU’s security agenda, but the change was driven by an external shock and US policy rather than by the long-term strategic planning he advocated. Whether the EU becomes a strategic unit by 2035 remains open.</w:t>
      </w:r>
    </w:p>
    <w:p>
      <w:r>
        <w:rPr>
          <w:b/>
        </w:rPr>
        <w:t xml:space="preserve">Status: </w:t>
      </w:r>
      <w:r>
        <w:t>premature</w:t>
      </w:r>
    </w:p>
    <w:p>
      <w:r>
        <w:rPr>
          <w:b/>
        </w:rPr>
        <w:t xml:space="preserve">Evidence limitations: </w:t>
      </w:r>
      <w:r>
        <w:t>The original was read through extraction of a mirror copy and not every paragraph was read closely. The 2026 sources were assessed from abstracts. Spending figures are not comparable across 2013–2025, and the follow-up to FOCUS was not traced.</w:t>
      </w:r>
    </w:p>
    <w:p>
      <w:r>
        <w:rPr>
          <w:b/>
        </w:rPr>
        <w:t xml:space="preserve">Original source: </w:t>
      </w:r>
      <w:r>
        <w:t>https://doi.org/10.11610/isij.2912</w:t>
      </w:r>
    </w:p>
    <w:p>
      <w:r>
        <w:rPr>
          <w:b/>
        </w:rPr>
        <w:t xml:space="preserve">Later evidence: </w:t>
      </w:r>
      <w:r>
        <w:t>https://eda.europa.eu/docs/default-source/eda-publications/2026-eda_defencedata_webpublic.pdf · https://www.nato.int · https://www.consilium.europa.eu/en/policies/european-peace-facility/ · https://www.europarl.europa.eu/RegData/etudes/IDAN/2025/764354/ECTI_IDA(2025 · https://doi.org/10.1080/13501763.2023.2172061</w:t>
      </w:r>
    </w:p>
    <w:p>
      <w:pPr>
        <w:pStyle w:val="Heading1"/>
      </w:pPr>
      <w:r>
        <w:t>06. The Purpose and Pitfalls of Constructivist Forecasting: Insights from Strategic Culture Research for the European Union’s Evolution as a Military Power1 (2011)</w:t>
      </w:r>
    </w:p>
    <w:p>
      <w:r>
        <w:rPr>
          <w:b/>
        </w:rPr>
        <w:t xml:space="preserve">Research case: </w:t>
      </w:r>
      <w:r>
        <w:t>R24-06 · claim-c3b72e57c2fbf098</w:t>
      </w:r>
    </w:p>
    <w:p>
      <w:r>
        <w:rPr>
          <w:b/>
        </w:rPr>
        <w:t xml:space="preserve">Original proposition: </w:t>
      </w:r>
      <w:r>
        <w:t>Key phrase (abstract): strategic culture research suits outlining “trajectories of the likely” when combined with drivers, discontinuities and key uncertainties. Paraphrase: the article argues that forecasting is scientifically rewarding and normatively desirable for constructivist scholars and uses the EU’s evolution as a military power as its example. The specific trajectories and uncertainties it identified for the EU could not be verified, so the claim is treated here mainly as methodological. Catalogue excerpt: HISTORICAL-CLAIMS record 501.</w:t>
      </w:r>
    </w:p>
    <w:p>
      <w:r>
        <w:rPr>
          <w:b/>
        </w:rPr>
        <w:t xml:space="preserve">Type and horizon: </w:t>
      </w:r>
      <w:r>
        <w:t>other · open</w:t>
      </w:r>
    </w:p>
    <w:p>
      <w:r>
        <w:rPr>
          <w:b/>
        </w:rPr>
        <w:t xml:space="preserve">What happened: </w:t>
      </w:r>
      <w:r>
        <w:t>Research since 2011 points to partial and uneven convergence of European strategic cultures. Studies before 2022 generally saw an EU strategic culture developing alongside, rather than replacing, national ones; a content analysis of German, Polish and Irish discourse for 2000–2020 found convergence in threat perceptions but persistent differences over goals and means. Meyer’s own 2023 handbook chapter describes an EU culture centred on civilian instruments and human security, shaped and limited by member-state cultures. A 2026 monograph argues that convergence was already under way before Russia’s full-scale invasion of Ukraine and that the war strengthened European security and defence thinking. On the material side, member states’ defence spending rose to €418 billion in 2025 and the EU acquired financing and industrial roles in Ukraine support, joint procurement and industrial programmes, while defence remained largely national. The debate itself was reframed from “military power” towards “strategic autonomy” and defence readiness</w:t>
      </w:r>
    </w:p>
    <w:p>
      <w:r>
        <w:rPr>
          <w:b/>
        </w:rPr>
        <w:t xml:space="preserve">Interpretation: </w:t>
      </w:r>
      <w:r>
        <w:t>This record cannot be scored as held or failed. The EU’s military role grew after 2022, mainly through money and industry and under the shock of war; national strategic cultures shifted unevenly; and the methodological programme of combining strategic culture with material drivers has been carried forward by the author. Meyer’s substantive trajectories remain to be checked against the full text.</w:t>
      </w:r>
    </w:p>
    <w:p>
      <w:r>
        <w:rPr>
          <w:b/>
        </w:rPr>
        <w:t xml:space="preserve">Status: </w:t>
      </w:r>
      <w:r>
        <w:t>not directly testable</w:t>
      </w:r>
    </w:p>
    <w:p>
      <w:r>
        <w:rPr>
          <w:b/>
        </w:rPr>
        <w:t xml:space="preserve">Evidence limitations: </w:t>
      </w:r>
      <w:r>
        <w:t>Only the abstract and reference list of the original were read; an accepted manuscript appears to exist in the King’s College London repository but could not be opened. Most later sources were assessed from abstracts. The first-author initials of two 2026 items were not verified.</w:t>
      </w:r>
    </w:p>
    <w:p>
      <w:r>
        <w:rPr>
          <w:b/>
        </w:rPr>
        <w:t xml:space="preserve">Original source: </w:t>
      </w:r>
      <w:r>
        <w:t>https://doi.org/10.1111/j.1468-2478.2011.00648.x</w:t>
      </w:r>
    </w:p>
    <w:p>
      <w:r>
        <w:rPr>
          <w:b/>
        </w:rPr>
        <w:t xml:space="preserve">Later evidence: </w:t>
      </w:r>
      <w:r>
        <w:t>https://doi.org/10.1080/09662839.2022.2159384 · https://doi.org/10.4324/9781032636566 · https://doi.org/10.4324/9781003010302-10 · https://doi.org/10.1016/j.polgeo.2026.103616 · https://doi.org/10.1177/00108367261490365</w:t>
      </w:r>
    </w:p>
    <w:p>
      <w:pPr>
        <w:pStyle w:val="Heading1"/>
      </w:pPr>
      <w:r>
        <w:t>07. European atmosphere in 2050, a regional air quality and climate perspective under CMIP5 scenarios (2013)</w:t>
      </w:r>
    </w:p>
    <w:p>
      <w:r>
        <w:rPr>
          <w:b/>
        </w:rPr>
        <w:t xml:space="preserve">Research case: </w:t>
      </w:r>
      <w:r>
        <w:t>R24-07 · claim-d2d9280bed1f4887</w:t>
      </w:r>
    </w:p>
    <w:p>
      <w:r>
        <w:rPr>
          <w:b/>
        </w:rPr>
        <w:t xml:space="preserve">Original proposition: </w:t>
      </w:r>
      <w:r>
        <w:t>Key phrase (final abstract): the main driver of future air quality is “air pollutant emissions, rather than climate change”. Paraphrase: comparing a reference world without climate policy with a 2°C mitigation world, population-weighted ozone exposure (SOMO35) rises about 7% by 2050 in the reference case but falls about 80% under mitigation, and PM2.5 falls by about 62% and 78% respectively; the ozone climate penalty is confirmed but modest, while rising hemispheric background ozone may matter more. Note: the catalogued excerpt (HISTORICAL-CLAIMS record 444) is a methods sentence, and the indexed abstract is that of the discussion paper, which said the climate penalty had been overstated; the final published abstract states that it is confirmed.</w:t>
      </w:r>
    </w:p>
    <w:p>
      <w:r>
        <w:rPr>
          <w:b/>
        </w:rPr>
        <w:t xml:space="preserve">Type and horizon: </w:t>
      </w:r>
      <w:r>
        <w:t>other · 2050</w:t>
      </w:r>
    </w:p>
    <w:p>
      <w:r>
        <w:rPr>
          <w:b/>
        </w:rPr>
        <w:t xml:space="preserve">What happened: </w:t>
      </w:r>
      <w:r>
        <w:t>The 2050 horizon lies ahead, so only intermediate trends can be compared. Precursor emissions moved in the expected direction: European NOx emissions fell by about half between 2000 and 2019, and PM2.5 and NO₂ concentrations declined, although NO₂ fell less than reported emissions. Ozone behaved less simply. At rural EMEP monitoring sites the highest summer values fell only 0.3–0.6% a year while the lowest percentiles rose, and the EMEP model run with reported emissions simulated somewhat stronger declines than were observed, particularly in southern Europe. Reconstructed population exposure for 2003–2019 shows daily maximum ozone rising by about 0.5% a year, and urban records to 2021 show falling peaks alongside rising median values. The paper’s emphasis on background ozone has gained weight. A source-apportionment study for the 2015–2017 warm seasons associated 56.7% of ozone-attributable deaths in 35 European countries with ozone entering the European modelling domain from outside. Newer projects are re-running the emission-versus-</w:t>
      </w:r>
    </w:p>
    <w:p>
      <w:r>
        <w:rPr>
          <w:b/>
        </w:rPr>
        <w:t xml:space="preserve">Interpretation: </w:t>
      </w:r>
      <w:r>
        <w:t>Open: the horizon has not been reached and the two pathways cannot yet be distinguished by observation. Intermediate evidence fits the paper’s core claim that emissions control the trajectory, but ozone exposure has responded more weakly to precursor cuts than models suggest, and the hemispheric background concern has become more central rather than less.</w:t>
      </w:r>
    </w:p>
    <w:p>
      <w:r>
        <w:rPr>
          <w:b/>
        </w:rPr>
        <w:t xml:space="preserve">Status: </w:t>
      </w:r>
      <w:r>
        <w:t>premature</w:t>
      </w:r>
    </w:p>
    <w:p>
      <w:r>
        <w:rPr>
          <w:b/>
        </w:rPr>
        <w:t xml:space="preserve">Evidence limitations: </w:t>
      </w:r>
      <w:r>
        <w:t>No observational study isolating the climate penalty in Europe was verified. Monitoring after 2021, including EEA status reports and the 2022–2025 heat summers, was not checked. Some table values were read through text extraction of the publisher PDF and should be spot-checked.</w:t>
      </w:r>
    </w:p>
    <w:p>
      <w:r>
        <w:rPr>
          <w:b/>
        </w:rPr>
        <w:t xml:space="preserve">Original source: </w:t>
      </w:r>
      <w:r>
        <w:t>https://doi.org/10.5194/acp-13-7451-2013</w:t>
      </w:r>
    </w:p>
    <w:p>
      <w:r>
        <w:rPr>
          <w:b/>
        </w:rPr>
        <w:t xml:space="preserve">Later evidence: </w:t>
      </w:r>
      <w:r>
        <w:t>https://doi.org/10.4209/aaqr.230237 · https://doi.org/10.1038/s41467-024-46103-3 · https://doi.org/10.5194/acp-25-16009-2025 · https://doi.org/10.1038/s41591-024-02976-x · https://doi.org/10.1038/s41467-025-60449-2</w:t>
      </w:r>
    </w:p>
    <w:p>
      <w:pPr>
        <w:pStyle w:val="Heading1"/>
      </w:pPr>
      <w:r>
        <w:t>08. Future air quality in Europe: a multi-model assessment of projected exposure to ozone (2012)</w:t>
      </w:r>
    </w:p>
    <w:p>
      <w:r>
        <w:rPr>
          <w:b/>
        </w:rPr>
        <w:t xml:space="preserve">Research case: </w:t>
      </w:r>
      <w:r>
        <w:t>R24-08 · claim-872e8bc8934fa439</w:t>
      </w:r>
    </w:p>
    <w:p>
      <w:r>
        <w:rPr>
          <w:b/>
        </w:rPr>
        <w:t xml:space="preserve">Original proposition: </w:t>
      </w:r>
      <w:r>
        <w:t>Key phrase (abstract): air pollution mitigation measures “are the main factors leading to the improvement”. Paraphrase: under two Global Energy Assessment scenarios, NOx emissions fall to 30–50% of current levels by 2030; ozone exposure (SOMO35) falls to 45–70% of current levels and the share of stations with more than 25 days above 120 µg/m³ drops from 43% to 2–8%, while annual mean ozone rises slightly in NOx-saturated areas; climate policy adds a co-benefit of at least 40% depending on the indicator. Catalogue excerpt: HISTORICAL-CLAIMS record 468.</w:t>
      </w:r>
    </w:p>
    <w:p>
      <w:r>
        <w:rPr>
          <w:b/>
        </w:rPr>
        <w:t xml:space="preserve">Type and horizon: </w:t>
      </w:r>
      <w:r>
        <w:t>scenario · 2030</w:t>
      </w:r>
    </w:p>
    <w:p>
      <w:r>
        <w:rPr>
          <w:b/>
        </w:rPr>
        <w:t xml:space="preserve">What happened: </w:t>
      </w:r>
      <w:r>
        <w:t>The 2030 horizon has not been reached; the evidence verified here runs to 2019–2021. Precursor emissions moved in the assumed direction, with European NOx emissions about 48% lower in 2019 than in 2000. Ozone improved more slowly than the projections implied: at EMEP sites the highest values fell 0.3–0.6% a year and the exposure indicators SOMO35 and AOT40 by 1–2% a year, often without statistical significance, and a model run with reported emissions simulated stronger declines than were observed, especially in southern Europe. The divergence the paper anticipated between falling peaks and rising mean ozone near NOx sources did appear in urban monitoring. The study held background ozone constant and acknowledged that this hid part of the benefits. Later source-apportionment work associates more than half of the ozone-attributable deaths of the 2015–2017 warm seasons with ozone entering the European modelling domain from outside, mainly hemispheric background. Under that study’s assumptions, European measures act on a minority of the o</w:t>
      </w:r>
    </w:p>
    <w:p>
      <w:r>
        <w:rPr>
          <w:b/>
        </w:rPr>
        <w:t xml:space="preserve">Interpretation: </w:t>
      </w:r>
      <w:r>
        <w:t>Open, with intermediate signals pointing two ways. Precursor cuts proceeded broadly as projected and the predicted pattern of declining peaks with rising means has materialised, but exposure indicators have improved more slowly than modelled and the question has been reframed towards hemispheric background ozone, which the study held fixed. No later study evaluated the climate-policy co-benefit itself.</w:t>
      </w:r>
    </w:p>
    <w:p>
      <w:r>
        <w:rPr>
          <w:b/>
        </w:rPr>
        <w:t xml:space="preserve">Status: </w:t>
      </w:r>
      <w:r>
        <w:t>premature</w:t>
      </w:r>
    </w:p>
    <w:p>
      <w:r>
        <w:rPr>
          <w:b/>
        </w:rPr>
        <w:t xml:space="preserve">Evidence limitations: </w:t>
      </w:r>
      <w:r>
        <w:t>Monitoring data for 2020–2025, including EEA status reports and the 2022–2023 heat summers, were not verified. The model comparison in Aas et al. concerns a hindcast, not this ensemble. The SOMO35 figures in the original differ slightly between tables and abstract.</w:t>
      </w:r>
    </w:p>
    <w:p>
      <w:r>
        <w:rPr>
          <w:b/>
        </w:rPr>
        <w:t xml:space="preserve">Original source: </w:t>
      </w:r>
      <w:r>
        <w:t>https://doi.org/10.5194/acp-12-10613-2012</w:t>
      </w:r>
    </w:p>
    <w:p>
      <w:r>
        <w:rPr>
          <w:b/>
        </w:rPr>
        <w:t xml:space="preserve">Later evidence: </w:t>
      </w:r>
      <w:r>
        <w:t>https://doi.org/10.4209/aaqr.230237 · https://doi.org/10.5194/acp-25-16009-2025 · https://doi.org/10.1038/s41591-024-02976-x · https://doi.org/10.1038/s41467-024-46103-3</w:t>
      </w:r>
    </w:p>
    <w:p>
      <w:pPr>
        <w:pStyle w:val="Heading1"/>
      </w:pPr>
      <w:r>
        <w:t>09. Impact of climate change on ozone-related mortality and morbidity in Europe (2012)</w:t>
      </w:r>
    </w:p>
    <w:p>
      <w:r>
        <w:rPr>
          <w:b/>
        </w:rPr>
        <w:t xml:space="preserve">Research case: </w:t>
      </w:r>
      <w:r>
        <w:t>R24-09 · claim-c5a14eb6f1f7dd43</w:t>
      </w:r>
    </w:p>
    <w:p>
      <w:r>
        <w:rPr>
          <w:b/>
        </w:rPr>
        <w:t xml:space="preserve">Original proposition: </w:t>
      </w:r>
      <w:r>
        <w:t>Key phrase (abstract): all else being equal, ground-level ozone is “expected to increase due to climate change”. Paraphrase: compared with 1961–1990, much larger increases in ozone-related mortality and morbidity are projected for 2021–2050 and 2041–2060 in Belgium, France, Spain and Portugal, stronger under the ECHAM4 (A2) climate projection, with decreases of similar size in Nordic and Baltic countries; precursor emissions were held at present-day levels. The authors’ later review gives Europe-wide increases of about 14% (A2) and 9% (A1B) for 2021–2050. Catalogue excerpt: HISTORICAL-CLAIMS record 469.</w:t>
      </w:r>
    </w:p>
    <w:p>
      <w:r>
        <w:rPr>
          <w:b/>
        </w:rPr>
        <w:t xml:space="preserve">Type and horizon: </w:t>
      </w:r>
      <w:r>
        <w:t>projection · 2050–2060</w:t>
      </w:r>
    </w:p>
    <w:p>
      <w:r>
        <w:rPr>
          <w:b/>
        </w:rPr>
        <w:t xml:space="preserve">What happened: </w:t>
      </w:r>
      <w:r>
        <w:t>Because the projection held emissions constant, observed trends cannot test it directly: actual ozone reflects falling precursor emissions, hemispheric background ozone and weather together. Observations show summer peaks declining slowly to 2019, while population-weighted daily maximum ozone rose by about 0.5% a year between 2003 and 2019, faster in southern Europe; the authors of that analysis link the rise to temperature and sunlight as well as reduced NOx titration, without formal attribution. No observational study isolating a climate-driven rise in European ozone mortality was verified in this review. Later projections reframed the question. Studies that added projected emission cuts and population ageing found the climate penalty persisting, most strongly in southern and central Europe — about 8–11% for acute deaths by the 2050s in a 2015 study, and up to 11% in some countries by 2050 in a 2019 study by the same team — but precursor reductions were expected to outweigh it, giving EU-average decreases of roughly a quarter to a t</w:t>
      </w:r>
    </w:p>
    <w:p>
      <w:r>
        <w:rPr>
          <w:b/>
        </w:rPr>
        <w:t xml:space="preserve">Interpretation: </w:t>
      </w:r>
      <w:r>
        <w:t>Open: the horizon has not been reached and the climate-only design cannot be observed directly. Later work by the same team kept the direction and geography of the climate penalty but moved the question from climate alone to the combined effects of climate, emissions and demography, in which emission cuts dominate the European average by mid-century.</w:t>
      </w:r>
    </w:p>
    <w:p>
      <w:r>
        <w:rPr>
          <w:b/>
        </w:rPr>
        <w:t xml:space="preserve">Status: </w:t>
      </w:r>
      <w:r>
        <w:t>premature</w:t>
      </w:r>
    </w:p>
    <w:p>
      <w:r>
        <w:rPr>
          <w:b/>
        </w:rPr>
        <w:t xml:space="preserve">Evidence limitations: </w:t>
      </w:r>
      <w:r>
        <w:t>The original full text was not accessed, so its assumptions are confirmed only through the authors’ 2017 review. No observational attribution of the climate penalty was verified. EEA burden-of-disease series for ozone were not checked, and estimates differ widely by method.</w:t>
      </w:r>
    </w:p>
    <w:p>
      <w:r>
        <w:rPr>
          <w:b/>
        </w:rPr>
        <w:t xml:space="preserve">Original source: </w:t>
      </w:r>
      <w:r>
        <w:t>https://doi.org/10.1183/09031936.00210411</w:t>
      </w:r>
    </w:p>
    <w:p>
      <w:r>
        <w:rPr>
          <w:b/>
        </w:rPr>
        <w:t xml:space="preserve">Later evidence: </w:t>
      </w:r>
      <w:r>
        <w:t>https://doi.org/10.4209/aaqr.230237 · https://doi.org/10.1038/s41467-024-46103-3 · https://doi.org/10.1088/1748-9326/ab1cd9 · https://doi.org/10.3390/ijerph120302837 · https://doi.org/10.1007/s40572-017-0168-6</w:t>
      </w:r>
    </w:p>
    <w:p>
      <w:pPr>
        <w:pStyle w:val="Heading1"/>
      </w:pPr>
      <w:r>
        <w:t>10. Suitability of European climate for the Asian tiger mosquito Aedes albopictus : recent trends and future scenarios (2012)</w:t>
      </w:r>
    </w:p>
    <w:p>
      <w:r>
        <w:rPr>
          <w:b/>
        </w:rPr>
        <w:t xml:space="preserve">Research case: </w:t>
      </w:r>
      <w:r>
        <w:t>R24-10 · claim-e0f3cbcdc25788f2</w:t>
      </w:r>
    </w:p>
    <w:p>
      <w:r>
        <w:rPr>
          <w:b/>
        </w:rPr>
        <w:t xml:space="preserve">Original proposition: </w:t>
      </w:r>
      <w:r>
        <w:t>Key phrase (abstract): “increased risk simulated over northern Europe and slightly decreased risk over southern Europe”. Paraphrase: using three climate-based suitability models and ten regional climate models under the SRES A1B scenario, the authors projected for 2030–2050 (against 1990–2009) rising climatic suitability over the southern UK, Benelux, western Germany and the Balkans, and a slight, partly significant decline concentrated in southern Spain, southern Portugal and Sardinia, because wetter, milder winters favour overwintering in the north while hotter, drier summers limit the species in the south. “Risk” here means climatic suitability for establishment, conditional on prior introduction, not presence or disease. Catalogue excerpt: HISTORICAL-CLAIMS record 475.</w:t>
      </w:r>
    </w:p>
    <w:p>
      <w:r>
        <w:rPr>
          <w:b/>
        </w:rPr>
        <w:t xml:space="preserve">Type and horizon: </w:t>
      </w:r>
      <w:r>
        <w:t>scenario · 2050</w:t>
      </w:r>
    </w:p>
    <w:p>
      <w:r>
        <w:rPr>
          <w:b/>
        </w:rPr>
        <w:t xml:space="preserve">What happened: </w:t>
      </w:r>
      <w:r>
        <w:t>Observed establishment has widened considerably. ECDC counted established populations in 8 EU/EEA countries and 114 regions in 2013, 13 countries and 337 regions in 2023, and 16 countries and 369 regions in June 2025, when Cyprus and Slovakia were newly recorded as established; the April 2026 map reports 384 regional units in the same 16 countries. Several countries the study singled out as future hot spots or surveillance priorities now have established populations, but establishment north of the Alps remains patchy (for example 12 of 38 German units in 2026). Kraemer and colleagues showed that the European spread follows human movement and accelerated once the species crossed the Alps, so much of the observed expansion reflects introduction pathways as well as climate. Expansion also continued in the south. In 2026 every Italian unit, including Sardinia, and 48 of 52 Greek units were occupied, and Spain (33 of 59) and Portugal (5 of 26) were still adding units. Local transmission of mosquito-borne viruses followed: ECDC recorded 304</w:t>
      </w:r>
    </w:p>
    <w:p>
      <w:r>
        <w:rPr>
          <w:b/>
        </w:rPr>
        <w:t xml:space="preserve">Interpretation: </w:t>
      </w:r>
      <w:r>
        <w:t>The northward and eastward widening of the mosquito’s European range developed broadly in the direction envisaged, though driven at least as much by human-mediated introduction as by climate, and it did not come at the expense of the south. The projected slight decline in southern suitability has not appeared in observations or in later consensus modelling; it was, however, a conditional projection for 2030–2050 focused on the driest parts of Iberia and on Sardinia, and it remains open.</w:t>
      </w:r>
    </w:p>
    <w:p>
      <w:r>
        <w:rPr>
          <w:b/>
        </w:rPr>
        <w:t xml:space="preserve">Status: </w:t>
      </w:r>
      <w:r>
        <w:t>supported</w:t>
      </w:r>
    </w:p>
    <w:p>
      <w:r>
        <w:rPr>
          <w:b/>
        </w:rPr>
        <w:t xml:space="preserve">Evidence limitations: </w:t>
      </w:r>
      <w:r>
        <w:t>ECDC counts record reported establishment in administrative units; they depend on surveillance effort and unit definitions and cannot measure climatic suitability. The April 2026 total exceeds the June 2025 total by 15 units while ECDC reports 14 new units; the difference is unexplained. Suitability, establishment, abundance and transmission are distinct quantities measured differently by the later studies. The UK’s establishment status was not verified.</w:t>
      </w:r>
    </w:p>
    <w:p>
      <w:r>
        <w:rPr>
          <w:b/>
        </w:rPr>
        <w:t xml:space="preserve">Original source: </w:t>
      </w:r>
      <w:r>
        <w:t>https://doi.org/10.1098/rsif.2012.0138</w:t>
      </w:r>
    </w:p>
    <w:p>
      <w:r>
        <w:rPr>
          <w:b/>
        </w:rPr>
        <w:t xml:space="preserve">Later evidence: </w:t>
      </w:r>
      <w:r>
        <w:t>https://www.ecdc.europa.eu/en/publications-data/aedes-albopictus-current-known-distribution-june-2025 · https://www.ecdc.europa.eu/en/publications-data/aedes-albopictus-current-known-distribution-april-2026 · https://www.ecdc.europa.eu/en/news-events/world-mosquito-day-2025-europe-sets-new-records-mosquito-borne-diseases · https://www.ecdc.europa.eu/en/all-topics-z/Dengue/surveillance-and-disease-data/autochthonous-transmission-Dengue-virus-eueea · https://doi.org/10.1038/s41598-021-89096-5</w:t>
      </w:r>
    </w:p>
    <w:p>
      <w:pPr>
        <w:pStyle w:val="Heading1"/>
      </w:pPr>
      <w:r>
        <w:t>11. Potential stocks and increments of woody biomass in the European Union under different management and climate scenarios (2013)</w:t>
      </w:r>
    </w:p>
    <w:p>
      <w:r>
        <w:rPr>
          <w:b/>
        </w:rPr>
        <w:t xml:space="preserve">Research case: </w:t>
      </w:r>
      <w:r>
        <w:t>R24-11 · claim-65c6f526acccd869</w:t>
      </w:r>
    </w:p>
    <w:p>
      <w:r>
        <w:rPr>
          <w:b/>
        </w:rPr>
        <w:t xml:space="preserve">Original proposition: </w:t>
      </w:r>
      <w:r>
        <w:t>Key phrase (abstract): forest management “should maximise increments, not stocks”. Paraphrase: simulating EU-27 forests to 2100 under four climate scenarios, the authors found that maximising standing stock would raise stem-wood carbon from about 30 to about 50 tC per hectare but halve increments by 2100 relative to increment-maximising management, which would lower stocks to about 20 tC per hectare while yielding more harvest; management choices mattered far more than climate. Counting harvested carbon as absorbed, they recommended avoiding incentives that raise standing biomass beyond the increment-optimal level. Natural disturbances were not modelled explicitly. Catalogue excerpt: HISTORICAL-CLAIMS record 452 (a research aim joined to the recommendation).</w:t>
      </w:r>
    </w:p>
    <w:p>
      <w:r>
        <w:rPr>
          <w:b/>
        </w:rPr>
        <w:t xml:space="preserve">Type and horizon: </w:t>
      </w:r>
      <w:r>
        <w:t>scenario · 2100</w:t>
      </w:r>
    </w:p>
    <w:p>
      <w:r>
        <w:rPr>
          <w:b/>
        </w:rPr>
        <w:t xml:space="preserve">What happened: </w:t>
      </w:r>
      <w:r>
        <w:t>Europe’s forests continued along a stock-accumulating path, less through deliberate policy than because harvests long stayed below growth: average growing stock rose from 18.7 billion m³ (1950–2000) to 29.1 billion m³ (2001–2019). The ageing mechanism at the heart of the 2013 argument is visible in the data. An analysis of EU inventory data by Korosuo and colleagues (2023) shows the land-use sink weakening from at least −300 Mt CO₂e a year in 1995–2016 to −230 Mt CO₂e in 2021, driven by falling gross increment, rising natural mortality, rising harvests and less afforestation, and projects net increment falling by about 8% by 2050 if past management continues. What the 2013 model largely left out — natural disturbance — became decisive. Recorded disturbance damage nearly doubled between 1950–2000 and 2001–2019, with bark-beetle damage reaching 70 million m³ in 2019, and a satellite study published in 2026 reports that gross aboveground biomass losses across Europe rose by 46% from 2018 onward, coinciding with high disturbance activity</w:t>
      </w:r>
    </w:p>
    <w:p>
      <w:r>
        <w:rPr>
          <w:b/>
        </w:rPr>
        <w:t xml:space="preserve">Interpretation: </w:t>
      </w:r>
      <w:r>
        <w:t>The paper’s diagnosis — ageing forests with stagnating increment — developed partly along the envisioned pathway, but the question has been reframed. Policy now prioritises the in-forest sink, which runs against the recommendation, while climate-driven disturbance after 2018 erodes both stocks and increments, so the trade-off no longer behaves as the 2013 model described. The 2100 horizon remains open.</w:t>
      </w:r>
    </w:p>
    <w:p>
      <w:r>
        <w:rPr>
          <w:b/>
        </w:rPr>
        <w:t xml:space="preserve">Status: </w:t>
      </w:r>
      <w:r>
        <w:t>premature</w:t>
      </w:r>
    </w:p>
    <w:p>
      <w:r>
        <w:rPr>
          <w:b/>
        </w:rPr>
        <w:t xml:space="preserve">Evidence limitations: </w:t>
      </w:r>
      <w:r>
        <w:t>Only the abstract of the 2026 disturbance study was available, so the reference period of the 46% figure is unverified. The 2023 study of global young-forest biomass cited in the earlier account was checked at metadata level only. The latest EEA inventory figures (2022–2024), State of Europe’s Forests 2025 and the debate on harvest trends (2020–2021) were not read. The model’s stem-carbon metric is not directly comparable with inventory sinks, which are frequently recalculated.</w:t>
      </w:r>
    </w:p>
    <w:p>
      <w:r>
        <w:rPr>
          <w:b/>
        </w:rPr>
        <w:t xml:space="preserve">Original source: </w:t>
      </w:r>
      <w:r>
        <w:t>https://doi.org/10.1186/1750-0680-8-2</w:t>
      </w:r>
    </w:p>
    <w:p>
      <w:r>
        <w:rPr>
          <w:b/>
        </w:rPr>
        <w:t xml:space="preserve">Later evidence: </w:t>
      </w:r>
      <w:r>
        <w:t>https://doi.org/10.1186/s13021-023-00234-0 · https://doi.org/10.1111/gcb.16531 · https://doi.org/10.1038/s41561-026-02032-y · https://doi.org/10.1038/nclimate2318</w:t>
      </w:r>
    </w:p>
    <w:p>
      <w:pPr>
        <w:pStyle w:val="Heading1"/>
      </w:pPr>
      <w:r>
        <w:t>12. Finland-Russia rail transport deregulation: future scenarios of market development (2011)</w:t>
      </w:r>
    </w:p>
    <w:p>
      <w:r>
        <w:rPr>
          <w:b/>
        </w:rPr>
        <w:t xml:space="preserve">Research case: </w:t>
      </w:r>
      <w:r>
        <w:t>R24-12 · claim-bae835546dfc91be</w:t>
      </w:r>
    </w:p>
    <w:p>
      <w:r>
        <w:rPr>
          <w:b/>
        </w:rPr>
        <w:t xml:space="preserve">Original proposition: </w:t>
      </w:r>
      <w:r>
        <w:t>Key phrase (abstract): deregulating third-country transport “would be advisable”. Paraphrase: EU rail freight had been opened to competition, but traffic between Finland and Russia remained reserved; drawing on three kinds of qualitative scenarios for EU–Russia rail competition, the author concluded that opening this traffic to other operators would increase border transport, lower prices and bring competition into Finland’s rail market. Catalogue excerpt: HISTORICAL-CLAIMS record 491, which matches the abstract’s concluding sentences.</w:t>
      </w:r>
    </w:p>
    <w:p>
      <w:r>
        <w:rPr>
          <w:b/>
        </w:rPr>
        <w:t xml:space="preserve">Type and horizon: </w:t>
      </w:r>
      <w:r>
        <w:t>scenario · open</w:t>
      </w:r>
    </w:p>
    <w:p>
      <w:r>
        <w:rPr>
          <w:b/>
        </w:rPr>
        <w:t xml:space="preserve">What happened: </w:t>
      </w:r>
      <w:r>
        <w:t>The recommended regulatory change was made. A new Finland–Russia railway traffic agreement entered into force on 22 December 2016, replacing the 1997 agreement; it allowed railway undertakings established in Finland or elsewhere in the European Economic Area to operate Finland–Russia traffic on the Finnish network, while Russia’s network remained closed to EU operators. VR’s own 2016 annual report described freight traffic between the two countries as opened to competition at the end of that year, and a private joint venture announced plans to enter the market. The expected market effects are not visible in the evidence reviewed. A sample of Fintraffic’s open train data for 21 days between 2016 and 2021 found every timetabled train at the Finnish border points operated by VR, apart from two maintenance-machine runs; in April 2022 a terminal operator told the trade press that without VR, trains would not cross the border. International rail freight was somewhat higher in 2017–2021 (15.1–16.3 million tonnes a year) than in 2015 (12.7 mi</w:t>
      </w:r>
    </w:p>
    <w:p>
      <w:r>
        <w:rPr>
          <w:b/>
        </w:rPr>
        <w:t xml:space="preserve">Interpretation: </w:t>
      </w:r>
      <w:r>
        <w:t>The recommendation was enacted about five years after publication, but the competitive cross-border market it aimed at did not visibly develop, and the war has since transformed the question: the issue is no longer how to open the Finland–Russia rail market but whether traffic across that border continues at all. The earlier account’s verdict that the deregulation “didn’t happen” conflated the policy change with its later outcomes.</w:t>
      </w:r>
    </w:p>
    <w:p>
      <w:r>
        <w:rPr>
          <w:b/>
        </w:rPr>
        <w:t xml:space="preserve">Status: </w:t>
      </w:r>
      <w:r>
        <w:t>mixed</w:t>
      </w:r>
    </w:p>
    <w:p>
      <w:r>
        <w:rPr>
          <w:b/>
        </w:rPr>
        <w:t xml:space="preserve">Evidence limitations: </w:t>
      </w:r>
      <w:r>
        <w:t>Only the abstract of the original was available, so the content of the three scenarios is unknown. Evidence on market entry rests on a sample of open train data and trade press, not on a full operator analysis; prices and sanctions provisions were not examined. The status of individual border crossings after late 2023 could not be verified. Publisher URLs are given at site level where article-level addresses were not recorded.</w:t>
      </w:r>
    </w:p>
    <w:p>
      <w:r>
        <w:rPr>
          <w:b/>
        </w:rPr>
        <w:t xml:space="preserve">Original source: </w:t>
      </w:r>
      <w:r>
        <w:t>https://doi.org/10.1504/IJSTL.2011.039377</w:t>
      </w:r>
    </w:p>
    <w:p>
      <w:r>
        <w:rPr>
          <w:b/>
        </w:rPr>
        <w:t xml:space="preserve">Later evidence: </w:t>
      </w:r>
      <w:r>
        <w:t>https://www.finlex.fi · https://www.vrgroup.fi · https://www.railwaygazette.com · https://rata.digitraffic.fi · https://www.railfreight.com</w:t>
      </w:r>
    </w:p>
    <w:p>
      <w:pPr>
        <w:pStyle w:val="Heading1"/>
      </w:pPr>
      <w:r>
        <w:t>13. Backcasting scenarios for Finland 2050 of low emissions (2012)</w:t>
      </w:r>
    </w:p>
    <w:p>
      <w:r>
        <w:rPr>
          <w:b/>
        </w:rPr>
        <w:t xml:space="preserve">Research case: </w:t>
      </w:r>
      <w:r>
        <w:t>R24-13 · claim-93d981a3ef93589e</w:t>
      </w:r>
    </w:p>
    <w:p>
      <w:r>
        <w:rPr>
          <w:b/>
        </w:rPr>
        <w:t xml:space="preserve">Original proposition: </w:t>
      </w:r>
      <w:r>
        <w:t>The catalogued excerpt (HISTORICAL-CLAIMS record 465) is a methodological caveat from the abstract — future development could be viewed only through qualitative arguments — and the paper’s stated purpose of showing how backcasting can assist policy. The substantive future content is the target state from which the exercise backcast: the Finnish Government’s 2009 foresight report on climate and energy policy, which committed to cutting emissions by at least 80% from 1990 levels by 2050 and presented four illustrative scenarios built on large efficiency gains, lower energy use, low-carbon technology and more renewables (paraphrased from the government report and parliamentary committee statements, not from the 2012 paper itself).</w:t>
      </w:r>
    </w:p>
    <w:p>
      <w:r>
        <w:rPr>
          <w:b/>
        </w:rPr>
        <w:t xml:space="preserve">Type and horizon: </w:t>
      </w:r>
      <w:r>
        <w:t>scenario · 2050</w:t>
      </w:r>
    </w:p>
    <w:p>
      <w:r>
        <w:rPr>
          <w:b/>
        </w:rPr>
        <w:t xml:space="preserve">What happened: </w:t>
      </w:r>
      <w:r>
        <w:t>Emissions outside the land sector have fallen roughly as a −80% trajectory would require. Statistics Finland’s series shows 71.8 million tonnes CO₂-equivalent in 1990, 62.4 million in 2012 and 39.3 million in 2024; instant preliminary data put 2025 at 36.5 million tonnes, 49% below 1990 — close to, or slightly ahead of, a straight-line path to −80% in 2050. The main reductions came from electricity and heat, as coal and peat gave way to nuclear and wind power. Policy ambition rose: the Climate Change Act in force since July 2022 requires carbon neutrality by 2035 and emission cuts of 60% by 2030, 80% by 2040 and at least 90% by 2050. The land sector took an unexpected path. In 2012 the LULUCF sector removed about 32 million tonnes net; in the current revised series it was a net source in 2018 and in every year from 2021 to 2025 (about 9.4–9.8 million tonnes in 2024–2025). The forest-land sink shrank from about 43 million tonnes in 2012 to almost nothing in 2024, and preliminary data show forest land as a small net source in 2025. Offi</w:t>
      </w:r>
    </w:p>
    <w:p>
      <w:r>
        <w:rPr>
          <w:b/>
        </w:rPr>
        <w:t xml:space="preserve">Interpretation: </w:t>
      </w:r>
      <w:r>
        <w:t>Partly along the envisioned pathway, then reframed. Energy-system decarbonisation has progressed about as the 2050 target required, but the policy goal shifted from emission cuts to net neutrality, making the forest sink decisive at the moment it disappeared — a development the 2009–2012 framework under-examined. The 2050 horizon remains open.</w:t>
      </w:r>
    </w:p>
    <w:p>
      <w:r>
        <w:rPr>
          <w:b/>
        </w:rPr>
        <w:t xml:space="preserve">Status: </w:t>
      </w:r>
      <w:r>
        <w:t>premature</w:t>
      </w:r>
    </w:p>
    <w:p>
      <w:r>
        <w:rPr>
          <w:b/>
        </w:rPr>
        <w:t xml:space="preserve">Evidence limitations: </w:t>
      </w:r>
      <w:r>
        <w:t>Neither the 2012 article nor its underlying 2010 scenario report could be read, so the scenario names, energy mixes and treatment of carbon sinks are unverified; the target state was reconstructed from the 2009 government report as described in parliamentary documents. Land-sector figures are revised substantially between inventory releases, and 2025 figures are preliminary. Some institutional sources are cited at site level where the specific page address was not recorded; the strategy URN should be checked before integration.</w:t>
      </w:r>
    </w:p>
    <w:p>
      <w:r>
        <w:rPr>
          <w:b/>
        </w:rPr>
        <w:t xml:space="preserve">Original source: </w:t>
      </w:r>
      <w:r>
        <w:t>https://doi.org/10.1108/14636681211256099</w:t>
      </w:r>
    </w:p>
    <w:p>
      <w:r>
        <w:rPr>
          <w:b/>
        </w:rPr>
        <w:t xml:space="preserve">Later evidence: </w:t>
      </w:r>
      <w:r>
        <w:t>https://stat.fi/en/statistics/khki · https://stat.fi/en/publication/cmg0dqrnn5sz007t73i2bqrnl · https://www.luke.fi/en · https://www.eduskunta.fi · https://www.ilmastopaneeli.fi</w:t>
      </w:r>
    </w:p>
    <w:p>
      <w:pPr>
        <w:pStyle w:val="Heading1"/>
      </w:pPr>
      <w:r>
        <w:t>14. O4-2.1 Foresight tackling obesities: future choices (2011)</w:t>
      </w:r>
    </w:p>
    <w:p>
      <w:r>
        <w:rPr>
          <w:b/>
        </w:rPr>
        <w:t xml:space="preserve">Research case: </w:t>
      </w:r>
      <w:r>
        <w:t>R24-14 · claim-c4bd64f065820699</w:t>
      </w:r>
    </w:p>
    <w:p>
      <w:r>
        <w:rPr>
          <w:b/>
        </w:rPr>
        <w:t xml:space="preserve">Original proposition: </w:t>
      </w:r>
      <w:r>
        <w:t>Key phrase (abstract): “Given these predictions up to 2050, we built a micro simulation”. Paraphrase: Health Survey for England BMI distributions were extrapolated and fed into a microsimulation of the UK population to 2050 under business-as-usual and policy options. The abstract gives no figures; the underlying Foresight reports (2007) projected that, on 1993–2004 trends, 36% of men and 28% of women aged 21–60 would be obese by 2015, 47% and 36% by 2025, and 60% and 50% by 2050, with about a quarter of under-20s obese by 2050; experts consulted expected obesity to keep rising in all four of the project’s societal scenarios without further action. Catalogue excerpt: HISTORICAL-CLAIMS record 498 (a methods passage).</w:t>
      </w:r>
    </w:p>
    <w:p>
      <w:r>
        <w:rPr>
          <w:b/>
        </w:rPr>
        <w:t xml:space="preserve">Type and horizon: </w:t>
      </w:r>
      <w:r>
        <w:t>scenario · 2025 and 2050</w:t>
      </w:r>
    </w:p>
    <w:p>
      <w:r>
        <w:rPr>
          <w:b/>
        </w:rPr>
        <w:t xml:space="preserve">What happened: </w:t>
      </w:r>
      <w:r>
        <w:t>Measured survey data show adult obesity in England still rising, but far more slowly than extrapolated. According to the Health Survey for England, obesity among adults aged 16 and over rose rapidly from 15% in 1993 to 25% in 2008 and more slowly afterwards, reaching 30% in 2024 (men 29%, women 31%). These figures cover a wider age band than the projections, but even the highest-prevalence age groups (35–36% at ages 55–74) are well below the 47% projected for men by 2025, and the expected overtaking of women by men has not happened. NCD-RisC estimates published through WHO in 2026 put age-standardised adult obesity in the UK at about 27% in 2024 and describe a slowdown and plateau of the adult rise across high-income western countries. Later modelling re-fitted to post-2000 data produced much flatter paths. Cobiac and Scarborough (2021) contrast the Foresight figures for 2025 with a re-estimate of about 34% for men and women combined and with their own estimates of 27–32%. Among children, the National Child Measurement Programme shows</w:t>
      </w:r>
    </w:p>
    <w:p>
      <w:r>
        <w:rPr>
          <w:b/>
        </w:rPr>
        <w:t xml:space="preserve">Interpretation: </w:t>
      </w:r>
      <w:r>
        <w:t>The direction held — adult obesity did not reverse and remains high — but the pace did not: the 2015 milestone was missed by a wide margin and the latest measurements are far below the levels projected for 2025. The main reason is that the steep 1993–2004 trend flattened from the late 2000s, not that the policy-scenario logic failed. The 2050 horizon remains open, with GLP-1 drugs as a development the original framing did not seriously consider.</w:t>
      </w:r>
    </w:p>
    <w:p>
      <w:r>
        <w:rPr>
          <w:b/>
        </w:rPr>
        <w:t xml:space="preserve">Status: </w:t>
      </w:r>
      <w:r>
        <w:t>mixed</w:t>
      </w:r>
    </w:p>
    <w:p>
      <w:r>
        <w:rPr>
          <w:b/>
        </w:rPr>
        <w:t xml:space="preserve">Evidence limitations: </w:t>
      </w:r>
      <w:r>
        <w:t>The original is a conference abstract without figures; the projections come from the 2007 Foresight reports. Health Survey for England headline figures cover adults aged 16 and over rather than the 21–60 band of the projections, and the 2025 survey results are not yet published. NCD-RisC values are modelled estimates. Child measures use different definitions. The levy evidence is associational, and GLP-1 uptake and its effects were not verified.</w:t>
      </w:r>
    </w:p>
    <w:p>
      <w:r>
        <w:rPr>
          <w:b/>
        </w:rPr>
        <w:t xml:space="preserve">Original source: </w:t>
      </w:r>
      <w:r>
        <w:t>https://doi.org/10.1136/jech.2011.142976b.14</w:t>
      </w:r>
    </w:p>
    <w:p>
      <w:r>
        <w:rPr>
          <w:b/>
        </w:rPr>
        <w:t xml:space="preserve">Later evidence: </w:t>
      </w:r>
      <w:r>
        <w:t>https://assets.publishing.service.gov.uk/government/uploads/system/uploads/attachment_data/file/287937/07-1184x-tackling-obesities-future-choices-report.pdf · https://digital.nhs.uk/data-and-information/publications/statistical/health-survey-for-england/2024 · https://doi.org/10.1371/journal.pone.0252072 · https://doi.org/10.1038/s41586-026-10383-0 · https://fingertips.phe.org.uk</w:t>
      </w:r>
    </w:p>
    <w:p>
      <w:pPr>
        <w:pStyle w:val="Heading1"/>
      </w:pPr>
      <w:r>
        <w:t>15. Application of the UK Foresight Obesity Model in Ireland: The Health and Economic Consequences of Projected Obesity Trends in Ireland (2013)</w:t>
      </w:r>
    </w:p>
    <w:p>
      <w:r>
        <w:rPr>
          <w:b/>
        </w:rPr>
        <w:t xml:space="preserve">Research case: </w:t>
      </w:r>
      <w:r>
        <w:t>R24-15 · claim-d9056b0d2f24898b</w:t>
      </w:r>
    </w:p>
    <w:p>
      <w:r>
        <w:rPr>
          <w:b/>
        </w:rPr>
        <w:t xml:space="preserve">Original proposition: </w:t>
      </w:r>
      <w:r>
        <w:t>Key phrase (abstract): overweight and obesity “projected to reach levels of 89% and 85%” in men and women by 2030. Paraphrase: if trends continued unabated, 48% of men and 57% of women aged 20 and over would be obese by 2030, and obesity-related direct healthcare costs would rise from about €2.5 billion in 2010 to €5.4 billion a year by 2030; a 5% reduction in population BMI would lower 2030 costs by about €495 million. The abstract describes the €495 million as a saving over twenty years, but the paper’s own results table shows it as the difference in annual costs in 2030 — an internal inconsistency repeated in the catalogue excerpt (HISTORICAL-CLAIMS record 439).</w:t>
      </w:r>
    </w:p>
    <w:p>
      <w:r>
        <w:rPr>
          <w:b/>
        </w:rPr>
        <w:t xml:space="preserve">Type and horizon: </w:t>
      </w:r>
      <w:r>
        <w:t>projection · 2030</w:t>
      </w:r>
    </w:p>
    <w:p>
      <w:r>
        <w:rPr>
          <w:b/>
        </w:rPr>
        <w:t xml:space="preserve">What happened: </w:t>
      </w:r>
      <w:r>
        <w:t>Later evidence shows Irish adult obesity rising slowly rather than steeply. NCD-RisC estimates based on measured data, published through WHO in 2026, put crude adult obesity in Ireland at about 25% in 2010 and about 31% in 2024 (men 32%, women 29%), with overweight including obesity at about 72% of men and 65% of women. Irish national surveys report lower figures: the Irish Health Survey records about 24% obesity among adults in 2024, and the Healthy Ireland indicator for overweight or obesity among people aged 15 and over fell from about 61% in 2015 to about 57% in 2024 (whether these surveys use measured or self-reported weight was not verified). On any of these sources, reaching the projected 2030 levels would require an unprecedented acceleration within six years, and the projected female excess in obesity has not appeared. Two further pieces of evidence bear on the model’s assumptions. Overweight among Irish children aged 7–8, measured in the WHO Childhood Obesity Surveillance Initiative, fell from about 22% in 2008 to 16–17% in</w:t>
      </w:r>
    </w:p>
    <w:p>
      <w:r>
        <w:rPr>
          <w:b/>
        </w:rPr>
        <w:t xml:space="preserve">Interpretation: </w:t>
      </w:r>
      <w:r>
        <w:t>Partly along the envisioned pathway — adult obesity in Ireland is high and still rising — but much more slowly than the extrapolation implied. The 2030 horizon has not arrived, yet the projected prevalence now looks very unlikely, mainly because the steep early trend fitted to few, partly self-reported data points did not continue. The cost projection remains open and unverified.</w:t>
      </w:r>
    </w:p>
    <w:p>
      <w:r>
        <w:rPr>
          <w:b/>
        </w:rPr>
        <w:t xml:space="preserve">Status: </w:t>
      </w:r>
      <w:r>
        <w:t>premature</w:t>
      </w:r>
    </w:p>
    <w:p>
      <w:r>
        <w:rPr>
          <w:b/>
        </w:rPr>
        <w:t xml:space="preserve">Evidence limitations: </w:t>
      </w:r>
      <w:r>
        <w:t>NCD-RisC values are modelled estimates with wide intervals for Ireland, and the measurement modes of the Irish surveys were not verified, so their lower figures may partly reflect self-report. The paper’s supplementary projections for 2020 were not read, so the authors’ own interim checkpoint could not be compared. No post-2013 Irish cost study was examined, and Irish policy and pharmacological developments were not verified.</w:t>
      </w:r>
    </w:p>
    <w:p>
      <w:r>
        <w:rPr>
          <w:b/>
        </w:rPr>
        <w:t xml:space="preserve">Original source: </w:t>
      </w:r>
      <w:r>
        <w:t>https://doi.org/10.1371/journal.pone.0079827</w:t>
      </w:r>
    </w:p>
    <w:p>
      <w:r>
        <w:rPr>
          <w:b/>
        </w:rPr>
        <w:t xml:space="preserve">Later evidence: </w:t>
      </w:r>
      <w:r>
        <w:t>https://doi.org/10.1038/s41586-026-10383-0 · https://data.cso.ie · https://doi.org/10.1159/000492115 · https://doi.org/10.1371/journal.pone.0252072</w:t>
      </w:r>
    </w:p>
    <w:p>
      <w:pPr>
        <w:pStyle w:val="Heading1"/>
      </w:pPr>
      <w:r>
        <w:t>16. Using scenarios to assess the future supply of NHS nursing staff in England (2012)</w:t>
      </w:r>
    </w:p>
    <w:p>
      <w:r>
        <w:rPr>
          <w:b/>
        </w:rPr>
        <w:t xml:space="preserve">Research case: </w:t>
      </w:r>
      <w:r>
        <w:t>R24-16 · claim-1b6b71170e9f7fa5</w:t>
      </w:r>
    </w:p>
    <w:p>
      <w:r>
        <w:rPr>
          <w:b/>
        </w:rPr>
        <w:t xml:space="preserve">Original proposition: </w:t>
      </w:r>
      <w:r>
        <w:t>Key phrase (conclusions): a “strong risk that current policy decisions could lead to a significant reduction” in NHS staffing in England to 2022. Paraphrase: starting from a headcount of 352,104 qualified nurses, midwives and health visitors (September 2010), eight scenarios for the ten years to 2021/22 varied training intakes, leaving and retirement rates, with international inflows held at the low level of 2009/10; most scenarios showed falling supply, about 12% in the “no change” case and 28% in the worst case. The authors explicitly declined to make predictions and argued that policy should not rest on a single projection. Catalogue excerpt: HISTORICAL-CLAIMS record 481 (a methodological passage).</w:t>
      </w:r>
    </w:p>
    <w:p>
      <w:r>
        <w:rPr>
          <w:b/>
        </w:rPr>
        <w:t xml:space="preserve">Type and horizon: </w:t>
      </w:r>
      <w:r>
        <w:t>scenario · 2022</w:t>
      </w:r>
    </w:p>
    <w:p>
      <w:r>
        <w:rPr>
          <w:b/>
        </w:rPr>
        <w:t xml:space="preserve">What happened: </w:t>
      </w:r>
      <w:r>
        <w:t>The feared contraction did not occur. Nurse numbers stagnated in the early 2010s, and community and mental health nursing shrank, but full-time-equivalent nurses and health visitors in hospital and community services were about 5% higher in September 2019 than in September 2010. After the December 2019 pledge of 50,000 more nurses, numbers rose much faster: the government reported 352,149 FTE nurses in September 2023, against 300,904 four years earlier on its definition, meeting the target early. Most of this growth came through a channel the scenarios had held constant. Overseas-educated professionals made up about half of all new joiners to the UK register in the year to March 2024, and the Nuffield Trust estimated that they accounted for 69% of the register’s net growth after September 2019. Shortages persisted for most of the period. Officially reported registered-nurse vacancies in England were about 43,600 in July–September 2019 and still about 42,300 in September 2023, before falling to about 31,800 by September 2024, 25,500 by</w:t>
      </w:r>
    </w:p>
    <w:p>
      <w:r>
        <w:rPr>
          <w:b/>
        </w:rPr>
        <w:t xml:space="preserve">Interpretation: </w:t>
      </w:r>
      <w:r>
        <w:t>The study’s central message — that NHS nursing supply was fragile and highly sensitive to training, retention and retirement decisions — was borne out by a decade of shortages, but the workforce grew rather than shrank, because supply was rebuilt through a lever the scenarios did not vary: large-scale international recruitment, later supplemented by expanded training. Development followed a different pathway from those envisioned and created a new dependence on overseas inflows that are now falling.</w:t>
      </w:r>
    </w:p>
    <w:p>
      <w:r>
        <w:rPr>
          <w:b/>
        </w:rPr>
        <w:t xml:space="preserve">Status: </w:t>
      </w:r>
      <w:r>
        <w:t>mixed</w:t>
      </w:r>
    </w:p>
    <w:p>
      <w:r>
        <w:rPr>
          <w:b/>
        </w:rPr>
        <w:t xml:space="preserve">Evidence limitations: </w:t>
      </w:r>
      <w:r>
        <w:t>The 2012 projections count headcount, including midwives and health visitors, whereas most later official series report FTE with different staff-group definitions, so comparison with the scenario end points is approximate. Vacancy statistics are experimental, depend on recorded establishments and changed source around 2019–2020. NMC data cover the whole UK and all employers. Trends in training commissions for 2011–2016 and the reasons for the fall in vacancies after 2023 were not verified. Some publisher URLs are given at site level.</w:t>
      </w:r>
    </w:p>
    <w:p>
      <w:r>
        <w:rPr>
          <w:b/>
        </w:rPr>
        <w:t xml:space="preserve">Original source: </w:t>
      </w:r>
      <w:r>
        <w:t>https://doi.org/10.1186/1478-4491-10-16</w:t>
      </w:r>
    </w:p>
    <w:p>
      <w:r>
        <w:rPr>
          <w:b/>
        </w:rPr>
        <w:t xml:space="preserve">Later evidence: </w:t>
      </w:r>
      <w:r>
        <w:t>https://www.nao.org.uk/wp-content/uploads/2020/03/The-NHS-nursing-workforce-Summary.pdf · https://digital.nhs.uk/data-and-information/publications/statistical/nhs-vacancies-survey · https://www.gov.uk/government/news · https://www.nuffieldtrust.org.uk · https://www.nmc.org.uk/about-us/reports-and-accounts/registration-statistics</w:t>
      </w:r>
    </w:p>
    <w:p>
      <w:pPr>
        <w:pStyle w:val="Heading1"/>
      </w:pPr>
      <w:r>
        <w:t>17. Health impact assessment of waste management facilities in three European countries (2011)</w:t>
      </w:r>
    </w:p>
    <w:p>
      <w:r>
        <w:rPr>
          <w:b/>
        </w:rPr>
        <w:t xml:space="preserve">Research case: </w:t>
      </w:r>
      <w:r>
        <w:t>R24-17 · claim-17422a844c2cce7d</w:t>
      </w:r>
    </w:p>
    <w:p>
      <w:r>
        <w:rPr>
          <w:b/>
        </w:rPr>
        <w:t xml:space="preserve">Original proposition: </w:t>
      </w:r>
      <w:r>
        <w:t>Paraphrase (the catalogue excerpt, HISTORICAL-CLAIMS record 496, reproduces the abstract sentence): assuming the incinerators operating in 2001 continue until 2020, the authors were moderately confident that annual cancer cases attributable to exposure in 2001–2020 would reach 11 (Italy), 0 (Slovakia) and 7 (England) in 2020 and then decline to zero by 2050; most of the attributable cancers expected over 2001–2050 (2,729, 24 and 1,125) stem from exposure to older plants before 2001. The decline to zero follows from the model’s accounting boundary — a fixed 2001 resident cohort, exposure counted only to 2020, and an assumed fall in excess risk after exposure ceases — rather than from a forecast that harm disappears. Key phrase (discussion): most health effects “will be seen over several decades”.</w:t>
      </w:r>
    </w:p>
    <w:p>
      <w:r>
        <w:rPr>
          <w:b/>
        </w:rPr>
        <w:t xml:space="preserve">Type and horizon: </w:t>
      </w:r>
      <w:r>
        <w:t>other · 2020–2050</w:t>
      </w:r>
    </w:p>
    <w:p>
      <w:r>
        <w:rPr>
          <w:b/>
        </w:rPr>
        <w:t xml:space="preserve">What happened: </w:t>
      </w:r>
      <w:r>
        <w:t>The scenario’s central condition was overtaken by policy, most clearly in the United Kingdom. Diverting waste from landfill increased incineration rather than winding it down: UK municipal waste incinerated rose from about 2.5 million tonnes (7% of treated waste) in 2001 to about 14.4 million tonnes (48%) in 2024, almost all with energy recovery, while landfill fell from 80% to 6%. In Italy incineration roughly doubled by the mid-2010s and then levelled off at about a fifth of municipal waste, while landfill fell from about two-thirds to 15%; in Slovakia incineration stayed at about 0.2 million tonnes while landfill fell from over 80% to under 40%. More people therefore live near operating plants than the scenario assumed, but those plants are modern ones. Later studies of modern UK plants found modelled particulate contributions orders of magnitude below background and no excess stillbirths, infant deaths or other adverse birth outcomes, although small excesses of heart and genital anomalies could not be ruled out. Studies around Ita</w:t>
      </w:r>
    </w:p>
    <w:p>
      <w:r>
        <w:rPr>
          <w:b/>
        </w:rPr>
        <w:t xml:space="preserve">Interpretation: </w:t>
      </w:r>
      <w:r>
        <w:t>The study is best read as a conditional baseline rather than a testable forecast. Its 2050 horizon has not been reached, and its key condition — that the contribution of plants operating in 2001 ends around 2020 — was replaced by a large expansion of modern incineration in England. Later evidence reframes rather than refutes it: modern plants appear to add very small exposures, while legacy contamination questions the cessation assumption for persistent pollutants.</w:t>
      </w:r>
    </w:p>
    <w:p>
      <w:r>
        <w:rPr>
          <w:b/>
        </w:rPr>
        <w:t xml:space="preserve">Status: </w:t>
      </w:r>
      <w:r>
        <w:t>not directly testable</w:t>
      </w:r>
    </w:p>
    <w:p>
      <w:r>
        <w:rPr>
          <w:b/>
        </w:rPr>
        <w:t xml:space="preserve">Evidence limitations: </w:t>
      </w:r>
      <w:r>
        <w:t>The later epidemiological evidence was assessed from abstracts. No study was identified that re-estimates the cancer burden near incinerators in the three countries after 2011. Incineration figures are for the UK rather than England, and plant numbers were not verified. Eurostat’s 2001 baselines differ from the paper’s own table.</w:t>
      </w:r>
    </w:p>
    <w:p>
      <w:r>
        <w:rPr>
          <w:b/>
        </w:rPr>
        <w:t xml:space="preserve">Original source: </w:t>
      </w:r>
      <w:r>
        <w:t>https://doi.org/10.1186/1476-069X-10-53</w:t>
      </w:r>
    </w:p>
    <w:p>
      <w:r>
        <w:rPr>
          <w:b/>
        </w:rPr>
        <w:t xml:space="preserve">Later evidence: </w:t>
      </w:r>
      <w:r>
        <w:t>https://data-explorer.oecd.org · https://ec.europa.eu/eurostat/web/main/data/database · https://doi.org/10.1016/j.envint.2018.10.060 · https://doi.org/10.1016/j.envint.2019.05.039 · https://doi.org/10.1021/acs.est.6b06478</w:t>
      </w:r>
    </w:p>
    <w:p>
      <w:pPr>
        <w:pStyle w:val="Heading1"/>
      </w:pPr>
      <w:r>
        <w:t>18. Immigration and integration scenarios in global Europe: Forward-looking up to 2050 (2013)</w:t>
      </w:r>
    </w:p>
    <w:p>
      <w:r>
        <w:rPr>
          <w:b/>
        </w:rPr>
        <w:t xml:space="preserve">Research case: </w:t>
      </w:r>
      <w:r>
        <w:t>R24-18 · claim-33bbbb43737342ec</w:t>
      </w:r>
    </w:p>
    <w:p>
      <w:r>
        <w:rPr>
          <w:b/>
        </w:rPr>
        <w:t xml:space="preserve">Original proposition: </w:t>
      </w:r>
      <w:r>
        <w:t>Paraphrase from the abstract: the article compares EU population prospects to 2050 under several migration hypotheses — business as usual, replacement migration, and recruitment to fill gaps in labour supply — and builds a deliberate shock storyline of no immigration into the EU, setting out the social consequences of the zero immigration that, according to the abstract, some policy circles desired. Its closing recommendation is that assessments of future immigration needs should combine integration scenarios with demographic projections and labour-market needs. Key phrase (abstract): “No immigration into European Union” as a shock hypothesis. The catalogued excerpt (HISTORICAL-CLAIMS record 448) reproduces only the recommendation sentence, which is methodological; the substantive future content lies in the comparison of migration hypotheses and the zero-immigration warning.</w:t>
      </w:r>
    </w:p>
    <w:p>
      <w:r>
        <w:rPr>
          <w:b/>
        </w:rPr>
        <w:t xml:space="preserve">Type and horizon: </w:t>
      </w:r>
      <w:r>
        <w:t>scenario · 2050</w:t>
      </w:r>
    </w:p>
    <w:p>
      <w:r>
        <w:rPr>
          <w:b/>
        </w:rPr>
        <w:t xml:space="preserve">What happened: </w:t>
      </w:r>
      <w:r>
        <w:t>The European Union has moved further from the zero-immigration storyline than from any of the other hypotheses. Eurostat’s demographic balance shows natural change in the EU-27 negative in every year from 2012 onwards, deepening to roughly 1.35 million more deaths than births in 2025, while the population on 1 January rose from about 441.7 million in 2013 to about 452.0 million in 2026. Over 2013–2025 the recorded net migration (a residual that includes statistical adjustment) sums to roughly 19 million against roughly 9 million of natural decrease, so all of the Union’s population growth in the period came from migration. What drove migration, however, was not the orderly labour-recruitment logic of the scenarios but a sequence of shocks. First-time asylum applications exceeded 1.2 million in 2015; net migration collapsed to about 0.14 million in the pandemic year 2020; and the Russian invasion of Ukraine brought more than four million people under temporary protection, with net migration of about 3.2 million in 2022. Labour channels</w:t>
      </w:r>
    </w:p>
    <w:p>
      <w:r>
        <w:rPr>
          <w:b/>
        </w:rPr>
        <w:t xml:space="preserve">Interpretation: </w:t>
      </w:r>
      <w:r>
        <w:t>The methodological recommendation developed broadly along the envisioned pathway: integration and labour-market scenarios became standard companions of EU population projections. The migration pathway itself was transformed by unexpected events — an asylum surge, a pandemic and a war — rather than shaped by planned recruitment, and the zero-immigration storyline survives as a counterfactual reference case in official projections. The 2050 horizon has not been reached.</w:t>
      </w:r>
    </w:p>
    <w:p>
      <w:r>
        <w:rPr>
          <w:b/>
        </w:rPr>
        <w:t xml:space="preserve">Status: </w:t>
      </w:r>
      <w:r>
        <w:t>not directly testable</w:t>
      </w:r>
    </w:p>
    <w:p>
      <w:r>
        <w:rPr>
          <w:b/>
        </w:rPr>
        <w:t xml:space="preserve">Evidence limitations: </w:t>
      </w:r>
      <w:r>
        <w:t>The original article could be assessed only from its abstract, so its specific projection figures, scenario names and listed social consequences of zero immigration remain unchecked. Eurostat net migration is a residual measure with series breaks and provisional recent values. The JRC–IIASA scenarios cover the EU-28 including the United Kingdom and model labour supply only. Recent policy milestones (the 2024 Pact on Migration and Asylum, the 2021–2027 integration action plan, the EU Talent Pool) were not verified in this review and are therefore not used.</w:t>
      </w:r>
    </w:p>
    <w:p>
      <w:r>
        <w:rPr>
          <w:b/>
        </w:rPr>
        <w:t xml:space="preserve">Original source: </w:t>
      </w:r>
      <w:r>
        <w:t>https://doi.org/10.2298/SOC1302169A</w:t>
      </w:r>
    </w:p>
    <w:p>
      <w:r>
        <w:rPr>
          <w:b/>
        </w:rPr>
        <w:t xml:space="preserve">Later evidence: </w:t>
      </w:r>
      <w:r>
        <w:t>https://ec.europa.eu/eurostat/web/main/data/database</w:t>
      </w:r>
    </w:p>
    <w:p>
      <w:pPr>
        <w:pStyle w:val="Heading1"/>
      </w:pPr>
      <w:r>
        <w:t>19. Superconductivity and the environment: a Roadmap (2013)</w:t>
      </w:r>
    </w:p>
    <w:p>
      <w:r>
        <w:rPr>
          <w:b/>
        </w:rPr>
        <w:t xml:space="preserve">Research case: </w:t>
      </w:r>
      <w:r>
        <w:t>R24-19 · claim-712c438b1376af94</w:t>
      </w:r>
    </w:p>
    <w:p>
      <w:r>
        <w:rPr>
          <w:b/>
        </w:rPr>
        <w:t xml:space="preserve">Original proposition: </w:t>
      </w:r>
      <w:r>
        <w:t>The catalogued excerpt (HISTORICAL-CLAIMS record 455) is a quotation from the 2011 Equinox Summit: to stabilise atmospheric CO₂ at 550 ppm, all growth in energy demand would have to be met by non-carbon sources. In the roadmap this is a motivating premise, not a forecast. The roadmap’s own future-oriented content, paraphrased from its abstract, is that superconducting technologies — low-loss DC transmission of renewable power, magnetic energy storage, maglev and ship propulsion, magnetic separation for water recycling, sensitive magnetometry for natural-hazard monitoring and very low-power computing — would have a significant environmental impact once adopted, with adoption expected to be gradual: the abstract cites an earlier estimate that a 50% transfer of relevant equipment to superconducting systems would take about 20 years at normal replacement rates.</w:t>
      </w:r>
    </w:p>
    <w:p>
      <w:r>
        <w:rPr>
          <w:b/>
        </w:rPr>
        <w:t xml:space="preserve">Type and horizon: </w:t>
      </w:r>
      <w:r>
        <w:t>other · long-term</w:t>
      </w:r>
    </w:p>
    <w:p>
      <w:r>
        <w:rPr>
          <w:b/>
        </w:rPr>
        <w:t xml:space="preserve">What happened: </w:t>
      </w:r>
      <w:r>
        <w:t>The earlier VV Futures account judged this claim against global energy-demand statistics and the Mauna Loa CO₂ record. That test addresses the Equinox premise rather than the roadmap. The CO₂ record itself is accurately reported: NOAA’s Mauna Loa monthly mean reached 432.34 ppm in May 2026, 1.83 ppm above May 2025. But rising concentrations say nothing about whether superconducting technologies developed as the roadmap envisaged, and a concentration of about 432 ppm does not establish whether stabilisation at 550 ppm will or will not be achieved. This review could not verify later evidence on the roadmap’s actual subject. Candidate evidence for Europe includes high-temperature superconducting cable demonstrations in German city grids, a superconducting wind-turbine generator tested under an EU research programme, superconducting fault-current limiters, and the rapid growth of demand for high-temperature superconducting tape from fusion-magnet projects. None of these was opened and checked in this review, so none is used here. The road</w:t>
      </w:r>
    </w:p>
    <w:p>
      <w:r>
        <w:rPr>
          <w:b/>
        </w:rPr>
        <w:t xml:space="preserve">Interpretation: </w:t>
      </w:r>
      <w:r>
        <w:t>Reframed and unresolved. The meaningful question for VV Futures is how far superconducting energy, transport and sensing technologies moved from demonstration to deployment, not whether global energy growth was met by non-carbon sources. That question cannot be answered from the evidence verified here, and the roadmap’s link to Europe is limited to a cited EU estimate and the European authors’ sections.</w:t>
      </w:r>
    </w:p>
    <w:p>
      <w:r>
        <w:rPr>
          <w:b/>
        </w:rPr>
        <w:t xml:space="preserve">Status: </w:t>
      </w:r>
      <w:r>
        <w:t>unresolved</w:t>
      </w:r>
    </w:p>
    <w:p>
      <w:r>
        <w:rPr>
          <w:b/>
        </w:rPr>
        <w:t xml:space="preserve">Evidence limitations: </w:t>
      </w:r>
      <w:r>
        <w:t>The roadmap was assessed from its abstract only, so section-level expectations and any dated milestones are unchecked. No later evidence on superconductor deployment was verified. The energy-demand statistics in the earlier account (wind and solar growth in 2024, fossil-fuel use) could not be traced to identifiable documents. The claim’s European scope is marginal.</w:t>
      </w:r>
    </w:p>
    <w:p>
      <w:r>
        <w:rPr>
          <w:b/>
        </w:rPr>
        <w:t xml:space="preserve">Original source: </w:t>
      </w:r>
      <w:r>
        <w:t>https://doi.org/10.1088/0953-2048/26/11/113001</w:t>
      </w:r>
    </w:p>
    <w:p>
      <w:r>
        <w:rPr>
          <w:b/>
        </w:rPr>
        <w:t xml:space="preserve">Later evidence: </w:t>
      </w:r>
      <w:r>
        <w:t>https://gml.noaa.gov/webdata/ccgg/trends/co2/co2_mm_mlo.txt</w:t>
      </w:r>
    </w:p>
    <w:p>
      <w:pPr>
        <w:pStyle w:val="Heading1"/>
      </w:pPr>
      <w:r>
        <w:t>20. How far away is hydrogen? Its role in the medium and long-term decarbonisation of the European energy system (2015)</w:t>
      </w:r>
    </w:p>
    <w:p>
      <w:r>
        <w:rPr>
          <w:b/>
        </w:rPr>
        <w:t xml:space="preserve">Research case: </w:t>
      </w:r>
      <w:r>
        <w:t>P26-01 · claim-af58b0bea2ac0aaa</w:t>
      </w:r>
    </w:p>
    <w:p>
      <w:r>
        <w:rPr>
          <w:b/>
        </w:rPr>
        <w:t xml:space="preserve">Original proposition: </w:t>
      </w:r>
      <w:r>
        <w:t>JRC-EU-TIMES scenario modelling suggested hydrogen could become viable in the EU energy system around 2030 under a long-term carbon constraint; hydrogen might help decarbonise industry and transport.</w:t>
      </w:r>
    </w:p>
    <w:p>
      <w:r>
        <w:rPr>
          <w:b/>
        </w:rPr>
        <w:t xml:space="preserve">Type and horizon: </w:t>
      </w:r>
      <w:r>
        <w:t>scenario · 2030</w:t>
      </w:r>
    </w:p>
    <w:p>
      <w:r>
        <w:rPr>
          <w:b/>
        </w:rPr>
        <w:t xml:space="preserve">What happened: </w:t>
      </w:r>
      <w:r>
        <w:t>The EU was unlikely to meet the 2030 renewable-hydrogen targets established years after the original paper; market rules, project maturity and demand hinder deployment. EU electrolyser capacity was 308 MW in 2024, 51% more than before but well behind the 2024 EU policy ambition of 6 GW. Renewable hydrogen production costs were about four times conventional hydrogen costs. EU operational electrolysis capacity was projected at 514–800 MW by end-2025; high capital costs and raw material dependencies remain.</w:t>
      </w:r>
    </w:p>
    <w:p>
      <w:r>
        <w:rPr>
          <w:b/>
        </w:rPr>
        <w:t xml:space="preserve">Interpretation: </w:t>
      </w:r>
      <w:r>
        <w:t>{"similarities": "The 2015 JRC-EU-TIMES paper treats hydrogen as a plausible decarbonisation technology where sustained carbon policy changes long-run incentives. Operational electrolysers and a developing final-investment-decision pipeline show that an industry is materialising.", "differences": "Deployment remains small compared with announced policy visions, and the IEA reports that low-emissions hydrogen is a tiny share of actual global output. More importantly, identified offtake and infrastructure barriers show why being technically viable in a model need not produce rapid market adoption.", "still_unestablished": "There is still no harmonised observed EU measure of hydrogen produced, delivered and consumed in the modelled transport and industrial uses under an equivalent carbon constraint. The 2030 milestone remains ahead, and financing decisions may not result in commissioned plants or utilised assets.", "present_relevance": "A July 2026 EU-body report provides an operational E</w:t>
      </w:r>
    </w:p>
    <w:p>
      <w:r>
        <w:rPr>
          <w:b/>
        </w:rPr>
        <w:t xml:space="preserve">Status: </w:t>
      </w:r>
      <w:r>
        <w:t>premature</w:t>
      </w:r>
    </w:p>
    <w:p>
      <w:r>
        <w:rPr>
          <w:b/>
        </w:rPr>
        <w:t xml:space="preserve">Evidence limitations: </w:t>
      </w:r>
      <w:r>
        <w:t>There is still no harmonised observed EU measure of hydrogen produced, delivered and consumed in the modelled transport and industrial uses under an equivalent carbon constraint. The 2030 milestone remains ahead, and financing decisions may not result in commissioned plants or utilised assets.</w:t>
      </w:r>
    </w:p>
    <w:p>
      <w:r>
        <w:rPr>
          <w:b/>
        </w:rPr>
        <w:t xml:space="preserve">Original source: </w:t>
      </w:r>
      <w:r>
        <w:t>https://doi.org/10.1016/j.ijhydene.2015.09.004</w:t>
      </w:r>
    </w:p>
    <w:p>
      <w:r>
        <w:rPr>
          <w:b/>
        </w:rPr>
        <w:t xml:space="preserve">Later evidence: </w:t>
      </w:r>
      <w:r>
        <w:t>https://www.eca.europa.eu/en/publications/SR-2024-11 · https://www.acer.europa.eu/monitoring/European-hydrogen-markets-2025 · https://setis.ec.europa.eu/water-electrolysis-and-hydrogen-european-union-2025-status-report-technology-development-trends_en · https://op.europa.eu/en/publication-detail/-/publication/201cde95-79aa-11f1-bf5e-01aa75ed71a1/ · https://www.iea.org/reports/global-hydrogen-review-2026/executive-summary</w:t>
      </w:r>
    </w:p>
    <w:p>
      <w:pPr>
        <w:pStyle w:val="Heading1"/>
      </w:pPr>
      <w:r>
        <w:t>21. Actual and potential development of consumer demand on the organic food market in Europe (2011)</w:t>
      </w:r>
    </w:p>
    <w:p>
      <w:r>
        <w:rPr>
          <w:b/>
        </w:rPr>
        <w:t xml:space="preserve">Research case: </w:t>
      </w:r>
      <w:r>
        <w:t>P26-02 · claim-210dcac7d53f7e96</w:t>
      </w:r>
    </w:p>
    <w:p>
      <w:r>
        <w:rPr>
          <w:b/>
        </w:rPr>
        <w:t xml:space="preserve">Original proposition: </w:t>
      </w:r>
      <w:r>
        <w:t>A plausible scenario was continued, relatively stable expansion of organic-food demand, conditional on prices, distribution, consumer trust and public support.</w:t>
      </w:r>
    </w:p>
    <w:p>
      <w:r>
        <w:rPr>
          <w:b/>
        </w:rPr>
        <w:t xml:space="preserve">Type and horizon: </w:t>
      </w:r>
      <w:r>
        <w:t>scenario · 2015 then post-horizon context</w:t>
      </w:r>
    </w:p>
    <w:p>
      <w:r>
        <w:rPr>
          <w:b/>
        </w:rPr>
        <w:t xml:space="preserve">What happened: </w:t>
      </w:r>
      <w:r>
        <w:t>Organic retail sales in Europe reached about €26.2 billion in 2014, and the three investigated markets were among the more developed markets. Europe-wide organic retail sales declined by about 2.2% in 2022 rather than rising every year. European organic retail sales reached €58.7 billion in 2024, above the 2014 value in nominal euros.</w:t>
      </w:r>
    </w:p>
    <w:p>
      <w:r>
        <w:rPr>
          <w:b/>
        </w:rPr>
        <w:t xml:space="preserve">Interpretation: </w:t>
      </w:r>
      <w:r>
        <w:t>{"similarities": "All three original markets show substantial continuing organic commerce, and the new Denmark and Italy series separate quantities from sales value. The original emphasis on retail access and prices continues to have explanatory relevance as the UK source notes supply dependence despite demand.", "differences": "Demand is neither uniformly stable nor identical across countries: Denmark’s organic share slipped from 2023 to 2024 even as volumes increased, whereas Italian households recorded strong 2025 volume gains. The original forecast did not specify uninterrupted annual increases, and short-term volatility is not a binary scenario refutation.", "still_unestablished": "Comparable inflation-adjusted, category-consistent long panels for the original three markets and modern household survey data on trust, availability and organic/conventional price premia remain incomplete. None of the new country totals identifies the causal effect of public support or retail expansion</w:t>
      </w:r>
    </w:p>
    <w:p>
      <w:r>
        <w:rPr>
          <w:b/>
        </w:rPr>
        <w:t xml:space="preserve">Status: </w:t>
      </w:r>
      <w:r>
        <w:t>mixed</w:t>
      </w:r>
    </w:p>
    <w:p>
      <w:r>
        <w:rPr>
          <w:b/>
        </w:rPr>
        <w:t xml:space="preserve">Evidence limitations: </w:t>
      </w:r>
      <w:r>
        <w:t>Comparable inflation-adjusted, category-consistent long panels for the original three markets and modern household survey data on trust, availability and organic/conventional price premia remain incomplete. None of the new country totals identifies the causal effect of public support or retail expansion on purchases.</w:t>
      </w:r>
    </w:p>
    <w:p>
      <w:r>
        <w:rPr>
          <w:b/>
        </w:rPr>
        <w:t xml:space="preserve">Original source: </w:t>
      </w:r>
      <w:r>
        <w:t>https://doi.org/10.1016/j.njas.2011.01.005</w:t>
      </w:r>
    </w:p>
    <w:p>
      <w:r>
        <w:rPr>
          <w:b/>
        </w:rPr>
        <w:t xml:space="preserve">Later evidence: </w:t>
      </w:r>
      <w:r>
        <w:t>https://www.fibl.org/en/info-centre/news/european-organic-market-continued-to-grow-in-2014 · https://www.sinab.it/sites/default/files/FIBL-organic-world-2024_light_0.pdf · https://www.fibl.org/en/info-centre/news/europes-organic-market-sets-another-record-in-2024-farmland-stable · https://www.dst.dk/da/Statistik/udgivelser/NytHtml?cid=51107 · https://www.ismeamercati.it/flex/cm/pages/ServeBLOB.php/L/IT/IDPagina/13861</w:t>
      </w:r>
    </w:p>
    <w:p>
      <w:pPr>
        <w:pStyle w:val="Heading1"/>
      </w:pPr>
      <w:r>
        <w:t>22. 2022 Strategic Foresight Report: Twinning the green and digital transitions in the new geopolitical context (2022)</w:t>
      </w:r>
    </w:p>
    <w:p>
      <w:r>
        <w:rPr>
          <w:b/>
        </w:rPr>
        <w:t xml:space="preserve">Research case: </w:t>
      </w:r>
      <w:r>
        <w:t>P26-03 · report-3eff29ec207eb208</w:t>
      </w:r>
    </w:p>
    <w:p>
      <w:r>
        <w:rPr>
          <w:b/>
        </w:rPr>
        <w:t xml:space="preserve">Original proposition: </w:t>
      </w:r>
      <w:r>
        <w:t>Strategic management and diversification of supplies of critical raw materials would be essential to the EU green and digital transitions; otherwise the EU could fall into new dependency traps.</w:t>
      </w:r>
    </w:p>
    <w:p>
      <w:r>
        <w:rPr>
          <w:b/>
        </w:rPr>
        <w:t xml:space="preserve">Type and horizon: </w:t>
      </w:r>
      <w:r>
        <w:t>warning · 2030</w:t>
      </w:r>
    </w:p>
    <w:p>
      <w:r>
        <w:rPr>
          <w:b/>
        </w:rPr>
        <w:t xml:space="preserve">What happened: </w:t>
      </w:r>
      <w:r>
        <w:t>The EU enacted policy for critical raw materials supply diversification and domestic capacity, with non-binding 2030 benchmarks for extraction, processing, recycling and single-country concentration. On 25 March 2025, the Commission selected EU strategic projects concerning critical raw materials supply and diversification; selection does not establish delivered supply capacity. Auditors found diversification of critical raw materials supply had not yet produced tangible results, with obstacles to production and recycling and many projects unlikely to improve supply in time for 2030.</w:t>
      </w:r>
    </w:p>
    <w:p>
      <w:r>
        <w:rPr>
          <w:b/>
        </w:rPr>
        <w:t xml:space="preserve">Interpretation: </w:t>
      </w:r>
      <w:r>
        <w:t>{"similarities": "The 2022 report anticipated a structural tension between the EU’s green/digital aims and geographically concentrated inputs. Later EU rules, strategy designations, import records and independent IEA monitoring show that the dependency issue remains a live strategic priority.", "differences": "A significant new development is the realised production disruption following 2025 Chinese heavy rare-earth export controls, rather than merely a theoretical dependence ratio. The IEA nevertheless observes some modest rare-earth refining diversification, so the picture is not one-way worsening in every mineral.", "still_unestablished": "The EU’s material-by-material supply security, magnet imports, downstream component dependence, recycling yields and new mine/refinery actual outputs are not established by aggregate REE customs tonnage. Whether CRMA programmes durably lower vulnerability by 2030, and what role the 2022 foresight document had in policymaking, remain separate open</w:t>
      </w:r>
    </w:p>
    <w:p>
      <w:r>
        <w:rPr>
          <w:b/>
        </w:rPr>
        <w:t xml:space="preserve">Status: </w:t>
      </w:r>
      <w:r>
        <w:t>not directly testable</w:t>
      </w:r>
    </w:p>
    <w:p>
      <w:r>
        <w:rPr>
          <w:b/>
        </w:rPr>
        <w:t xml:space="preserve">Evidence limitations: </w:t>
      </w:r>
      <w:r>
        <w:t>The EU’s material-by-material supply security, magnet imports, downstream component dependence, recycling yields and new mine/refinery actual outputs are not established by aggregate REE customs tonnage. Whether CRMA programmes durably lower vulnerability by 2030, and what role the 2022 foresight document had in policymaking, remain separate open questions.</w:t>
      </w:r>
    </w:p>
    <w:p>
      <w:r>
        <w:rPr>
          <w:b/>
        </w:rPr>
        <w:t xml:space="preserve">Original source: </w:t>
      </w:r>
      <w:r>
        <w:t>https://commission.europa.eu/strategy-and-policy/strategic-foresight/2022-strategic-foresight-report_en</w:t>
      </w:r>
    </w:p>
    <w:p>
      <w:r>
        <w:rPr>
          <w:b/>
        </w:rPr>
        <w:t xml:space="preserve">Later evidence: </w:t>
      </w:r>
      <w:r>
        <w:t>https://commission.europa.eu/topics/competitiveness/green-deal-industrial-plan/european-critical-raw-materials-act_en · https://single-market-economy.ec.europa.eu/sectors/raw-materials/areas-specific-interest/critical-raw-materials/strategic-projects-under-crma/selected-projects_en · https://op.europa.eu/en/publication-detail/-/publication/0ebbba88-03d4-11f1-825d-01aa75ed71a1/language-en · https://ec.europa.eu/eurostat/en/web/products-eurostat-news/w/ddn-20260629-1 · https://www.iea.org/reports/global-critical-minerals-outlook-2026/executive-summary</w:t>
      </w:r>
    </w:p>
    <w:p>
      <w:pPr>
        <w:pStyle w:val="Heading1"/>
      </w:pPr>
      <w:r>
        <w:t>23. Assessing the impact of the 2011 EU Transport White Paper - a rail freight demand forecast up to 2050 for the EU27 (2015)</w:t>
      </w:r>
    </w:p>
    <w:p>
      <w:r>
        <w:rPr>
          <w:b/>
        </w:rPr>
        <w:t xml:space="preserve">Research case: </w:t>
      </w:r>
      <w:r>
        <w:t>P26-05 · claim-0e11a67eff6ab8fa</w:t>
      </w:r>
    </w:p>
    <w:p>
      <w:r>
        <w:rPr>
          <w:b/>
        </w:rPr>
        <w:t xml:space="preserve">Original proposition: </w:t>
      </w:r>
      <w:r>
        <w:t>The 2015 TRANS-TOOLS analysis compared a Reference, a White Paper Low and a White Paper High scenario. Under full achievement of ambitious EU freight modal-shift objectives, the High scenario yielded rail-freight demand nearly twice the Reference scenario by 2050.</w:t>
      </w:r>
    </w:p>
    <w:p>
      <w:r>
        <w:rPr>
          <w:b/>
        </w:rPr>
        <w:t xml:space="preserve">Type and horizon: </w:t>
      </w:r>
      <w:r>
        <w:t>scenario · 2050</w:t>
      </w:r>
    </w:p>
    <w:p>
      <w:r>
        <w:rPr>
          <w:b/>
        </w:rPr>
        <w:t xml:space="preserve">What happened: </w:t>
      </w:r>
      <w:r>
        <w:t>EEA reported rail freight activity of about 396 billion tonne-kilometres in 2023, below its approximately 432 billion tonne-kilometre 2018 peak; rail represented 11.5% of all freight tonne-kilometres under the EEA indicator definition. Drawing on Eurostat inland-transport data, Destatis reported rail accounted for approximately 17% of EU inland freight tonne-kilometres in 2024, while road accounted for roughly 78%, up from about 74% in 2014. The hoped-for modal shift was not visible in this broad indicator. Eurostat’s main-railway-undertakings series (rail_go_typepas) reports 368.2 billion EU tonne-kilometres in 2025, down 1.8% from 375.1 billion in 2024; this marks a fourth consecutive yearly fall in the series. Reporting thresholds exclude smaller railway undertakings. LIMITATION: EU27 activity from main operators cannot be compared mechanically with the EEA all-freight estimate or a model-generated 2050 EU27 difference between counterfactual scenarios.</w:t>
      </w:r>
    </w:p>
    <w:p>
      <w:r>
        <w:rPr>
          <w:b/>
        </w:rPr>
        <w:t xml:space="preserve">Interpretation: </w:t>
      </w:r>
      <w:r>
        <w:t>{"similarities": "The original model emphasised the scale of institutional and infrastructure change required for major rail growth, not an inevitable doubling. Both recent activity data and an institutional audit confirm that those prerequisites remain pivotal.", "differences": "Eurostat records 2025 road-freight activity rising while main-operator rail-freight work fell for the fourth year. ECA’s finding that targets were not robustly monitored, and that terminals and interoperability hamper competition, illustrates why policy aspirations do not automatically generate modal shift.", "still_unestablished": "The distance-specific &gt;300 km road-freight base, measured diversion to rail or waterways, freight terminal productivity and a harmonised EU27 Reference path remain missing. The 2030 and 2050 policy horizons also remain open; no 2025 all-freight statistic is a direct test of the model’s 2050 High scenario.", "present_relevance": "Two Eurostat 2026 releases bring activity measurement</w:t>
      </w:r>
    </w:p>
    <w:p>
      <w:r>
        <w:rPr>
          <w:b/>
        </w:rPr>
        <w:t xml:space="preserve">Status: </w:t>
      </w:r>
      <w:r>
        <w:t>premature</w:t>
      </w:r>
    </w:p>
    <w:p>
      <w:r>
        <w:rPr>
          <w:b/>
        </w:rPr>
        <w:t xml:space="preserve">Evidence limitations: </w:t>
      </w:r>
      <w:r>
        <w:t>The distance-specific &gt;300 km road-freight base, measured diversion to rail or waterways, freight terminal productivity and a harmonised EU27 Reference path remain missing. The 2030 and 2050 policy horizons also remain open; no 2025 all-freight statistic is a direct test of the model’s 2050 High scenario.</w:t>
      </w:r>
    </w:p>
    <w:p>
      <w:r>
        <w:rPr>
          <w:b/>
        </w:rPr>
        <w:t xml:space="preserve">Original source: </w:t>
      </w:r>
      <w:r>
        <w:t>https://doi.org/10.1007/s12544-015-0171-7</w:t>
      </w:r>
    </w:p>
    <w:p>
      <w:r>
        <w:rPr>
          <w:b/>
        </w:rPr>
        <w:t xml:space="preserve">Later evidence: </w:t>
      </w:r>
      <w:r>
        <w:t>https://www.eea.europa.eu/en/analysis/publications/sustainability-of-europes-mobility-systems-2025/freight-transport-activity · https://www.destatis.de/Europa/EN/Topic/Transport/gueterverkehr-eisenbahn.html · https://ec.europa.eu/eurostat/web/products-eurostat-news/w/ddn-20260914-2 · https://ec.europa.eu/eurostat/web/products-eurostat-news/w/ddn-20260731-2 · https://op.europa.eu/webpub/eca/special-reports/intermodal-freight-transport-08-2023/en/</w:t>
      </w:r>
    </w:p>
    <w:p>
      <w:pPr>
        <w:pStyle w:val="Heading1"/>
      </w:pPr>
      <w:r>
        <w:t>24. Ocean energy development in Europe: Current status and future perspectives (2015)</w:t>
      </w:r>
    </w:p>
    <w:p>
      <w:r>
        <w:rPr>
          <w:b/>
        </w:rPr>
        <w:t xml:space="preserve">Research case: </w:t>
      </w:r>
      <w:r>
        <w:t>P26-06 · claim-3a499e0584de0dcd</w:t>
      </w:r>
    </w:p>
    <w:p>
      <w:r>
        <w:rPr>
          <w:b/>
        </w:rPr>
        <w:t xml:space="preserve">Original proposition: </w:t>
      </w:r>
      <w:r>
        <w:t>The 2015 assessment envisaged wave and tidal energy as a potentially substantial contributor to Europe’s future low-carbon electricity system and described a sectoral aim of 100 GW by 2050, conditional on overcoming technology, financing, grid and regulatory barriers.</w:t>
      </w:r>
    </w:p>
    <w:p>
      <w:r>
        <w:rPr>
          <w:b/>
        </w:rPr>
        <w:t xml:space="preserve">Type and horizon: </w:t>
      </w:r>
      <w:r>
        <w:t>roadmap · 2050</w:t>
      </w:r>
    </w:p>
    <w:p>
      <w:r>
        <w:rPr>
          <w:b/>
        </w:rPr>
        <w:t xml:space="preserve">What happened: </w:t>
      </w:r>
      <w:r>
        <w:t>At the end of 2024, the EU had about 2.82 MW of operational emerging ocean-energy capacity excluding traditional tidal-range projects, including 1.63 MW tidal energy and 1.12 MW wave energy. These technologies remained at demonstration or emerging deployment scale. The JRC reviewed the tidal and wave sector’s technical development, EU-funded projects, market progress and bottlenecks through the end of 2024. It identified risks and obstacles to the long-term technology targets, rather than documenting commercial deployment on the original hoped-for scale. The European industry association reported five wave and tidal ocean-energy developers deploying new devices in 2024 and a publicly supported 165 MW ocean-energy pipeline planned for deployment over the following five years. These European plans are not operational EU electricity-generating capacity and must not be counted as deployment achieved.</w:t>
      </w:r>
    </w:p>
    <w:p>
      <w:r>
        <w:rPr>
          <w:b/>
        </w:rPr>
        <w:t xml:space="preserve">Interpretation: </w:t>
      </w:r>
      <w:r>
        <w:t>{"similarities": "The original 2015 assessment connected ocean-energy potential to technology maturity, market support, financing and grid conditions. EU monitoring and industry reporting continue to identify noncommercial costs and public revenue support as central to progress.", "differences": "The dominant observed fact remains a tiny operational wave/tidal fleet in the EU, now complemented by just 12 GWh of 2024 non-tidal-range generation; the old La Rance barrage contributes most measured EU ocean electricity. Meanwhile a more substantial 196 MW European pre-commercial pipeline is emerging, but financial commitment and device plans do not equal electricity delivered.", "still_unestablished": "Individual device operating hours, capacity factors, decommissioning/replacement cycles, delivered grid output and realised levelised costs are needed to establish actual commercial progress. Comparability across “excluding pilots”, tidal-range inclusion, EU versus Europe and the sector’s 205</w:t>
      </w:r>
    </w:p>
    <w:p>
      <w:r>
        <w:rPr>
          <w:b/>
        </w:rPr>
        <w:t xml:space="preserve">Status: </w:t>
      </w:r>
      <w:r>
        <w:t>premature</w:t>
      </w:r>
    </w:p>
    <w:p>
      <w:r>
        <w:rPr>
          <w:b/>
        </w:rPr>
        <w:t xml:space="preserve">Evidence limitations: </w:t>
      </w:r>
      <w:r>
        <w:t>Individual device operating hours, capacity factors, decommissioning/replacement cycles, delivered grid output and realised levelised costs are needed to establish actual commercial progress. Comparability across “excluding pilots”, tidal-range inclusion, EU versus Europe and the sector’s 2050 100 GW ambition is unresolved without an explicit taxonomy.</w:t>
      </w:r>
    </w:p>
    <w:p>
      <w:r>
        <w:rPr>
          <w:b/>
        </w:rPr>
        <w:t xml:space="preserve">Original source: </w:t>
      </w:r>
      <w:r>
        <w:t>https://doi.org/10.1016/j.ijome.2015.05.001</w:t>
      </w:r>
    </w:p>
    <w:p>
      <w:r>
        <w:rPr>
          <w:b/>
        </w:rPr>
        <w:t xml:space="preserve">Later evidence: </w:t>
      </w:r>
      <w:r>
        <w:t>https://op.europa.eu/webpub/mare/eu-blue-economy-report-2025/blue-economic-sectors/marine-renewable-energy.html · https://setis.ec.europa.eu/ocean-energy-european-union-2025-status-report-technology-development-trends-value-chains-and_en · https://www.oceanenergy-europe.eu/ocean-energy-is-moving-closer-to-commercialisation/ · https://blue-economy-observatory.ec.europa.eu/eu-blue-economy-sectors/marine-renewable-energy_en · https://www.oceanenergy-europe.eu/europes-ocean-energy-pipeline-reaches-200-devices-and-200-mw-as-public-funding-leverages-private-investment/</w:t>
      </w:r>
    </w:p>
    <w:p>
      <w:pPr>
        <w:pStyle w:val="Heading1"/>
      </w:pPr>
      <w:r>
        <w:t>25. Developments in Energy use for Transport in 27 European Union Countries through 2030 (2011)</w:t>
      </w:r>
    </w:p>
    <w:p>
      <w:r>
        <w:rPr>
          <w:b/>
        </w:rPr>
        <w:t xml:space="preserve">Research case: </w:t>
      </w:r>
      <w:r>
        <w:t>P26-07 · claim-70046b6e95c1592f</w:t>
      </w:r>
    </w:p>
    <w:p>
      <w:r>
        <w:rPr>
          <w:b/>
        </w:rPr>
        <w:t xml:space="preserve">Original proposition: </w:t>
      </w:r>
      <w:r>
        <w:t>Model-based, conditional scenario study (not a forecast) for the EU-27 of 2007-2013 (incl. UK, excl. Croatia), base year 2005, horizon 2030, from the EU-cofunded iTREN-2030 project linking POLES, TREMOVE, ASTRA and TRANS-TOOLS. Reference scenario = policies approved by mid-2008, no shocks, 2008 downturn not fully reflected (+17% transport GHG 2005-2030); integrated scenario = policies likely by 2025 (vehicle CO2 limits, EU climate-energy package via a carbon value for -20% GHG and 20% renewables by 2020, downturn included) giving -12% by 2030. The iTREN-2030 final report D6 (Schade &amp; Krail, 27 Apr 2010, Executive Summary; Table 3: 1,268 Mt CO2 in 2005 -&gt; 1,485 Mt in 2030) carries the same +17%, and a JRC-IPTS WCTRS 2010 abstract gives the integrated path as -7% by 2020 and -12% by 2030; the iTREN emission scope should be reconciled with inventory categories before any numeric comparison.</w:t>
      </w:r>
    </w:p>
    <w:p>
      <w:r>
        <w:rPr>
          <w:b/>
        </w:rPr>
        <w:t xml:space="preserve">Type and horizon: </w:t>
      </w:r>
      <w:r>
        <w:t>scenario · 2030</w:t>
      </w:r>
    </w:p>
    <w:p>
      <w:r>
        <w:rPr>
          <w:b/>
        </w:rPr>
        <w:t xml:space="preserve">What happened: </w:t>
      </w:r>
      <w:r>
        <w:t>EU27_2020 transport GHG (CRF 1.A.3, excl. international bunkers): 849.9 Mt CO2e in 2005; 834.8 Mt in 2019 (-1.8% vs 2005); 722.5 Mt in 2020; 795.6 Mt in 2023 (-6.4%); 804.8 Mt in 2024 (-5.3%). International aviation (memo item 1.D.1.a) rose from 96.4 Mt (2005) to 130.0 Mt (2024). Values extracted via the Eurostat dissemination API on 2026-10-26 (dataset last updated 2026-06-02). LIMITATION: Geography differs (study: EU-27 incl. UK; Eurostat EU27_2020 excl. UK, incl. Croatia) and the iTREN emission scope/base (1,268 Mt CO2 in 2005) is not the same as CRF 1.A.3. COVID-19 and the 2022 energy-price shock were outside both scenarios. Resemblance to the integrated path does not show that the modelled policies caused the outcome. Renewable energy share in transport (RES-T): 1.8% (2005), 5.5% (2010), 10.3% (2020), 9.6% (2022), 11.0% (2023), 11.2% (2024). Extracted via the Eurostat API on 2026-10-26. LIMITATION: RES-T is a Renewable Energy Directive accounting indicator (multipliers for advanced biofuels and renewable electricity, specific denominator) and is not like-for-like with a modelled physical biofuel share. Policy targets (RED 10% i</w:t>
      </w:r>
    </w:p>
    <w:p>
      <w:r>
        <w:rPr>
          <w:b/>
        </w:rPr>
        <w:t xml:space="preserve">Interpretation: </w:t>
      </w:r>
      <w:r>
        <w:t>{"similarities": "Observed EU transport emissions did not follow the reference path (+17%); by 2024 domestic transport emissions were about 5% below 2005, the direction of the integrated scenario. Renewable shares in transport reached about 10% around 2020, close to the integrated run's preliminary 2020 biofuel figure.", "differences": "Progress was slower than the integrated path: emissions were only 1.8% below 2005 in 2019, and then COVID-19 (2020) and the 2022 energy shock caused swings that neither scenario represented. International aviation emissions grew about 35% (2005-2024), a part of transport outside the domestic total.", "still_unestablished": "The 2030 horizon has not arrived; current Member State projections (EEA 2025) point to a deeper cut than -12%, but these are projections. A numeric comparison needs the iTREN emission scope and the EU-27 (with UK) geography reconciled with EU27_2020 inventory categories.", "present_relevance": "Stored passage verified verbatim agains</w:t>
      </w:r>
    </w:p>
    <w:p>
      <w:r>
        <w:rPr>
          <w:b/>
        </w:rPr>
        <w:t xml:space="preserve">Status: </w:t>
      </w:r>
      <w:r>
        <w:t>premature</w:t>
      </w:r>
    </w:p>
    <w:p>
      <w:r>
        <w:rPr>
          <w:b/>
        </w:rPr>
        <w:t xml:space="preserve">Evidence limitations: </w:t>
      </w:r>
      <w:r>
        <w:t>The 2030 horizon has not arrived; current Member State projections (EEA 2025) point to a deeper cut than -12%, but these are projections. A numeric comparison needs the iTREN emission scope and the EU-27 (with UK) geography reconciled with EU27_2020 inventory categories.</w:t>
      </w:r>
    </w:p>
    <w:p>
      <w:r>
        <w:rPr>
          <w:b/>
        </w:rPr>
        <w:t xml:space="preserve">Original source: </w:t>
      </w:r>
      <w:r>
        <w:t>https://doi.org/10.3141/2252-05</w:t>
      </w:r>
    </w:p>
    <w:p>
      <w:r>
        <w:rPr>
          <w:b/>
        </w:rPr>
        <w:t xml:space="preserve">Later evidence: </w:t>
      </w:r>
      <w:r>
        <w:t>https://ec.europa.eu/eurostat/databrowser/view/env_air_gge/default/table?lang=en · https://ec.europa.eu/eurostat/databrowser/view/nrg_ind_ren/default/table?lang=en · https://www.eea.europa.eu/en/analysis/indicators/greenhouse-gas-emissions-from-transport</w:t>
      </w:r>
    </w:p>
    <w:p>
      <w:pPr>
        <w:pStyle w:val="Heading1"/>
      </w:pPr>
      <w:r>
        <w:t>26. Trends and Possible Future Developments in Global Forest-Product Markets—Implications for the Swedish Forest Sector (2011)</w:t>
      </w:r>
    </w:p>
    <w:p>
      <w:r>
        <w:rPr>
          <w:b/>
        </w:rPr>
        <w:t xml:space="preserve">Research case: </w:t>
      </w:r>
      <w:r>
        <w:t>P26-08 · claim-867e108783aed073</w:t>
      </w:r>
    </w:p>
    <w:p>
      <w:r>
        <w:rPr>
          <w:b/>
        </w:rPr>
        <w:t xml:space="preserve">Original proposition: </w:t>
      </w:r>
      <w:r>
        <w:t>Qualitative scenario analysis (no quantitative market model) of global wood-product markets and implications for Sweden, horizon about forty years (around 2050). A 2x2 matrix of globalisation vs regionalism and low vs pronounced climate and environmental concern gives scenarios I-IV. Beyond the stored sentence, the paper expects ICT to drastically cut newsprint and printing paper demand, sees pulp and paper prospects as 'more ambiguous' (production shifting south; mechanical pulp squeezed by bioenergy-driven raw material and electricity prices), expects bioenergy to benefit sawmills and forest owners, and finds the highest demand for Swedish wood in a regionalised, high-climate-concern world. These are conditional futures; the 2050 horizon has not arrived.</w:t>
      </w:r>
    </w:p>
    <w:p>
      <w:r>
        <w:rPr>
          <w:b/>
        </w:rPr>
        <w:t xml:space="preserve">Type and horizon: </w:t>
      </w:r>
      <w:r>
        <w:t>scenario · 2050</w:t>
      </w:r>
    </w:p>
    <w:p>
      <w:r>
        <w:rPr>
          <w:b/>
        </w:rPr>
        <w:t xml:space="preserve">What happened: </w:t>
      </w:r>
      <w:r>
        <w:t>World newsprint production fell from 33.1 Mt (2010) to 10.6 Mt (2024, estimate; -68%); graphic papers from 143.3 Mt to 85.1 Mt (-41%). 'Other paper and paperboard' (mainly packaging, household and sanitary grades) rose from 249.1 Mt to 337.9 Mt (+36%); total paper and paperboard rose from 392.4 Mt to 423.0 Mt (+8%). Taken from the FAOSTAT bulk file Forestry_E_All_Data_(Normalized), timestamp 2026-04-01. LIMITATION: The decline was already under way in 2011, so this continues a trend more than it confirms a forecast. Several drivers besides ICT are involved (e-commerce, Asian demand, recycling), and FAOSTAT mixes official and estimated values (flags A/E/X). Sweden: graphic papers 5.51 Mt (2010) -&gt; 1.81 Mt (2024, estimate; -67%); newsprint 2.26 Mt -&gt; 0.22 Mt (-90%); total paper and paperboard 11.41 Mt -&gt; 8.07 Mt (-29%); other paper and paperboard 5.90 Mt -&gt; 6.26 Mt (+6%). Sawnwood 16.8 million m3 (2010) -&gt; 17.9 million m3 (2024), within 17.6-19.0 million m3 since 2015. Wood pellets 1.66 Mt (2015) -&gt; 1.58 Mt (2024). LIMITATION: Volumes do not measure profitability or value added. Swedish graphic-paper values for recent years are FAO es</w:t>
      </w:r>
    </w:p>
    <w:p>
      <w:r>
        <w:rPr>
          <w:b/>
        </w:rPr>
        <w:t xml:space="preserve">Interpretation: </w:t>
      </w:r>
      <w:r>
        <w:t>{"similarities": "The paper's most robust expectation, steep ICT-driven decline in newsprint and printing paper, is clearly observed both globally (-41% graphic papers 2010-2024) and in Sweden (-67%). Industrially prefabricated timber frames dominate Swedish wood multi-dwelling construction and reached a 17% share of started apartments in 2024.", "differences": "Swedish sawnwood volumes have been flat rather than growing, and pellet output has not expanded, so the bioenergy-driven 'demand pressure on Swedish wood' of scenarios II-IV is not evident in production volumes. Packaging-paper growth, which the paper did not emphasise, cushioned the pulp and paper sector.", "still_unestablished": "Which of the four scenario quadrants the world is moving toward cannot be judged from production data: globalisation and climate-policy axes have both shifted in mixed ways, and the 2050 horizon is far off. Value-added and profitability outcomes for Swedish sawmills, and forest-owner wood prices, wer</w:t>
      </w:r>
    </w:p>
    <w:p>
      <w:r>
        <w:rPr>
          <w:b/>
        </w:rPr>
        <w:t xml:space="preserve">Status: </w:t>
      </w:r>
      <w:r>
        <w:t>premature</w:t>
      </w:r>
    </w:p>
    <w:p>
      <w:r>
        <w:rPr>
          <w:b/>
        </w:rPr>
        <w:t xml:space="preserve">Evidence limitations: </w:t>
      </w:r>
      <w:r>
        <w:t>Which of the four scenario quadrants the world is moving toward cannot be judged from production data: globalisation and climate-policy axes have both shifted in mixed ways, and the 2050 horizon is far off. Value-added and profitability outcomes for Swedish sawmills, and forest-owner wood prices, were not examined.</w:t>
      </w:r>
    </w:p>
    <w:p>
      <w:r>
        <w:rPr>
          <w:b/>
        </w:rPr>
        <w:t xml:space="preserve">Original source: </w:t>
      </w:r>
      <w:r>
        <w:t>https://doi.org/10.3390/f2010147</w:t>
      </w:r>
    </w:p>
    <w:p>
      <w:r>
        <w:rPr>
          <w:b/>
        </w:rPr>
        <w:t xml:space="preserve">Later evidence: </w:t>
      </w:r>
      <w:r>
        <w:t>https://www.fao.org/faostat/en/#data/FO · https://via.tt.se/files/3236590/4357795/325348/sv</w:t>
      </w:r>
    </w:p>
    <w:p>
      <w:pPr>
        <w:pStyle w:val="Heading1"/>
      </w:pPr>
      <w:r>
        <w:t>27. Demographic projections of future pharmaceutical consumption in the Netherlands (2011)</w:t>
      </w:r>
    </w:p>
    <w:p>
      <w:r>
        <w:rPr>
          <w:b/>
        </w:rPr>
        <w:t xml:space="preserve">Research case: </w:t>
      </w:r>
      <w:r>
        <w:t>P26-09 · claim-3d30340f6e823d1c</w:t>
      </w:r>
    </w:p>
    <w:p>
      <w:r>
        <w:rPr>
          <w:b/>
        </w:rPr>
        <w:t xml:space="preserve">Original proposition: </w:t>
      </w:r>
      <w:r>
        <w:t>Netherlands-only, demographic-only projection: age-specific 2007 consumption rates for 354 prescribed pharmaceuticals in 40 therapeutic groups (1,251 tonnes, 98% of Dutch prescribed consumption in 2007) applied to population projections, to anticipate emissions of pharmaceuticals and residues to surface water. Largest increases in groups linked to old age; decreases only for antivirals, addiction-treatment drugs and ethinylestradiol. It is a 'what if consumption rates stay at 2007 levels' scenario, not a forecast of actual use. The 2020 milestone has passed; 2050 has not.</w:t>
      </w:r>
    </w:p>
    <w:p>
      <w:r>
        <w:rPr>
          <w:b/>
        </w:rPr>
        <w:t xml:space="preserve">Type and horizon: </w:t>
      </w:r>
      <w:r>
        <w:t>projection · 2050</w:t>
      </w:r>
    </w:p>
    <w:p>
      <w:r>
        <w:rPr>
          <w:b/>
        </w:rPr>
        <w:t xml:space="preserve">What happened: </w:t>
      </w:r>
      <w:r>
        <w:t>Section 1.2 'Gebruik van geneesmiddelen' (PDF p. 14) and summary: medicine use from community pharmacies, measured in DDD, grew 1.1% in 2013, whereas population growth and ageing alone implied +1.9%; annual growth over the preceding decade had been about 4-8% (summary) or 4-5% (Section 1.2). People aged 65+ (17.4% of the population on 1 Jan 2014) received more than three times the average volume. SFK offers healthier new 65+ cohorts and the rise in the insurance deductible (EUR 155 -&gt; 350, 2009-2013) as possible explanations. LIMITATION: Single-year comparison. Measured in DDD of reimbursed medicines, not tonnes of active substance; the +1.9% expectation is SFK's own calculation, not the paper's. SFK's explanations are offered as possibilities, not tested. Section 1.2, p. 21 and Figure 1.2: community pharmacies dispensed almost 8.9 billion DDD of reimbursed medicines in 2024 (+2.7% vs 2023, against estimated population growth of ~0.7%), i.e. 532 DDD per head (+2.0%). People aged 75+ used 1,574 DDD per head versus the 532 average. The largest per-head increase (+2.7%) was among 21-40-year-olds, driven by ADHD medicines (methylphenida</w:t>
      </w:r>
    </w:p>
    <w:p>
      <w:r>
        <w:rPr>
          <w:b/>
        </w:rPr>
        <w:t xml:space="preserve">Interpretation: </w:t>
      </w:r>
      <w:r>
        <w:t>{"similarities": "The demographic premise materialised: Eurostat (demo_pjanind) shows the Dutch 65+ share rising from 14.5% (2007) to 20.8% (2025). SFK data confirm a steep age gradient in medicine use (75+ use about three times the average). Pharmaceutical residues in water remained a policy concern, culminating in the EU's 2024 quaternary-treatment and producer-pays rules.", "differences": "Soon after publication, actual DDD growth fell below the purely demographic expectation (2013: +1.1% vs +1.9%). More recent growth is partly driven by non-demographic trends such as ADHD medication in young adults, which a fixed-rate projection omits.", "still_unestablished": "Whether 2020 consumption in tonnes of active substance reached the projected level has not been established: available statistics use DDD, not mass. The abstract's internal numeric inconsistency needs full-text resolution. The 2050 horizon has not arrived.", "present_relevance": "The stored passage is identified as context,</w:t>
      </w:r>
    </w:p>
    <w:p>
      <w:r>
        <w:rPr>
          <w:b/>
        </w:rPr>
        <w:t xml:space="preserve">Status: </w:t>
      </w:r>
      <w:r>
        <w:t>premature</w:t>
      </w:r>
    </w:p>
    <w:p>
      <w:r>
        <w:rPr>
          <w:b/>
        </w:rPr>
        <w:t xml:space="preserve">Evidence limitations: </w:t>
      </w:r>
      <w:r>
        <w:t>Whether 2020 consumption in tonnes of active substance reached the projected level has not been established: available statistics use DDD, not mass. The abstract's internal numeric inconsistency needs full-text resolution. The 2050 horizon has not arrived.</w:t>
      </w:r>
    </w:p>
    <w:p>
      <w:r>
        <w:rPr>
          <w:b/>
        </w:rPr>
        <w:t xml:space="preserve">Original source: </w:t>
      </w:r>
      <w:r>
        <w:t>https://doi.org/10.2166/wst.2011.120</w:t>
      </w:r>
    </w:p>
    <w:p>
      <w:r>
        <w:rPr>
          <w:b/>
        </w:rPr>
        <w:t xml:space="preserve">Later evidence: </w:t>
      </w:r>
      <w:r>
        <w:t>https://sfk.nl/sites/sfk-nl/files/2025-01/Data_en_feiten_2014.pdf · https://sfk.nl/sites/sfk-nl/files/2025-09/Data%20en%20feiten%202025%20%281MB%29.pdf · https://eur-lex.europa.eu/eli/dir/2024/3019/oj</w:t>
      </w:r>
    </w:p>
    <w:p>
      <w:pPr>
        <w:pStyle w:val="Heading1"/>
      </w:pPr>
      <w:r>
        <w:t>28. Climate, competition and connectivity affect future migration and ranges of European trees (2011)</w:t>
      </w:r>
    </w:p>
    <w:p>
      <w:r>
        <w:rPr>
          <w:b/>
        </w:rPr>
        <w:t xml:space="preserve">Research case: </w:t>
      </w:r>
      <w:r>
        <w:t>P26-10 · claim-529dd495e6d148e4</w:t>
      </w:r>
    </w:p>
    <w:p>
      <w:r>
        <w:rPr>
          <w:b/>
        </w:rPr>
        <w:t xml:space="preserve">Original proposition: </w:t>
      </w:r>
      <w:r>
        <w:t>Model-based projection for Europe of 14 tree species. SDMs were calibrated on abundance from 5,768 ICP Forests Level I plots (climate, topography, soil, land use); realistic migration rates came from TreeMig process-model experiments as functions of macroclimate, inter-specific competition and habitat connectivity, applied as a migration-cost surface. Results are compared with no-migration and unlimited-migration assumptions under the A1fi/GRAS and B1/SEDG climate and land-use scenarios for the 21st century. Main conclusions: competition slows range shifts more than adverse macroclimate, fragmentation causes lags, and early-successional species track climate almost instantly while mid- to late-successional species migrate very slowly. The end-of-century horizon has not arrived; only interim observations exist.</w:t>
      </w:r>
    </w:p>
    <w:p>
      <w:r>
        <w:rPr>
          <w:b/>
        </w:rPr>
        <w:t xml:space="preserve">Type and horizon: </w:t>
      </w:r>
      <w:r>
        <w:t>projection · long-term</w:t>
      </w:r>
    </w:p>
    <w:p>
      <w:r>
        <w:rPr>
          <w:b/>
        </w:rPr>
        <w:t xml:space="preserve">What happened: </w:t>
      </w:r>
      <w:r>
        <w:t>Juvenile vs adult altitudinal distributions of seven major European tree species on transects from southern Spain (37°N) to northern Sweden (67°N), where mean temperature over the last decade was 0.86 °C above the previous 30-year period. Only Abies alba showed juveniles peaking higher than adults. Fagus sylvatica, Picea abies and Pinus sylvestris showed the opposite pattern, and no change was detected for Quercus ilex, Acer pseudoplatanus and Q. petraea. The authors state that the findings are 'in contrast with theoretical predictions'. LIMITATION: Elevational juvenile-adult comparison, not latitudinal range-front migration. Limited transects and species, whose overlap with Meier et al.'s 14 species was not verified. Abstract-level check. BioShifts geodatabase of 30,534 range shifts (over 12,000 species): marine species shift poleward about six times faster than terrestrial ones, and terrestrial species lag behind shifting isotherms more than marine species. 'On land, human activities impede the capacity of terrestrial species to track isotherm shifts in latitude'; elevational shifts follow isotherms but more slowly than expected.</w:t>
      </w:r>
    </w:p>
    <w:p>
      <w:r>
        <w:rPr>
          <w:b/>
        </w:rPr>
        <w:t xml:space="preserve">Interpretation: </w:t>
      </w:r>
      <w:r>
        <w:t>{"similarities": "Observational syntheses since 2011 support the core premise that terrestrial species, especially under human land-use constraints, lag behind shifting climate. European field data show several mid- to late-successional trees not shifting upslope, consistent in direction with the projected very slow migration.", "differences": "Some species show juveniles at lower, not higher, elevations than adults, implying demographic or ontogenetic controls not represented in the migration model. Drought-driven mortality emerged as a major, abrupt driver of forest change, outside the model's colonisation-focused framing.", "still_unestablished": "The projection horizon (21st century) is far off, and no study was found that directly evaluates the predicted migration rates for the same 14 species. Distinguishing slow migration from non-climatic causes in observed distributions remains methodologically hard.", "present_relevance": "Verified the abstract, located the quantitative proje</w:t>
      </w:r>
    </w:p>
    <w:p>
      <w:r>
        <w:rPr>
          <w:b/>
        </w:rPr>
        <w:t xml:space="preserve">Status: </w:t>
      </w:r>
      <w:r>
        <w:t>premature</w:t>
      </w:r>
    </w:p>
    <w:p>
      <w:r>
        <w:rPr>
          <w:b/>
        </w:rPr>
        <w:t xml:space="preserve">Evidence limitations: </w:t>
      </w:r>
      <w:r>
        <w:t>The projection horizon (21st century) is far off, and no study was found that directly evaluates the predicted migration rates for the same 14 species. Distinguishing slow migration from non-climatic causes in observed distributions remains methodologically hard.</w:t>
      </w:r>
    </w:p>
    <w:p>
      <w:r>
        <w:rPr>
          <w:b/>
        </w:rPr>
        <w:t xml:space="preserve">Original source: </w:t>
      </w:r>
      <w:r>
        <w:t>https://doi.org/10.1111/j.1466-8238.2011.00669.x</w:t>
      </w:r>
    </w:p>
    <w:p>
      <w:r>
        <w:rPr>
          <w:b/>
        </w:rPr>
        <w:t xml:space="preserve">Later evidence: </w:t>
      </w:r>
      <w:r>
        <w:t>https://doi.org/10.1111/gcb.12220 · https://archimer.ifremer.fr/doc/00632/74377/ · https://doi.org/10.1038/s41467-020-19924-1</w:t>
      </w:r>
    </w:p>
    <w:p>
      <w:pPr>
        <w:pStyle w:val="Heading1"/>
      </w:pPr>
      <w:r>
        <w:t>29. Ageing population and labour productivity in Bulgaria (2011)</w:t>
      </w:r>
    </w:p>
    <w:p>
      <w:r>
        <w:rPr>
          <w:b/>
        </w:rPr>
        <w:t xml:space="preserve">Research case: </w:t>
      </w:r>
      <w:r>
        <w:t>P26-11 · claim-e335375482d9217e</w:t>
      </w:r>
    </w:p>
    <w:p>
      <w:r>
        <w:rPr>
          <w:b/>
        </w:rPr>
        <w:t xml:space="preserve">Original proposition: </w:t>
      </w:r>
      <w:r>
        <w:t>Bulgaria-only study: a literature review plus ILO-model sensitivity tests of labour productivity to 2050, driven by population size and age structure under three life-expectancy improvement variants (fast, medium, slow). It concludes that ageing has a negative effect on labour productivity while flagging the long timeframe. This is a sensitivity analysis comparing demographic variants (a relative effect), not a forecast that productivity levels will fall. The 2050 horizon has not arrived.</w:t>
      </w:r>
    </w:p>
    <w:p>
      <w:r>
        <w:rPr>
          <w:b/>
        </w:rPr>
        <w:t xml:space="preserve">Type and horizon: </w:t>
      </w:r>
      <w:r>
        <w:t>projection · 2050</w:t>
      </w:r>
    </w:p>
    <w:p>
      <w:r>
        <w:rPr>
          <w:b/>
        </w:rPr>
        <w:t xml:space="preserve">What happened: </w:t>
      </w:r>
      <w:r>
        <w:t>Bulgaria's population was 7,369,431 (2011), 6,532,117 (2021) and 6,437,360 (2025), -12.6% over 2011-2025. The 65+ share rose from 18.5% to 23.0% to 24.0%, the old-age dependency ratio from 27.0 to 36.7 to 38.7, and the median age from 42.5 (2011) to 47.3 (2025). Extracted via the Eurostat API on 2026-10-26. LIMITATION: Demographic outcomes do not validate the productivity link. The series may be affected by census-based revisions (2021 census), and the paper's life-expectancy variants were not compared with outturns. Real labour productivity per person (index 2015=100): Bulgaria 93.5 (2011), 111.4 (2019), 123.7 (2024), i.e. +32% over 2011-2024; EU27 98.0 to 104.7 (+7%). Per hour worked: Bulgaria 93.5 to 125.1 (+34%); EU27 96.4 to 106.0 (+10%). Extracted via the Eurostat API on 2026-10-26. LIMITATION: Per-person productivity can rise through composition effects (exit or emigration of lower-productivity workers, sectoral shifts). With no counterfactual this neither tests nor contradicts the ILO-model sensitivity result. pp. 45-46 restate ILO-model results to 2050 under three life-expectancy variants, citing Rangelova &amp; Sariiski (2013)</w:t>
      </w:r>
    </w:p>
    <w:p>
      <w:r>
        <w:rPr>
          <w:b/>
        </w:rPr>
        <w:t xml:space="preserve">Interpretation: </w:t>
      </w:r>
      <w:r>
        <w:t>{"similarities": "Bulgaria's demographic decline and ageing proceeded strongly (population -12.6% and 65+ share 18.5% to 24.0%, 2011-2025). Later work, including the same author (2019) and a Bulgarian National Bank model study (DP/124/2025, Ivanov, Cvetkova &amp; Vassilev), still treats shrinking labour input as a lasting drag on potential growth.", "differences": "Observed real labour productivity rose about 32% (2011-2024), more than four times the EU average, despite ageing. The lead author later described the modelled negative ageing effect on productivity as small and 'unconvincing'.", "still_unestablished": "No counterfactual analysis isolating the effect of workforce ageing on Bulgarian productivity since 2011 was found. The 2050 horizon has not arrived, and the ILO model's projected productivity path could not be compared numerically because the full text was not accessible.", "present_relevance": "Abstract verified (with formatting and date precision issues corrected) and the stud</w:t>
      </w:r>
    </w:p>
    <w:p>
      <w:r>
        <w:rPr>
          <w:b/>
        </w:rPr>
        <w:t xml:space="preserve">Status: </w:t>
      </w:r>
      <w:r>
        <w:t>premature</w:t>
      </w:r>
    </w:p>
    <w:p>
      <w:r>
        <w:rPr>
          <w:b/>
        </w:rPr>
        <w:t xml:space="preserve">Evidence limitations: </w:t>
      </w:r>
      <w:r>
        <w:t>No counterfactual analysis isolating the effect of workforce ageing on Bulgarian productivity since 2011 was found. The 2050 horizon has not arrived, and the ILO model's projected productivity path could not be compared numerically because the full text was not accessible.</w:t>
      </w:r>
    </w:p>
    <w:p>
      <w:r>
        <w:rPr>
          <w:b/>
        </w:rPr>
        <w:t xml:space="preserve">Original source: </w:t>
      </w:r>
      <w:r>
        <w:t>https://doi.org/10.5771/1435-2869-2011-4-521</w:t>
      </w:r>
    </w:p>
    <w:p>
      <w:r>
        <w:rPr>
          <w:b/>
        </w:rPr>
        <w:t xml:space="preserve">Later evidence: </w:t>
      </w:r>
      <w:r>
        <w:t>https://ec.europa.eu/eurostat/databrowser/view/demo_pjanind/default/table?lang=en · https://ec.europa.eu/eurostat/databrowser/view/nama_10_lp_ulc/default/table?lang=en · https://www.iki.bas.bg/Journals/EconomicStudies/2019/2019-5/3_Rangelova-1_f-f.pdf</w:t>
      </w:r>
    </w:p>
    <w:p>
      <w:pPr>
        <w:pStyle w:val="Heading1"/>
      </w:pPr>
      <w:r>
        <w:t>30. Scenarios of the organic food market in Europe (2012)</w:t>
      </w:r>
    </w:p>
    <w:p>
      <w:r>
        <w:rPr>
          <w:b/>
        </w:rPr>
        <w:t xml:space="preserve">Research case: </w:t>
      </w:r>
      <w:r>
        <w:t>ED-30 · claim-19580d15b121c63e</w:t>
      </w:r>
    </w:p>
    <w:p>
      <w:r>
        <w:rPr>
          <w:b/>
        </w:rPr>
        <w:t xml:space="preserve">Original proposition: </w:t>
      </w:r>
      <w:r>
        <w:t>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r>
        <w:rPr>
          <w:b/>
        </w:rPr>
        <w:t xml:space="preserve">Type and horizon: </w:t>
      </w:r>
      <w:r>
        <w:t>scenario · open</w:t>
      </w:r>
    </w:p>
    <w:p>
      <w:r>
        <w:rPr>
          <w:b/>
        </w:rPr>
        <w:t xml:space="preserve">What happened: </w:t>
      </w:r>
      <w:r>
        <w:t>FiBL Europe organic market 2024: €58.7 billion nominal sales, farmland 19.6m ha; 2022 sales decline exposes the fragility of unbroken-growth assumptions.</w:t>
      </w:r>
    </w:p>
    <w:p>
      <w:r>
        <w:rPr>
          <w:b/>
        </w:rPr>
        <w:t xml:space="preserve">Interpretation: </w:t>
      </w:r>
      <w:r>
        <w:t>Held. European organic sales hit a record €58.7bn in 2024, up 4.1%, though farmland stayed flat at 19.6 million hectares.</w:t>
      </w:r>
    </w:p>
    <w:p>
      <w:r>
        <w:rPr>
          <w:b/>
        </w:rPr>
        <w:t xml:space="preserve">Status: </w:t>
      </w:r>
      <w:r>
        <w:t>mixed</w:t>
      </w:r>
    </w:p>
    <w:p>
      <w:r>
        <w:rPr>
          <w:b/>
        </w:rPr>
        <w:t xml:space="preserve">Evidence limitations: </w:t>
      </w:r>
      <w:r>
        <w:t>Full original study not checked in this research pass; review interpretation provisional.</w:t>
      </w:r>
    </w:p>
    <w:p>
      <w:r>
        <w:rPr>
          <w:b/>
        </w:rPr>
        <w:t xml:space="preserve">Original source: </w:t>
      </w:r>
      <w:r>
        <w:t>https://doi.org/10.1016/j.foodpol.2011.10.003</w:t>
      </w:r>
    </w:p>
    <w:p>
      <w:r>
        <w:rPr>
          <w:b/>
        </w:rPr>
        <w:t xml:space="preserve">Later evidence: </w:t>
      </w:r>
      <w:r>
        <w:t>https://www.fibl.org/en/info-centre/news/europes-organic-market-sets-another-record-in-2024-farmland-stable</w:t>
      </w:r>
    </w:p>
    <w:p>
      <w:pPr>
        <w:pStyle w:val="Heading1"/>
      </w:pPr>
      <w:r>
        <w:t>31. What We Hope, What We Fear, What We Expect: Possible Scenarios for the Future of the Eurozone (2012)</w:t>
      </w:r>
    </w:p>
    <w:p>
      <w:r>
        <w:rPr>
          <w:b/>
        </w:rPr>
        <w:t xml:space="preserve">Research case: </w:t>
      </w:r>
      <w:r>
        <w:t>ED-38 · claim-96bfdd77052f9609</w:t>
      </w:r>
    </w:p>
    <w:p>
      <w:r>
        <w:rPr>
          <w:b/>
        </w:rPr>
        <w:t xml:space="preserve">Original proposition: </w:t>
      </w:r>
      <w:r>
        <w:t>Starting with the reforms of European economic governance hitherto agreed, this article develops three scenarios for the eurozone and explores their possible impact on the EU in general.</w:t>
      </w:r>
    </w:p>
    <w:p>
      <w:r>
        <w:rPr>
          <w:b/>
        </w:rPr>
        <w:t xml:space="preserve">Type and horizon: </w:t>
      </w:r>
      <w:r>
        <w:t>scenario · open</w:t>
      </w:r>
    </w:p>
    <w:p>
      <w:r>
        <w:rPr>
          <w:b/>
        </w:rPr>
        <w:t xml:space="preserve">What happened: </w:t>
      </w:r>
      <w:r>
        <w:t>Euro area and euro persisted through post-2012 crises; the original alternative political-institutional scenarios remain conditional, not a numeric prediction.</w:t>
      </w:r>
    </w:p>
    <w:p>
      <w:r>
        <w:rPr>
          <w:b/>
        </w:rPr>
        <w:t xml:space="preserve">Interpretation: </w:t>
      </w:r>
      <w:r>
        <w:t>Partly. The euro held through successive reforms, but analysts still argue a real economic government is missing (2018, 2017).</w:t>
      </w:r>
    </w:p>
    <w:p>
      <w:r>
        <w:rPr>
          <w:b/>
        </w:rPr>
        <w:t xml:space="preserve">Status: </w:t>
      </w:r>
      <w:r>
        <w:t>not directly testable</w:t>
      </w:r>
    </w:p>
    <w:p>
      <w:r>
        <w:rPr>
          <w:b/>
        </w:rPr>
        <w:t xml:space="preserve">Evidence limitations: </w:t>
      </w:r>
      <w:r>
        <w:t>Full original study not checked in this research pass; review interpretation provisional.</w:t>
      </w:r>
    </w:p>
    <w:p>
      <w:r>
        <w:rPr>
          <w:b/>
        </w:rPr>
        <w:t xml:space="preserve">Original source: </w:t>
      </w:r>
      <w:r>
        <w:t>https://doi.org/10.1007/s12290-012-0210-x</w:t>
      </w:r>
    </w:p>
    <w:p>
      <w:r>
        <w:rPr>
          <w:b/>
        </w:rPr>
        <w:t xml:space="preserve">Later evidence: </w:t>
      </w:r>
      <w:r>
        <w:t>https://www.ecb.europa.eu/the-euro/html/index.en.html</w:t>
      </w:r>
    </w:p>
    <w:p>
      <w:pPr>
        <w:pStyle w:val="Heading1"/>
      </w:pPr>
      <w:r>
        <w:t>32. Fiscal sustainability and the accuracy of macroeconomic forecasts: Do supranational forecasts rather than government forecasts make a difference? (2011)</w:t>
      </w:r>
    </w:p>
    <w:p>
      <w:r>
        <w:rPr>
          <w:b/>
        </w:rPr>
        <w:t xml:space="preserve">Research case: </w:t>
      </w:r>
      <w:r>
        <w:t>ED-48 · claim-828f32d0bc636845</w:t>
      </w:r>
    </w:p>
    <w:p>
      <w:r>
        <w:rPr>
          <w:b/>
        </w:rPr>
        <w:t xml:space="preserve">Original proposition: </w:t>
      </w:r>
      <w:r>
        <w:t>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r>
        <w:rPr>
          <w:b/>
        </w:rPr>
        <w:t xml:space="preserve">Type and horizon: </w:t>
      </w:r>
      <w:r>
        <w:t>other · open</w:t>
      </w:r>
    </w:p>
    <w:p>
      <w:r>
        <w:rPr>
          <w:b/>
        </w:rPr>
        <w:t xml:space="preserve">What happened: </w:t>
      </w:r>
      <w:r>
        <w:t>EU Directive 2011/85/EU and its 2024 amendment require objective macroeconomic forecasting scrutiny and comparison with Commission forecasts; this is implementation relevance, not proof of bias elimination.</w:t>
      </w:r>
    </w:p>
    <w:p>
      <w:r>
        <w:rPr>
          <w:b/>
        </w:rPr>
        <w:t xml:space="preserve">Interpretation: </w:t>
      </w:r>
      <w:r>
        <w:t>Held. The EU’s budgetary frameworks directive requires national forecasts to be compared with the Commission’s and large gaps explained. Later work finds optimistic growth forecasts still drive optimistic budgets, with high-profile fiscal councils helping, and that the Commission’s own fiscal forecasts turn more optimistic when a deficit threatens to breach 3%.</w:t>
      </w:r>
    </w:p>
    <w:p>
      <w:r>
        <w:rPr>
          <w:b/>
        </w:rPr>
        <w:t xml:space="preserve">Status: </w:t>
      </w:r>
      <w:r>
        <w:t>not directly testable</w:t>
      </w:r>
    </w:p>
    <w:p>
      <w:r>
        <w:rPr>
          <w:b/>
        </w:rPr>
        <w:t xml:space="preserve">Evidence limitations: </w:t>
      </w:r>
      <w:r>
        <w:t>Full original study not checked in this research pass; review interpretation provisional.</w:t>
      </w:r>
    </w:p>
    <w:p>
      <w:r>
        <w:rPr>
          <w:b/>
        </w:rPr>
        <w:t xml:space="preserve">Original source: </w:t>
      </w:r>
      <w:r>
        <w:t>https://doi.org/10.1504/ijse.2011.039440</w:t>
      </w:r>
    </w:p>
    <w:p>
      <w:r>
        <w:rPr>
          <w:b/>
        </w:rPr>
        <w:t xml:space="preserve">Later evidence: </w:t>
      </w:r>
      <w:r>
        <w:t>https://eur-lex.europa.eu/eli/dir/2011/85/oj</w:t>
      </w:r>
    </w:p>
    <w:p>
      <w:pPr>
        <w:pStyle w:val="Heading1"/>
      </w:pPr>
      <w:r>
        <w:t>What the labels mean</w:t>
      </w:r>
    </w:p>
    <w:p>
      <w:r>
        <w:t>Supported: only a stated, comparable component is supported. Mixed: a documented continuity and a meaningful divergence coexist. Premature: the claim horizon is still in the future. Unresolved: the available evidence or original meaning is insufficient. Not directly testable: scenario, method, recommendation or conditional proposition cannot be evaluated as a stand-alone prediction.</w:t>
      </w:r>
    </w:p>
    <w:p>
      <w:r>
        <w:br w:type="page"/>
      </w:r>
    </w:p>
    <w:p>
      <w:pPr>
        <w:pStyle w:val="Heading1"/>
      </w:pPr>
      <w:r>
        <w:t>Previous edition — preserved original material</w:t>
      </w:r>
    </w:p>
    <w:p>
      <w:r>
        <w:t>The following is the complete material from the earlier repository edition, retained for research continuity and provenance. The updated research and evidence classifications above take precedence. Earlier accuracy scores, tentative assessments, and source links below are historical records and should not be treated as newly verified findings.</w:t>
      </w:r>
    </w:p>
    <w:p>
      <w:pPr>
        <w:pStyle w:val="Title"/>
      </w:pPr>
      <w:r>
        <w:t>What was expected vs. what happened</w:t>
      </w:r>
    </w:p>
    <w:p>
      <w:pPr>
        <w:pStyle w:val="Subtitle"/>
      </w:pPr>
      <w:r>
        <w:t>Radar 2 | Assessed against independent evidence | Updated 2026-10-19</w:t>
      </w:r>
    </w:p>
    <w:p>
      <w:r>
        <w:t>Scores: 1 = entirely incorrect; 100 = fully accurate. A missing score means the outcome cannot yet be responsibly established. Scores are evidence-based estimates, not objective guarantees.</w:t>
      </w:r>
    </w:p>
    <w:p>
      <w:pPr>
        <w:pStyle w:val="Heading2"/>
      </w:pPr>
      <w:r>
        <w:t>1. 2025 Strategic Foresight Report</w:t>
      </w:r>
    </w:p>
    <w:p>
      <w:r>
        <w:t>What was expected: the EU is projected to have 17 million fewer people of working age by 2040 than in 2023 (33).</w:t>
      </w:r>
    </w:p>
    <w:p>
      <w:r>
        <w:t>What happened: Not yet established.</w:t>
      </w:r>
    </w:p>
    <w:p>
      <w:r>
        <w:t>Accuracy: Not yet assessable</w:t>
      </w:r>
    </w:p>
    <w:p>
      <w:pPr>
        <w:pStyle w:val="Caption"/>
      </w:pPr>
      <w:r>
        <w:t>Original research: https://commission.europa.eu/strategy-and-policy/strategic-foresight/2025-strategic-foresight-report_en</w:t>
      </w:r>
    </w:p>
    <w:p>
      <w:pPr>
        <w:pStyle w:val="Heading2"/>
      </w:pPr>
      <w:r>
        <w:t>2. 2023 Strategic Foresight Report</w:t>
      </w:r>
    </w:p>
    <w:p>
      <w:r>
        <w:t>What was expected: It will be key to reinforcing Europe’s long-term competitiveness and social model, and thus its global leadership in the new, net-zero economy, also by supporting other regions in building a sustainable future.</w:t>
      </w:r>
    </w:p>
    <w:p>
      <w:r>
        <w:t>What happened: Not yet established.</w:t>
      </w:r>
    </w:p>
    <w:p>
      <w:r>
        <w:t>Accuracy: Not yet assessable</w:t>
      </w:r>
    </w:p>
    <w:p>
      <w:pPr>
        <w:pStyle w:val="Caption"/>
      </w:pPr>
      <w:r>
        <w:t>Original research: https://commission.europa.eu/strategy-and-policy/strategic-foresight/2023-strategic-foresight-report_en</w:t>
      </w:r>
    </w:p>
    <w:p>
      <w:pPr>
        <w:pStyle w:val="Heading2"/>
      </w:pPr>
      <w:r>
        <w:t>3. What if...? Scanning the horizon: 12 scenarios for 2021</w:t>
      </w:r>
    </w:p>
    <w:p>
      <w:r>
        <w:t>What was expected: Furthermore, while the 2018 revised EU Maritime Security Strategy Action Plan 7 called on member states to improve the resilience of maritime trans - port infrastructure by 2020, Zirta had a relatively small navy and an under-re - sourced ministry of defence.</w:t>
      </w:r>
    </w:p>
    <w:p>
      <w:r>
        <w:t>What happened: Not yet established.</w:t>
      </w:r>
    </w:p>
    <w:p>
      <w:r>
        <w:t>Accuracy: Not yet assessable</w:t>
      </w:r>
    </w:p>
    <w:p>
      <w:pPr>
        <w:pStyle w:val="Caption"/>
      </w:pPr>
      <w:r>
        <w:t>Original research: https://www.iss.europa.eu/sites/default/files/EUISSFiles/CP_150_0.pdf</w:t>
      </w:r>
    </w:p>
    <w:p>
      <w:pPr>
        <w:pStyle w:val="Heading2"/>
      </w:pPr>
      <w:r>
        <w:t>4. Skills forecast: trends and challenges to 2030</w:t>
      </w:r>
    </w:p>
    <w:p>
      <w:r>
        <w:t>What was expected: Prospects for employment and labour force trends in Europe Key messages Employment growth is expected to be moderate over the medium term, slowing down considerably after 2025.</w:t>
      </w:r>
    </w:p>
    <w:p>
      <w:r>
        <w:t>What happened: Not yet established.</w:t>
      </w:r>
    </w:p>
    <w:p>
      <w:r>
        <w:t>Accuracy: Not yet assessable</w:t>
      </w:r>
    </w:p>
    <w:p>
      <w:pPr>
        <w:pStyle w:val="Caption"/>
      </w:pPr>
      <w:r>
        <w:t>Original research: https://www.cedefop.europa.eu/en/publications/3077</w:t>
      </w:r>
    </w:p>
    <w:sectPr w:rsidR="00FC693F" w:rsidRPr="0006063C" w:rsidSect="00034616">
      <w:footerReference w:type="default" r:id="rId9"/>
      <w:pgSz w:w="12240" w:h="15840"/>
      <w:pgMar w:top="1080"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VV FUTURES  |  Evidence-led research · 2026-10-28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3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43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43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was expected vs. what happened</dc:title>
  <dc:subject>VV FUTURES evidence-led research update | 2026-10-28</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