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 then. And now?</w:t>
      </w:r>
    </w:p>
    <w:p>
      <w:pPr>
        <w:pStyle w:val="Subtitle"/>
      </w:pPr>
      <w:r>
        <w:t>Ten documented stories about European futures and what followed</w:t>
      </w:r>
    </w:p>
    <w:p>
      <w:pPr/>
      <w:r>
        <w:t>Research edition · 28 October 2026 · Findings are LLM-assisted and source verification varies. No overall forecast-accuracy grade is implied.</w:t>
      </w:r>
    </w:p>
    <w:p>
      <w:pPr>
        <w:pStyle w:val="Heading1"/>
      </w:pPr>
      <w:r>
        <w:t>Before reading</w:t>
      </w:r>
    </w:p>
    <w:p>
      <w:r>
        <w:t>These are historical-to-present comparative narratives, not ten verified prediction outcomes. A forecast, conditional scenario, policy aim and scientific warning are different propositions. The analysis covers evidence available by 28 October 2026. Some primary sources have not been checked in full.</w:t>
      </w:r>
    </w:p>
    <w:p>
      <w:pPr>
        <w:pStyle w:val="Heading1"/>
      </w:pPr>
      <w:r>
        <w:t>The recurring theme</w:t>
      </w:r>
    </w:p>
    <w:p>
      <w:r>
        <w:t>Researchers frequently saw long-term pressures early: energy dependence, emissions, mobility, ageing, biological risks and structural transitions. The course of implementation—particularly geopolitical shocks, institutions, money, and substitute technologies—was often different. A scenario with a 2030 or 2050 horizon is still open in 2026.</w:t>
      </w:r>
    </w:p>
    <w:p>
      <w:pPr>
        <w:pStyle w:val="Heading1"/>
      </w:pPr>
      <w:r>
        <w:t>1. The gas pipeline that did arrive—and the security future that did not</w:t>
      </w:r>
    </w:p>
    <w:p>
      <w:r>
        <w:t>In 2013, a European gas-security paper imagined rising gas consumption, increasing dependence on external supplies and a strategic role for the Southern Gas Corridor. It was written against a familiar background: European domestic extraction was weakening, industry still wanted natural gas and Russian supply posed concentration risks. The corridor’s advocates envisaged a new physical route from the Caspian region through Turkey and south-eastern Europe. These were not merely engineering questions. Infrastructure would determine which political relationships Europe could escape and which new relationships it might inherit.</w:t>
      </w:r>
    </w:p>
    <w:p>
      <w:r>
        <w:t>A striking part of the warning proved relevant. The Southern Corridor ultimately became a functioning supply route, and the European Union became concerned enough about Russian dependence to adopt extraordinary diversification measures. Yet the most important divergence was that EU demand did not keep rising along the anticipated path. Eurostat reports gas demand fell by 13.3% in 2022 and by 7.4% in 2023, reaching the lowest recorded annual quantity in its monthly-cumulated series. The decisive shock was Russia’s full-scale invasion of Ukraine, not the smooth increase in imports the original discussion expected. Europe sought LNG, lower demand, renewable alternatives and supply contracts outside Russia. Regulation (EU) 2026/261, adopted on 26 January 2026, set a staged legal phase-out of Russian natural gas; exemptions and deadlines mean adoption must not be confused with complete physical phase-out in October 2026.</w:t>
      </w:r>
    </w:p>
    <w:p>
      <w:r>
        <w:t>The corridor itself matters as an example of *directional relevance without strategic dominance*. A single pipeline can function successfully without becoming the central answer to a system-wide crisis. Its capacity is modest compared with the enormous continental market, and the original full article remains available in this review primarily through its abstract, so the precise 80% import-dependency figure needs verification against the authors’ own source. This is also why an apparent numerical hit—such as imports increasing while production contracts—cannot be presented as proof that every causal expectation held. What was expected to drive dependence matters as much as dependence itself.</w:t>
      </w:r>
    </w:p>
    <w:p>
      <w:r>
        <w:t>The more general lesson is that critical infrastructure foresight must explore demand destruction, political rupture and substitutable supply chains alongside the planned new asset. A model that knows the future pipeline but not the future political market may correctly identify vulnerability and still misdescribe how governments will respond. For the next editorial edition, retain the 2013 structural warning, document the actual pipeline, and present gas consumption, indigenous production, supplier concentration and legal phase-out as four distinct indicators. The result is a more revealing European history than either “prediction fulfilled” or “forecast failed.”</w:t>
      </w:r>
    </w:p>
    <w:p>
      <w:r>
        <w:t>Original and later sources. R24-01 (https://doi.org/10.54648/eerr2013040) (original); outcome evidence (https://ec.europa.eu/eurostat/web/main/data/database) (see workbook for dates, metrics and verification limits). R24-05 (https://doi.org/10.11610/isij.2912) (original); outcome evidence (https://eda.europa.eu/docs/default-source/eda-publications/2026-eda_defencedata_webpublic.pdf) (see workbook for dates, metrics and verification limits).</w:t>
      </w:r>
    </w:p>
    <w:p>
      <w:pPr>
        <w:pStyle w:val="Heading1"/>
      </w:pPr>
      <w:r>
        <w:t>2. Hydrogen, ocean energy and the difference between technical promise and actual markets</w:t>
      </w:r>
    </w:p>
    <w:p>
      <w:r>
        <w:t>The 2015 JRC-EU-TIMES hydrogen paper offered a conditional possibility: hydrogen could become viable in a European decarbonisation pathway around 2030 if the model imposed a sustained, binding carbon constraint. A separate 2015 marine-energy review described wave and tidal power as prospective contributors to the low-carbon system. Both belonged to a wider period in which European researchers became adept at showing that a low-emission future was technologically conceivable. Such analysis is valuable because it explores combinations of energy supply, conversion, storage and industrial demand that no firm would build unaided. But technical feasibility is not an investment decision.</w:t>
      </w:r>
    </w:p>
    <w:p>
      <w:r>
        <w:t>The empirical picture in the middle 2020s is far less expansive than the possibility space. The European Union Agency for the Cooperation of Energy Regulators measured only 308 MW of EU electrolyser capacity in 2024. In the same report, average renewable-hydrogen production costs were about four times those of conventional hydrogen. The European Court of Auditors' 2024 special report concluded that the Commission’s later 2030 renewable-hydrogen production and import goals were unrealistic without a reality check. The auditors identified uncertainty in definitions, incomplete demand commitments, high investment costs and infrastructure requirements. None of those later political goals can be read back into the 2015 model as if they were its original prediction.</w:t>
      </w:r>
    </w:p>
    <w:p>
      <w:r>
        <w:t>Marine energy makes the market-formation distinction even clearer. Repository research cites the European Commission’s Blue Economy reporting of approximately 2.82 MW of operational emerging ocean-energy capacity in the EU at the end of 2024, excluding traditional tidal-range projects. Demonstration machines can establish that a technology works under particular conditions, while public electricity networks require reliable costs, maintenance operations, financing and a portfolio of bankable sites. The installed EU figure must not be compared directly with forecasts that include the United Kingdom, pilot plants or announced projects, because the denominators vary.</w:t>
      </w:r>
    </w:p>
    <w:p>
      <w:r>
        <w:t>What links these cases is the often invisible chain connecting innovation to routine use. Technological learning changes costs, while regulation changes market value; investors require electricity and feedstock, off-takers require predictable supply, and infrastructure requires permission before any product can be delivered. A plausible carbon cap may improve long-run incentives without creating a short-run hydrogen customer. The original forecasts should therefore be tested in layers: physical feasibility, production cost, final investment decision, commissioned capacity, delivered volume and displacement of incumbent fuels. The same framework would allow genuinely positive developments to be recognized rather than lost inside the narrative of a delayed transition. The expectation was a conditional opportunity, and the observed result is a system still constructing the institutions needed to realize it.</w:t>
      </w:r>
    </w:p>
    <w:p>
      <w:r>
        <w:t>Original and later sources. P26-01 (https://doi.org/10.1016/j.ijhydene.2015.09.004) (original); outcome evidence (https://www.eca.europa.eu/en/publications/SR-2024-11) (see workbook for dates, metrics and verification limits). P26-06 (https://doi.org/10.1016/j.ijome.2015.05.001) (original); outcome evidence (https://op.europa.eu/webpub/mare/eu-blue-economy-report-2025/blue-economic-sectors/marine-renewable-energy.html) (see workbook for dates, metrics and verification limits).</w:t>
      </w:r>
    </w:p>
    <w:p>
      <w:pPr>
        <w:pStyle w:val="Heading1"/>
      </w:pPr>
      <w:r>
        <w:t>3. A planned carbon network and a planned North African power bridge</w:t>
      </w:r>
    </w:p>
    <w:p>
      <w:r>
        <w:t>Two 2014 scenario studies proposed continental scale in two very different infrastructures. European carbon-capture research argued that substantial deployment would require integrated CO2 collection and transport networks, connecting industrial emitters to long-term geological storage, especially in the North Sea. Renewable-electricity research about Morocco, Algeria, Tunisia, Libya and Egypt examined power systems with very high renewable shares by 2050 and variants in which electricity would flow north into Europe. Both ideas recognized a fact that is easy to neglect in energy futures: the geography of resources rarely matches the geography of consumption.</w:t>
      </w:r>
    </w:p>
    <w:p>
      <w:r>
        <w:t>Later policy shows that European decision-makers have taken the carbon-network proposition seriously. The EU’s Net-Zero Industry Act of June 2024 sets a 2030 objective of at least 50 million tonnes per year of operational carbon-dioxide injection capacity. Its Industrial Carbon Management Strategy also describes shared transport and storage. Yet this statutory objective is not a measurement of annual stored carbon or an operating pan-European pipeline network. The Norwegian Northern Lights development demonstrates that cross-border shipping and geological injection can become operational, but the historical model’s integrated network is still emerging unevenly. Transport by ship, industrial clusters and storage hubs are not identical to the original continent-wide pipeline emphasis.</w:t>
      </w:r>
    </w:p>
    <w:p>
      <w:r>
        <w:t>The North African electricity vision has followed a different route. Morocco has built renewable capacity and the region remains strategically relevant to European energy thinking, but intercontinental large-volume renewable-electricity exchange has not formed at the modeled scale by 2026. Some political and commercial attention has shifted toward hydrogen, ammonia and other derivatives. That may be a form of substitution, not simple abandonment: exports of molecules and exports of electricity have different loss rates, infrastructure, markets and development impacts. In addition, North African countries need growing supplies of their own; a highly renewable regional scenario is not an unconditional promise that Europe gets the surplus.</w:t>
      </w:r>
    </w:p>
    <w:p>
      <w:r>
        <w:t>Neither study should be labelled wrong in 2026 for a target date in 2050. Both should, however, be audited for implementation prerequisites. Who will pay for network rights of way, permits, public guarantees and cross-border tariffs? How much of the asset is operational, not announced? Do importing regions retain the political legitimacy needed to sustain the transaction? A useful retrospective table would distinguish physical deliveries, financing, conditional model volumes and policy targets in separate columns. The combined lesson is that the bottleneck in a European energy transition can be *institutional distance* rather than geographical distance. Integration is not simply what an optimizer selects; it is what multiple jurisdictions and markets actually maintain.</w:t>
      </w:r>
    </w:p>
    <w:p>
      <w:r>
        <w:t>Original and later sources. R24-03 (https://doi.org/10.1002/ghg.1410) (original); outcome evidence (https://eur-lex.europa.eu/eli/reg/2024/1735/oj) (see workbook for dates, metrics and verification limits). R24-02 (https://doi.org/10.12720/sgce.3.3.299-306) (original); outcome evidence (https://ourworldindata.org/grapher/share-electricity-renewables) (see workbook for dates, metrics and verification limits).</w:t>
      </w:r>
    </w:p>
    <w:p>
      <w:pPr>
        <w:pStyle w:val="Heading1"/>
      </w:pPr>
      <w:r>
        <w:t>4. Mosquitoes, trees, and why a climatic map is not a biological destiny</w:t>
      </w:r>
    </w:p>
    <w:p>
      <w:r>
        <w:t>European climate research was capable of producing useful maps of future exposure well before all the feared consequences were measured. A 2012 study of Aedes albopictus, the Asian tiger mosquito, projected increasing climatic suitability across parts of northern and western Europe, while some areas of the south might become less suitable in hotter, drier conditions. A 2011 tree-migration study likewise rejected the assumption that a plant species could instantly occupy whatever geographical region acquires a suitable temperature. Forest dynamics depend on dispersal, habitat connectivity, competition, life stage and disturbance. One model concerns an invasive vector that humans can carry across borders; the other concerns long-lived trees that move by slow generations.</w:t>
      </w:r>
    </w:p>
    <w:p>
      <w:r>
        <w:t>By April 2026, according to ECDC, Aedes albopictus was established in 384 EU/EEA administrative units in 16 countries. The evidence is unusually concrete: an entomological surveillance distribution can be mapped against the earlier region-of-risk proposition. But establishment is not a direct measurement of climate causation. Trade, transport, introductions, local breeding habitats and changes in surveillance intensity matter. The ECDC’s stated expansion of 14 units since June 2025 is not the same thing as mechanically subtracting two published totals, because underlying administrative units and revisions can differ. The original study predicted climate *suitability*, not the exact number of mosquito colonies or cases of dengue.</w:t>
      </w:r>
    </w:p>
    <w:p>
      <w:r>
        <w:t>The tree study reveals an inverted biological problem. Field observations reported since 2011 show that many land species are relatively slow to track shifting climate, with some European tree juveniles not moving upslope as a simplistic warming account might suggest. European forest drought and mortality have also reshaped landscapes in ways a migration-cost model alone cannot anticipate. Apparent failure to move may be due to delayed reproduction, altered competition, poor connectivity or mortality. That means the appropriate retrospective comparison is not just a map of observed species locations; it is a decomposition of the processes that produce those locations.</w:t>
      </w:r>
    </w:p>
    <w:p>
      <w:r>
        <w:t>Read together, the two studies offer one of foresight's strongest lessons: a hazard's *plausible ecological niche* is an actionable warning but not a claim that the hazard will occur at every suitable site. Public-health authorities can use potential establishment maps before outbreaks occur, while foresters need corridor, disturbance and regeneration scenarios before future distributions are realized. The most valuable follow-up would build matched climate-suitability versus occupancy data and species-specific migration panels, controlling for introductions and human land use. Doing so could produce a real test of early European ecological foresight—one more rigorous than counting later papers on related topics.</w:t>
      </w:r>
    </w:p>
    <w:p>
      <w:r>
        <w:t>Original and later sources. R24-10 (https://doi.org/10.1098/rsif.2012.0138) (original); outcome evidence (https://www.ecdc.europa.eu/en/publications-data/aedes-albopictus-current-known-distribution-june-2025) (see workbook for dates, metrics and verification limits). P26-10 (https://doi.org/10.1111/j.1466-8238.2011.00669.x) (original); outcome evidence (https://doi.org/10.1111/gcb.12220) (see workbook for dates, metrics and verification limits).</w:t>
      </w:r>
    </w:p>
    <w:p>
      <w:pPr>
        <w:pStyle w:val="Heading1"/>
      </w:pPr>
      <w:r>
        <w:t>5. Better air quality, stubborn ozone, and the value of causal separation</w:t>
      </w:r>
    </w:p>
    <w:p>
      <w:r>
        <w:t>In the early 2010s European atmospheric scientists used sophisticated chemistry-climate models to explore air quality in 2030 and 2050. They were not all presenting forecasts of the same variable. One 2013 study argued that future air-pollutant emissions, more than climate alone, would be the main driver of European air-quality trends. A 2012 multi-model ozone analysis considered changes in population exposure, high-percentile concentrations and averages under different precursor pathways. Another study isolated how climate change could affect ozone-related mortality, holding other drivers fixed. Without those distinctions, hindsight can manufacture contradictory verdicts from perfectly compatible scenarios.</w:t>
      </w:r>
    </w:p>
    <w:p>
      <w:r>
        <w:t>The later evidence does show substantial progress in many precursor emissions. Research cited in the October 2026 package reports European nitrogen-oxide emissions falling by roughly 48% over 2000–2019. This sits alongside improvements in many air-quality indicators, especially where regulation changed combustion technologies and industrial emissions. Ozone is less straightforward. European urban observations can show reductions in intense peaks while background or mean concentrations behave differently. Mortality attributed to ozone depends additionally on who is exposed, on population ageing, on temperature, on geographic transport and on which exposure-response function is used. An air-quality success in one metric does not make a climate-only projection of ozone a failed prediction.</w:t>
      </w:r>
    </w:p>
    <w:p>
      <w:r>
        <w:t>The key comparison problem is causal. Real Europe experienced simultaneous emission cuts, warming, extreme heat, technological change and shifting demographics. A modeled claim such as “climate alone adds ozone-related mortality in a fixed baseline” cannot be tested simply by checking whether total observed European ozone deaths increased. What actually occurred under the combined drivers may even move in the other direction. Likewise, a 2030 or 2050 exposure target is not settled by 2026 observations. It is legitimate to say that regulatory emissions reductions have been material, that climate pressures remain, and that multiple ozone measures have diverged. It is not legitimate to grade the original model without reconstructing its emissions scenario.</w:t>
      </w:r>
    </w:p>
    <w:p>
      <w:r>
        <w:t>This is a constructive finding about foresight, not just a warning about accuracy. The old modeling studies help us identify the counterfactual question that public debate needs: how much better would European air quality have been without global warming, or how much worse without emissions controls? Follow-up authors should match observation stations, thresholds, averages and period definitions; then run updated chemistry models with one factor changed at a time. Only that design can separate a useful conditional anticipation from a coincidental similarity between graphs.</w:t>
      </w:r>
    </w:p>
    <w:p>
      <w:r>
        <w:t>Original and later sources. R24-07 (https://doi.org/10.5194/acp-13-7451-2013) (original); outcome evidence (https://doi.org/10.4209/aaqr.230237) (see workbook for dates, metrics and verification limits). R24-08 (https://doi.org/10.5194/acp-12-10613-2012) (original); outcome evidence (https://doi.org/10.4209/aaqr.230237) (see workbook for dates, metrics and verification limits). R24-09 (https://doi.org/10.1183/09031936.00210411) (original); outcome evidence (https://doi.org/10.4209/aaqr.230237) (see workbook for dates, metrics and verification limits).</w:t>
      </w:r>
    </w:p>
    <w:p>
      <w:pPr>
        <w:pStyle w:val="Heading1"/>
      </w:pPr>
      <w:r>
        <w:t>6. Finland's carbon arithmetic and the unexpectedly weak forest sink</w:t>
      </w:r>
    </w:p>
    <w:p>
      <w:r>
        <w:t>A 2012 Finnish backcasting study explored pathways to a low-emission society by 2050. Backcasting begins with a possible end state and asks which combinations of technology, social change and policy could plausibly reach it. In its historical context, the central story was about moving the energy economy away from carbon-intensive systems. Related European forest-management studies were already probing the tension between timber stocks, annual growth increments, harvesting and climate policy, but the various indicators were not always treated as a single coupled political problem.</w:t>
      </w:r>
    </w:p>
    <w:p>
      <w:r>
        <w:t>The outcome to 2026 is illuminating because Finland did make rapid progress in one part of the carbon account. Official preliminary statistics put greenhouse-gas emissions excluding land use in 2025 at 36.5 million tonnes CO2 equivalent, about 49% below 1990. It would be tempting to call a low-emissions pathway fulfilled ahead of schedule. But Finland also had a 2025 land-use, land-use-change and forestry net emission source of 9.4 million tonnes CO2 equivalent. The full net balance was therefore very different from the energy/industry aggregate. Revisions in forest carbon measurement, timber harvesting, age structure and ecological disturbance make it risky to extrapolate the apparent sectoral success to 2035 neutrality.</w:t>
      </w:r>
    </w:p>
    <w:p>
      <w:r>
        <w:t>This is not simply a statistical trick. A climate policy can reduce combustion emissions while additional harvesting and slower forest growth weaken the sink on which net neutrality depends. European forestry can also face competing goals: preserve carbon in standing trees, maximize biological increment, supply material substitution, and support biodiversity. No single indicator captures all four. The 2013 European woody biomass paper's proposition about maximizing increment rather than standing stock should be read as a conditional management proposal, not an observed verdict that EU stocks or sinks followed its recommendation.</w:t>
      </w:r>
    </w:p>
    <w:p>
      <w:r>
        <w:t>The methodological lesson is that a future defined as “low emissions” differs from a future defined as “net zero,” and the accounting boundary may become politically decisive after the original paper is written. The Finnish case calls for a retrospective *ledger of policy definitions* as well as a ledger of actual emissions. Compare the baseline of the original backcasting pathways with energy-sector inventory, transport inventory, LULUCF net balances, and the date when national targets shifted. Determine whether a shortfall arose from slow technology change, altered policy goals or a forest sink behaving differently than assumed. Without that reconciliation, the same 2025 figures can be made to prove both that foresight succeeded and that it failed. The more scientifically interesting story is that the climate problem acquired a harder second accounting dimension.</w:t>
      </w:r>
    </w:p>
    <w:p>
      <w:r>
        <w:t>Original and later sources. R24-13 (https://doi.org/10.1108/14636681211256099) (original); outcome evidence (https://stat.fi/en/statistics/khki) (see workbook for dates, metrics and verification limits). R24-11 (https://doi.org/10.1186/1750-0680-8-2) (original); outcome evidence (https://doi.org/10.1186/s13021-023-00234-0) (see workbook for dates, metrics and verification limits).</w:t>
      </w:r>
    </w:p>
    <w:p>
      <w:pPr>
        <w:pStyle w:val="Heading1"/>
      </w:pPr>
      <w:r>
        <w:t>7. NHS nurses, Irish obesity and the hazards of trend extrapolation</w:t>
      </w:r>
    </w:p>
    <w:p>
      <w:r>
        <w:t>Two health foresight traditions illustrate opposite ways to be wrong about the amount of change while correctly recognizing what matters. A 2012 study of nursing staff in England warned that the NHS could lose qualified staff by 2022 if training commissions, retirement and retention followed adverse paths. A 2013 Irish obesity modeling paper projected severe increases in adult obesity and associated chronic disease costs by 2030 if earlier prevalence trends persisted. Both studies were conditional. They were designed to expose consequences of a particular continuation, not to guarantee that no policy, recruitment or behaviour would change.</w:t>
      </w:r>
    </w:p>
    <w:p>
      <w:r>
        <w:t>The nursing case shows how a scenario can become obsolete because decision-makers intervene in precisely the variable it highlighted. Official UK government figures record an increase from 300,904 NHS full-time-equivalent nurses in September 2019 to 352,149 in September 2023, a gain of 51,245. Internationally educated recruits contributed heavily. Yet the original workforce study used headcounts across qualified nurses, midwives and health visitors, whereas these later figures cover registered nurses in an NHS FTE definition; they cannot be plotted as two endpoints of the same series without harmonization. Growth does not demonstrate a workforce free of shortages, vacancies or retention risk. It demonstrates that the contraction-risk branch was not the only possible pathway.</w:t>
      </w:r>
    </w:p>
    <w:p>
      <w:r>
        <w:t>The obesity example runs the other way. The health burden remained substantial, but measured and modeled Irish prevalence in the 2020s has been lower than the dramatic 2013 continuation-of-trends extrapolations toward 2030. For comparison, England's 2024 Health Survey, published January 2026, put obesity at 30% of adults, with confidence intervals and survey-method constraints. No English percentage can validate an Irish forecast: age groups, measurement, geography and model populations are different. Even within Ireland, self-reported and measured BMI, NCD-RisC statistical estimates and changes in population structure cannot simply be merged.</w:t>
      </w:r>
    </w:p>
    <w:p>
      <w:r>
        <w:t>The common failure mode is not “health forecasting is bad.” Rather, health systems are reflexive: people, institutions and medical technologies respond to what has been forecast, and the measurement of their response is itself changing. Nursing plans affect recruitment and training; public-health interventions, drugs, consumption and socioeconomic conditions affect obesity rates. A well-designed retrospective should recover each original scenario branch, inspect its assumptions at annual intervals, and re-estimate the uncertainty with consistent national data. The useful lesson for planners is to treat a frightening forecast as a *trigger for monitoring and possible action*, not as a destiny whose absence invalidates the scenario method. An older study can still have anticipated a real planning risk while being far off the later measured staffing or prevalence level.</w:t>
      </w:r>
    </w:p>
    <w:p>
      <w:r>
        <w:t>Original and later sources. R24-16 (https://doi.org/10.1186/1478-4491-10-16) (original); outcome evidence (https://www.nao.org.uk/wp-content/uploads/2020/03/The-NHS-nursing-workforce-Summary.pdf) (see workbook for dates, metrics and verification limits). R24-15 (https://doi.org/10.1371/journal.pone.0079827) (original); outcome evidence (https://doi.org/10.1038/s41586-026-10383-0) (see workbook for dates, metrics and verification limits). R24-14 (https://doi.org/10.1136/jech.2011.142976b.14) (original); outcome evidence (https://assets.publishing.service.gov.uk/government/uploads/system/uploads/attachment_data/file/287937/07-1184x-tackling-obesities-future-choices-report.pdf) (see workbook for dates, metrics and verification limits).</w:t>
      </w:r>
    </w:p>
    <w:p>
      <w:pPr>
        <w:pStyle w:val="Heading1"/>
      </w:pPr>
      <w:r>
        <w:t>8. The European population without newcomers—and Bulgaria's rising productivity</w:t>
      </w:r>
    </w:p>
    <w:p>
      <w:r>
        <w:t>Population ageing was a recurring theme in early European futures research, but it was too often discussed as though demographics mechanically dictated economics. A 2013 immigration study set out business-as-usual, replacement-migration and recruitment variants alongside a deliberate no-immigration shock scenario for the European Union. A 2011 Bulgarian study explored what changing life expectancy and age structure might imply for labour productivity to 2050. The two works ask different questions. The first concerns the role of newcomers in the EU's future population and labour supply. The second tests how demographic composition would affect one country's modeled productivity, with other parameters assumed.</w:t>
      </w:r>
    </w:p>
    <w:p>
      <w:r>
        <w:t>By 2026, Eurostat reported the EU's population at 452 million, and explicitly noted that positive net migration had offset negative natural change since 2012. Actual migration did not follow a smooth manpower-recruitment pathway. The refugee arrivals of 2015, pandemic-year movement restrictions, temporary protection after Russia's full-scale invasion and subsequent labour migration involved different administrative and economic mechanisms. Thus the zero-immigration branch remains useful as a counterfactual: it is not a failed prediction merely because people moved. What matters is whether labor integration, skills recognition and settlement lead to productive participation, not only population headcount.</w:t>
      </w:r>
    </w:p>
    <w:p>
      <w:r>
        <w:t>Bulgaria provides a second check on overly linear demographic reasoning. Eurostat series assembled in the repository show the country's population fell from approximately 7.37 million in 2011 to 6.44 million in 2025, while the proportion aged 65 and over rose. But real labour productivity per person increased by roughly 32% between 2011 and 2024. That does not prove population ageing has no economic cost: productivity per worker can grow through capital, skills, structural change, labour outflow and convergence even if a demographic sensitivity experiment shows a negative ageing contribution relative to another counterfactual. The original model was not an unconditional forecast of falling observed productivity.</w:t>
      </w:r>
    </w:p>
    <w:p>
      <w:r>
        <w:t>The joint lesson is that demographic foresight needs two levels of analysis. Population and age-group arithmetic are comparatively predictable once initial cohorts are known, but migration and economic behaviour introduce politically contingent pathways. Economic pressure emerges from the *difference between scenarios*, not simply the sign of an aggregate indicator. Future reviews should preserve national geographic boundaries, rebuild productivity decompositions, and compare employment and integration alongside migration flows. That method can show what ageing research recognized without attributing to it claims it never made. The European future was not simply “older”; it was older, increasingly migration-dependent and economically divergent across regions.</w:t>
      </w:r>
    </w:p>
    <w:p>
      <w:r>
        <w:t>Original and later sources. R24-18 (https://doi.org/10.2298/SOC1302169A) (original); outcome evidence (https://ec.europa.eu/eurostat/web/main/data/database) (see workbook for dates, metrics and verification limits). P26-11 (https://doi.org/10.5771/1435-2869-2011-4-521) (original); outcome evidence (https://ec.europa.eu/eurostat/databrowser/view/demo_pjanind/default/table?lang=en) (see workbook for dates, metrics and verification limits).</w:t>
      </w:r>
    </w:p>
    <w:p>
      <w:pPr>
        <w:pStyle w:val="Heading1"/>
      </w:pPr>
      <w:r>
        <w:t>9. Security foresight and a railway across an abruptly changed border</w:t>
      </w:r>
    </w:p>
    <w:p>
      <w:r>
        <w:t>Researchers working on Europe's strategic future in 2011–2013 were already discussing the weakness of dependence on outside powers. The FOCUS security project explored possible EU roles in contrasting 2035 global contexts, while another paper warned that relying on the United States could not always be taken for granted. A contemporaneous Finnish-Russian rail study, by contrast, examined a more technical route to European integration: opening bilateral freight transport to competition. Placing these studies side by side reveals the very different assumptions under which Europe imagined connecting itself to the outside world.</w:t>
      </w:r>
    </w:p>
    <w:p>
      <w:r>
        <w:t>The EU security papers were deliberative designs, not point forecasts of exactly which military organization would exist in 2035. Since 2022, Europe has substantially increased national defense spending and introduced EU-level security instruments. The European Defence Agency reported €418 billion of EU-27 member-state defence spending for 2025. That figure is not a measure of EU military unity: decisions and capabilities remain distributed across governments and NATO, and national strategic cultures do not instantly converge when spending rises. The security papers' early attention to dependence and fragmentation remains valuable, but later institutional change occurred under acute external pressure.</w:t>
      </w:r>
    </w:p>
    <w:p>
      <w:r>
        <w:t>The Finnish-Russian rail case shows more forcefully how a scenario may lose its operating world. Finnish transport law and agreements enabled competitive possibilities, but the 2022 invasion, sanctions, border restrictions and commercial withdrawal disrupted the very cross-border market whose liberalisation had been studied. An observer who checks whether freight competition grew by 2026 and says “the 2011 forecast failed” would be obscuring the mechanism. The original proposition was a recommendation conditional on an operating bilateral trade regime, not a prediction of political peace. The meaningful questions are whether competitors entered before 2022, how tariffs and access rights worked, and exactly when war-related changes severed the potential benefits.</w:t>
      </w:r>
    </w:p>
    <w:p>
      <w:r>
        <w:t>Read together, the papers teach that cross-border integration is not automatically a form of resilience. New European networks can create flexibility and exposure at the same time; the value of an open transport link can vanish if the relationship at its other end collapses. In future security scenarios, economic linkages, energy contracts and transport infrastructure should be tested against discontinuities in geopolitical sovereignty and alliance protection. In future hindsight work, researchers should keep separate the efficacy of a policy under its assumed conditions, whether those conditions materialized, and how authorities adjusted after they ceased to exist. That distinction preserves the intellectual usefulness of the FOCUS scenarios and explains why the rail question has been reframed rather than simply answered.</w:t>
      </w:r>
    </w:p>
    <w:p>
      <w:r>
        <w:t>Original and later sources. R24-04 (https://doi.org/10.11610/isij.2902) (original); outcome evidence (https://data.consilium.europa.eu/doc/document/ST-6891-2023-INIT/en/pdf) (see workbook for dates, metrics and verification limits). R24-05 (https://doi.org/10.11610/isij.2912) (original); outcome evidence (https://eda.europa.eu/docs/default-source/eda-publications/2026-eda_defencedata_webpublic.pdf) (see workbook for dates, metrics and verification limits). R24-12 (https://doi.org/10.1504/IJSTL.2011.039377) (original); outcome evidence (https://www.finlex.fi) (see workbook for dates, metrics and verification limits).</w:t>
      </w:r>
    </w:p>
    <w:p>
      <w:pPr>
        <w:pStyle w:val="Heading1"/>
      </w:pPr>
      <w:r>
        <w:t>10. Organic food, paper markets and uneven structural substitution</w:t>
      </w:r>
    </w:p>
    <w:p>
      <w:r>
        <w:t>Sometimes foresight succeeds most clearly not in a major geopolitical shock but in noticing a quietly unfolding market substitution. A 2011 study of organic food demand in Denmark, Italy and the United Kingdom explored continued expansion subject to retail access, prices, trust and policy support. Another 2011 scenario study of Swedish forest-products industries anticipated that information and communication technologies would strongly reduce consumption of printing and newsprint grades, even while packaging, timber construction and other wood products might follow different paths. Both rejected the simplistic idea that an entire sector would grow or shrink uniformly.</w:t>
      </w:r>
    </w:p>
    <w:p>
      <w:r>
        <w:t>Later data show why it is essential to disaggregate. FiBL reported European organic retail sales of €58.7 billion in 2024, far above mid-2010s sales in nominal currency, but the European market also experienced a sales contraction in 2022. Reported euro turnover is not the same as inflation-adjusted food volumes; geography differs between the three original consumer markets and the later whole-Europe totals. An original 2015 scenario should be examined against its own 2015 window first, with later data treated as an extension of the question rather than an after-the-fact extension of its horizon.</w:t>
      </w:r>
    </w:p>
    <w:p>
      <w:r>
        <w:t>The Swedish forest-products analysis provides a more specific substitution story. FAOSTAT material cited in the 2026 pilot shows Swedish graphic-paper production falling from about 5.51 million tonnes in 2010 to about 1.81 million tonnes in 2024, while “other paper and paperboard” rose modestly. ICT changed the market for printed information while e-commerce and packaging altered demand in other grades. The observation is strikingly closer to the original scenario's mechanism than a generic claim that “forestry changed.” It also corrects an earlier editorial account which had said Swedish market data were unavailable. Yet the full 2050 scenarios remain conditional on globalisation, climate concern and choices about timber and bioenergy.</w:t>
      </w:r>
    </w:p>
    <w:p>
      <w:r>
        <w:t>The two cases reveal why market futures are best studied as *replacement processes*. New products substitute for old ones; firms repurpose capital, and consumers alter purchases because of prices as well as values. Headline sector revenue can grow while unit sales fall, and one product grade can collapse while an adjacent one grows. The evidence needed to assess a foresight claim is therefore the same level of product, geography and unit that its mechanism names. An editorial “held” label throws away that scientific detail. A better account specifies the observed substitution, reports what continued and what reversed, and acknowledges the parts of the scenario that remain beyond 2026. This is a more durable kind of foresight achievement than merely finding a line of statistics that happens to slope upward.</w:t>
      </w:r>
    </w:p>
    <w:p>
      <w:r>
        <w:t>Original and later sources. P26-02 (https://doi.org/10.1016/j.njas.2011.01.005) (original); outcome evidence (https://www.fibl.org/en/info-centre/news/european-organic-market-continued-to-grow-in-2014) (see workbook for dates, metrics and verification limits). P26-08 (https://doi.org/10.3390/f2010147) (original); outcome evidence (https://www.fao.org/faostat/en/#data/FO) (see workbook for dates, metrics and verification limits).</w:t>
      </w:r>
    </w:p>
    <w:p>
      <w:pPr>
        <w:pStyle w:val="Heading1"/>
      </w:pPr>
      <w:r>
        <w:t>Evidence and limitations</w:t>
      </w:r>
    </w:p>
    <w:p>
      <w:r>
        <w:t>The companion FORESIGHT-EVIDENCE-AND-UPDATE-TABLES research workbook, imported into the two master workbooks as “Retrospective cases 2026” and “Source evidence 2026”, contains source dates, source URLs, stable record IDs and quality caveats. No case has been automatically promoted to the formally verified outcomes register.</w:t>
      </w:r>
    </w:p>
    <w:p>
      <w:r>
        <w:br w:type="page"/>
      </w:r>
    </w:p>
    <w:p>
      <w:pPr>
        <w:pStyle w:val="Heading1"/>
      </w:pPr>
      <w:r>
        <w:t>Previous edition — preserved original material</w:t>
      </w:r>
    </w:p>
    <w:p>
      <w:r>
        <w:t>The following is the complete material from the earlier repository edition, retained for research continuity and provenance. The updated research and evidence classifications above take precedence. Earlier accuracy scores, tentative assessments, and source links below are historical records and should not be treated as newly verified findings.</w:t>
      </w:r>
    </w:p>
    <w:p>
      <w:pPr>
        <w:pStyle w:val="Eyebrow"/>
      </w:pPr>
      <w:r>
        <w:t>HISTORICAL EUROPEAN FUTURES, REVISITED</w:t>
      </w:r>
    </w:p>
    <w:p>
      <w:pPr>
        <w:pStyle w:val="Title"/>
      </w:pPr>
      <w:r>
        <w:t>Back then.</w:t>
        <w:br/>
        <w:t>And now?</w:t>
      </w:r>
    </w:p>
    <w:p>
      <w:r>
        <w:rPr>
          <w:color w:val="586B72"/>
          <w:sz w:val="28"/>
        </w:rPr>
        <w:t>What Europeans hoped, planned or expected — and what the evidence says happened next. Short stories, not 100 pages of audit logs.</w:t>
      </w:r>
    </w:p>
    <w:p/>
    <w:tbl>
      <w:tblPr>
        <w:tblW w:type="auto" w:w="0"/>
        <w:jc w:val="center"/>
        <w:tblLook w:firstColumn="1" w:firstRow="1" w:lastColumn="0" w:lastRow="0" w:noHBand="0" w:noVBand="1" w:val="04A0"/>
      </w:tblPr>
      <w:tblGrid>
        <w:gridCol w:w="3197"/>
        <w:gridCol w:w="3197"/>
        <w:gridCol w:w="3197"/>
      </w:tblGrid>
      <w:tr>
        <w:tc>
          <w:tcPr>
            <w:tcW w:type="dxa" w:w="3197"/>
            <w:vAlign w:val="center"/>
            <w:shd w:fill="EAF3F0"/>
          </w:tcPr>
          <w:p>
            <w:pPr>
              <w:jc w:val="center"/>
            </w:pPr>
            <w:r>
              <w:rPr>
                <w:b/>
                <w:color w:val="156866"/>
                <w:sz w:val="42"/>
              </w:rPr>
              <w:t>0</w:t>
              <w:br/>
            </w:r>
            <w:r>
              <w:rPr>
                <w:color w:val="1B3440"/>
                <w:sz w:val="16"/>
              </w:rPr>
              <w:t>Real-world snapshots</w:t>
            </w:r>
          </w:p>
        </w:tc>
        <w:tc>
          <w:tcPr>
            <w:tcW w:type="dxa" w:w="3197"/>
            <w:vAlign w:val="center"/>
            <w:shd w:fill="EAF3F0"/>
          </w:tcPr>
          <w:p>
            <w:pPr>
              <w:jc w:val="center"/>
            </w:pPr>
            <w:r>
              <w:rPr>
                <w:b/>
                <w:color w:val="156866"/>
                <w:sz w:val="42"/>
              </w:rPr>
              <w:t>0</w:t>
              <w:br/>
            </w:r>
            <w:r>
              <w:rPr>
                <w:color w:val="1B3440"/>
                <w:sz w:val="16"/>
              </w:rPr>
              <w:t>Reviewed predictions</w:t>
            </w:r>
          </w:p>
        </w:tc>
        <w:tc>
          <w:tcPr>
            <w:tcW w:type="dxa" w:w="3197"/>
            <w:vAlign w:val="center"/>
            <w:shd w:fill="EAF3F0"/>
          </w:tcPr>
          <w:p>
            <w:pPr>
              <w:jc w:val="center"/>
            </w:pPr>
            <w:r>
              <w:rPr>
                <w:b/>
                <w:color w:val="156866"/>
                <w:sz w:val="42"/>
              </w:rPr>
              <w:t>398</w:t>
              <w:br/>
            </w:r>
            <w:r>
              <w:rPr>
                <w:color w:val="1B3440"/>
                <w:sz w:val="16"/>
              </w:rPr>
              <w:t>Research leads behind the scenes</w:t>
            </w:r>
          </w:p>
        </w:tc>
      </w:tr>
    </w:tbl>
    <w:p/>
    <w:p>
      <w:pPr>
        <w:pStyle w:val="Heading1"/>
      </w:pPr>
      <w:r>
        <w:t>The idea</w:t>
      </w:r>
    </w:p>
    <w:p>
      <w:r>
        <w:t>Each story has three simple beats: what was being said, what came afterward, and a short verdict. We do not pretend every scenario was a prediction, or that an academic paper proves something happened in the real world.</w:t>
      </w:r>
    </w:p>
    <w:p>
      <w:pPr>
        <w:pStyle w:val="Heading1"/>
      </w:pPr>
      <w:r>
        <w:t>About the numbers</w:t>
      </w:r>
    </w:p>
    <w:p>
      <w:r>
        <w:t>A score out of 100 can be useful — when it has earned its place. Hindsight grades require an editor to check the original prediction against later independent measurements. For a policy target, we can show a separate 1–100 target-level yardstick; it is not a score for how clever the original idea was.</w:t>
      </w:r>
    </w:p>
    <w:p>
      <w:r>
        <w:rPr>
          <w:i/>
        </w:rPr>
        <w:t>Only source-reviewed comparisons will be presented as outcomes. This is a research-stage edition until those comparisons are available.</w:t>
      </w:r>
    </w:p>
    <w:p>
      <w:pPr>
        <w:pStyle w:val="Heading1"/>
      </w:pPr>
      <w:r>
        <w:t>Research status: evidence still missing</w:t>
      </w:r>
    </w:p>
    <w:p>
      <w:r>
        <w:t>The accepted historical collection is ready, but no original has yet been paired with a source-reviewed, comparable later real-world development. We will not fill this gap with unrelated academic links or treat an imagined scenario as a forecast.</w:t>
      </w:r>
    </w:p>
    <w:p>
      <w:r>
        <w:t>The next tasks are to extract passages from curated EU institutional reports, follow the actual questions from accepted originals, and check later measurements and implementation against them.</w:t>
      </w:r>
    </w:p>
    <w:p>
      <w:pPr>
        <w:pStyle w:val="Heading1"/>
        <w:pageBreakBefore w:val="0"/>
      </w:pPr>
      <w:r>
        <w:t>How to read a hindsight score</w:t>
      </w:r>
    </w:p>
    <w:p>
      <w:r>
        <w:t>The future is messy. So should the judging be curious rather than overconfident.</w:t>
      </w:r>
    </w:p>
    <w:p>
      <w:pPr>
        <w:pStyle w:val="Eyebrow"/>
      </w:pPr>
      <w:r>
        <w:t>A SCORE IS EDITORIAL, NOT A PROBABILITY</w:t>
      </w:r>
    </w:p>
    <w:p>
      <w:r>
        <w:rPr>
          <w:b/>
        </w:rPr>
        <w:t xml:space="preserve">25%  Clarity   </w:t>
      </w:r>
      <w:r>
        <w:t>Could someone at the time tell what was expected, when, and for whom?</w:t>
      </w:r>
    </w:p>
    <w:p>
      <w:r>
        <w:rPr>
          <w:b/>
        </w:rPr>
        <w:t xml:space="preserve">50%  Anticipation   </w:t>
      </w:r>
      <w:r>
        <w:t>How closely did the expectation match later measured developments, including important misses?</w:t>
      </w:r>
    </w:p>
    <w:p>
      <w:r>
        <w:rPr>
          <w:b/>
        </w:rPr>
        <w:t xml:space="preserve">25%  Usefulness   </w:t>
      </w:r>
      <w:r>
        <w:t>Did it offer a concrete way to plan, prepare or make a decision?</w:t>
      </w:r>
    </w:p>
    <w:p>
      <w:pPr>
        <w:pStyle w:val="Heading2"/>
      </w:pPr>
      <w:r>
        <w:t>When there is no number</w:t>
      </w:r>
    </w:p>
    <w:p>
      <w:r>
        <w:t>That is usually a good thing: it means the original forecast has not yet been checked in its full source, the relevant date has not arrived, or the later evidence is about a different place, metric or modeled scenario. A missing score is not zero.</w:t>
      </w:r>
    </w:p>
    <w:p>
      <w:pPr>
        <w:pStyle w:val="Heading2"/>
      </w:pPr>
      <w:r>
        <w:t>For the curious</w:t>
      </w:r>
    </w:p>
    <w:p>
      <w:r>
        <w:t>There are 398 indexed research leads behind this short digest, and 0 reviewed, comparable forecast outcomes. They remain available in the project’s data files. This Word file is meant for reading, not for auditing the scanner.</w:t>
      </w:r>
    </w:p>
    <w:p>
      <w:r>
        <w:t>No prediction is graded just because a related academic abstract exists. The goal is an enjoyable, traceable retrospective — not an impressive-looking but unjustified accuracy table.</w:t>
      </w:r>
    </w:p>
    <w:sectPr w:rsidR="00FC693F" w:rsidRPr="0006063C" w:rsidSect="00034616">
      <w:footerReference w:type="default" r:id="rId9"/>
      <w:pgSz w:w="12240" w:h="15840"/>
      <w:pgMar w:top="1080" w:right="1267" w:bottom="1037" w:left="12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VV FUTURES  |  Evidence-led research · 2026-10-28</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5435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5435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54353"/>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 then. And now?</dc:title>
  <dc:subject>VV FUTURES evidence-led research update | 2026-10-28</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