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Forty research trails to revisit</w:t>
      </w:r>
    </w:p>
    <w:p>
      <w:pPr>
        <w:pStyle w:val="Subtitle"/>
      </w:pPr>
      <w:r>
        <w:t>20 comparison cases to read first · 20 questions to investigate next</w:t>
      </w:r>
    </w:p>
    <w:p>
      <w:pPr/>
      <w:r>
        <w:t>Research edition · 28 October 2026 · Findings are LLM-assisted and source verification varies. No overall forecast-accuracy grade is implied.</w:t>
      </w:r>
    </w:p>
    <w:p>
      <w:r>
        <w:t>The former strongest/weakest automated trail list is retained in repository history. This editorial edition replaces that ranking with substantive source-specific priorities. The cases below are research comparisons, not the twenty “most accurate predictions.”</w:t>
      </w:r>
    </w:p>
    <w:p>
      <w:pPr>
        <w:pStyle w:val="Heading1"/>
      </w:pPr>
      <w:r>
        <w:t>Twenty existing comparisons to review first</w:t>
      </w:r>
    </w:p>
    <w:p>
      <w:pPr>
        <w:pStyle w:val="Heading2"/>
      </w:pPr>
      <w:r>
        <w:t>R24-01. The European Unions Strategic Gas Supply Options and the Prevalence of the Southern Corridor</w:t>
      </w:r>
    </w:p>
    <w:p>
      <w:r>
        <w:rPr>
          <w:b/>
        </w:rPr>
        <w:t xml:space="preserve">Research interpretation: </w:t>
      </w:r>
      <w:r>
        <w:t>The import-dependence warning materialised early, through falling domestic production rather than rising demand. The Southern Corridor became a working supply route but at modest scale; it did not “prevail” as the Union’s central diversification option. The break with Russian gas came through an unexpected geopolitical shock and was achieved mainly through LNG, Norwegian supply and lower demand.</w:t>
      </w:r>
    </w:p>
    <w:p>
      <w:r>
        <w:rPr>
          <w:b/>
        </w:rPr>
        <w:t xml:space="preserve">Status / uncertainty: </w:t>
      </w:r>
      <w:r>
        <w:t>mixed; The original article was read as an abstract only, so the projects it compared (Nabucco, TAP, ITGI, South Stream) and the source of the 80% estimate are unchecked. Corridor milestones such as the 2013 selection of TAP and the July 2022 EU–Azerbaijan memorandum were not verified against primary sources. Partner shares are the reviewer’s calculations from Eurostat data that contain sizeable unallocated volumes, and today’s EU-27 aggregate differs from the EU-28 of 2013.</w:t>
      </w:r>
    </w:p>
    <w:p>
      <w:r>
        <w:rPr>
          <w:b/>
        </w:rPr>
        <w:t xml:space="preserve">Original source: </w:t>
      </w:r>
      <w:r>
        <w:t>https://doi.org/10.54648/eerr2013040</w:t>
      </w:r>
    </w:p>
    <w:p>
      <w:pPr>
        <w:pStyle w:val="Heading2"/>
      </w:pPr>
      <w:r>
        <w:t>R24-02. Scenarios for renewable energy deployment in North African countries and electricity exchange with Europe – A modelbased analysis for 2050</w:t>
      </w:r>
    </w:p>
    <w:p>
      <w:r>
        <w:rPr>
          <w:b/>
        </w:rPr>
        <w:t xml:space="preserve">Research interpretation: </w:t>
      </w:r>
      <w:r>
        <w:t>So far the imagined pathway of large-scale renewable electricity exports from North Africa to Europe has not materialised; the region’s own renewable build-out has been slow outside Morocco, and the export idea has been largely reframed towards hydrogen and selected bilateral interconnectors. Because the scenarios are conditional and their horizon is 2050, they remain formally open, but the intermediate milestones are far out of reach.</w:t>
      </w:r>
    </w:p>
    <w:p>
      <w:r>
        <w:rPr>
          <w:b/>
        </w:rPr>
        <w:t xml:space="preserve">Status / uncertainty: </w:t>
      </w:r>
      <w:r>
        <w:t>premature; The 2014 paper itself could not be opened; scenario details come from its abstract and the same team’s 2016 report. The retreat of the Desertec industrial initiative, the status of proposed interconnectors (for example Morocco–United Kingdom, Tunisia–Italy and Egypt–Greece) and national hydrogen strategies were not verified. Renewable shares are generation shares partly estimated by Ember and aggregated by the reviewer.</w:t>
      </w:r>
    </w:p>
    <w:p>
      <w:r>
        <w:rPr>
          <w:b/>
        </w:rPr>
        <w:t xml:space="preserve">Original source: </w:t>
      </w:r>
      <w:r>
        <w:t>https://doi.org/10.12720/sgce.3.3.299-306</w:t>
      </w:r>
    </w:p>
    <w:p>
      <w:pPr>
        <w:pStyle w:val="Heading2"/>
      </w:pPr>
      <w:r>
        <w:t>R24-03. The feasibility of a European‐wide integrated CO 2 transport network</w:t>
      </w:r>
    </w:p>
    <w:p>
      <w:r>
        <w:rPr>
          <w:b/>
        </w:rPr>
        <w:t xml:space="preserve">Research interpretation: </w:t>
      </w:r>
      <w:r>
        <w:t>The study’s core insight — that CCS at scale in Europe requires transboundary transport and offshore storage — has been absorbed into EU policy, but the envisaged integrated pipeline network has been delayed by roughly a decade and reshaped into clusters linked by shipping, with 2030 ambitions at the low end of the 2014 scenarios. The 2050 horizon remains open.</w:t>
      </w:r>
    </w:p>
    <w:p>
      <w:r>
        <w:rPr>
          <w:b/>
        </w:rPr>
        <w:t xml:space="preserve">Status / uncertainty: </w:t>
      </w:r>
      <w:r>
        <w:t>mixed; The original was read as an accepted manuscript; its abstract and body give inconsistent figures for the cost increase without onshore storage. Cost figures are not comparable across sources (2010 pipeline capital costs versus 2024 estimates that include shipping). The status of other flagship projects (Porthos, Greensand, UK cluster investments) and total operational CCS capacity in Europe were not verified. The Northern Lights information comes from trade press rather than the operator.</w:t>
      </w:r>
    </w:p>
    <w:p>
      <w:r>
        <w:rPr>
          <w:b/>
        </w:rPr>
        <w:t xml:space="preserve">Original source: </w:t>
      </w:r>
      <w:r>
        <w:t>https://doi.org/10.1002/ghg.1410</w:t>
      </w:r>
    </w:p>
    <w:p>
      <w:pPr>
        <w:pStyle w:val="Heading2"/>
      </w:pPr>
      <w:r>
        <w:t>R24-04. Analytical support to foresighting EU roles as a Global Security Actor</w:t>
      </w:r>
    </w:p>
    <w:p>
      <w:r>
        <w:rPr>
          <w:b/>
        </w:rPr>
        <w:t xml:space="preserve">Research interpretation: </w:t>
      </w:r>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r>
        <w:rPr>
          <w:b/>
        </w:rPr>
        <w:t xml:space="preserve">Status / uncertainty: </w:t>
      </w:r>
      <w:r>
        <w:t>premature; The original was read through text extraction of a mirror copy, and the full FOCUS scenario deliverables were not read. Much of the later evidence is official self-reporting or national spending aggregates. No evaluation was found of whether FOCUS shaped EU security-research planning, and the operational status of the EU Rapid Deployment Capacity in 2025 was not verified.</w:t>
      </w:r>
    </w:p>
    <w:p>
      <w:r>
        <w:rPr>
          <w:b/>
        </w:rPr>
        <w:t xml:space="preserve">Original source: </w:t>
      </w:r>
      <w:r>
        <w:t>https://doi.org/10.11610/isij.2902</w:t>
      </w:r>
    </w:p>
    <w:p>
      <w:pPr>
        <w:pStyle w:val="Heading2"/>
      </w:pPr>
      <w:r>
        <w:t>R24-05. Towards Europe 2035 - In Search of the Archimedean Screw: FOCUS in Perspective</w:t>
      </w:r>
    </w:p>
    <w:p>
      <w:r>
        <w:rPr>
          <w:b/>
        </w:rPr>
        <w:t xml:space="preserve">Research interpretation: </w:t>
      </w:r>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b/>
        </w:rPr>
        <w:t xml:space="preserve">Status / uncertainty: </w:t>
      </w:r>
      <w:r>
        <w:t>premature; The original was read through extraction of a mirror copy and not every paragraph was read closely. The 2026 sources were assessed from abstracts. Spending figures are not comparable across 2013–2025, and the follow-up to FOCUS was not traced.</w:t>
      </w:r>
    </w:p>
    <w:p>
      <w:r>
        <w:rPr>
          <w:b/>
        </w:rPr>
        <w:t xml:space="preserve">Original source: </w:t>
      </w:r>
      <w:r>
        <w:t>https://doi.org/10.11610/isij.2912</w:t>
      </w:r>
    </w:p>
    <w:p>
      <w:pPr>
        <w:pStyle w:val="Heading2"/>
      </w:pPr>
      <w:r>
        <w:t>R24-06. The Purpose and Pitfalls of Constructivist Forecasting: Insights from Strategic Culture Research for the European Union’s Evolution as a Military Power1</w:t>
      </w:r>
    </w:p>
    <w:p>
      <w:r>
        <w:rPr>
          <w:b/>
        </w:rPr>
        <w:t xml:space="preserve">Research interpretation: </w:t>
      </w:r>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b/>
        </w:rPr>
        <w:t xml:space="preserve">Status / uncertainty: </w:t>
      </w:r>
      <w:r>
        <w:t>not directly testable; Only the abstract and reference list of the original were read; an accepted manuscript appears to exist in the King’s College London repository but could not be opened. Most later sources were assessed from abstracts. The first-author initials of two 2026 items were not verified.</w:t>
      </w:r>
    </w:p>
    <w:p>
      <w:r>
        <w:rPr>
          <w:b/>
        </w:rPr>
        <w:t xml:space="preserve">Original source: </w:t>
      </w:r>
      <w:r>
        <w:t>https://doi.org/10.1111/j.1468-2478.2011.00648.x</w:t>
      </w:r>
    </w:p>
    <w:p>
      <w:pPr>
        <w:pStyle w:val="Heading2"/>
      </w:pPr>
      <w:r>
        <w:t>R24-07. European atmosphere in 2050, a regional air quality and climate perspective under CMIP5 scenarios</w:t>
      </w:r>
    </w:p>
    <w:p>
      <w:r>
        <w:rPr>
          <w:b/>
        </w:rPr>
        <w:t xml:space="preserve">Research interpretation: </w:t>
      </w:r>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b/>
        </w:rPr>
        <w:t xml:space="preserve">Status / uncertainty: </w:t>
      </w:r>
      <w:r>
        <w:t>premature; No observational study isolating the climate penalty in Europe was verified. Monitoring after 2021, including EEA status reports and the 2022–2025 heat summers, was not checked. Some table values were read through text extraction of the publisher PDF and should be spot-checked.</w:t>
      </w:r>
    </w:p>
    <w:p>
      <w:r>
        <w:rPr>
          <w:b/>
        </w:rPr>
        <w:t xml:space="preserve">Original source: </w:t>
      </w:r>
      <w:r>
        <w:t>https://doi.org/10.5194/acp-13-7451-2013</w:t>
      </w:r>
    </w:p>
    <w:p>
      <w:pPr>
        <w:pStyle w:val="Heading2"/>
      </w:pPr>
      <w:r>
        <w:t>R24-08. Future air quality in Europe: a multi-model assessment of projected exposure to ozone</w:t>
      </w:r>
    </w:p>
    <w:p>
      <w:r>
        <w:rPr>
          <w:b/>
        </w:rPr>
        <w:t xml:space="preserve">Research interpretation: </w:t>
      </w:r>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b/>
        </w:rPr>
        <w:t xml:space="preserve">Status / uncertainty: </w:t>
      </w:r>
      <w:r>
        <w:t>premature; Monitoring data for 2020–2025, including EEA status reports and the 2022–2023 heat summers, were not verified. The model comparison in Aas et al. concerns a hindcast, not this ensemble. The SOMO35 figures in the original differ slightly between tables and abstract.</w:t>
      </w:r>
    </w:p>
    <w:p>
      <w:r>
        <w:rPr>
          <w:b/>
        </w:rPr>
        <w:t xml:space="preserve">Original source: </w:t>
      </w:r>
      <w:r>
        <w:t>https://doi.org/10.5194/acp-12-10613-2012</w:t>
      </w:r>
    </w:p>
    <w:p>
      <w:pPr>
        <w:pStyle w:val="Heading2"/>
      </w:pPr>
      <w:r>
        <w:t>R24-09. Impact of climate change on ozone-related mortality and morbidity in Europe</w:t>
      </w:r>
    </w:p>
    <w:p>
      <w:r>
        <w:rPr>
          <w:b/>
        </w:rPr>
        <w:t xml:space="preserve">Research interpretation: </w:t>
      </w:r>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b/>
        </w:rPr>
        <w:t xml:space="preserve">Status / uncertainty: </w:t>
      </w:r>
      <w:r>
        <w:t>premature; The original full text was not accessed, so its assumptions are confirmed only through the authors’ 2017 review. No observational attribution of the climate penalty was verified. EEA burden-of-disease series for ozone were not checked, and estimates differ widely by method.</w:t>
      </w:r>
    </w:p>
    <w:p>
      <w:r>
        <w:rPr>
          <w:b/>
        </w:rPr>
        <w:t xml:space="preserve">Original source: </w:t>
      </w:r>
      <w:r>
        <w:t>https://doi.org/10.1183/09031936.00210411</w:t>
      </w:r>
    </w:p>
    <w:p>
      <w:pPr>
        <w:pStyle w:val="Heading2"/>
      </w:pPr>
      <w:r>
        <w:t>R24-10. Suitability of European climate for the Asian tiger mosquito Aedes albopictus : recent trends and future scenarios</w:t>
      </w:r>
    </w:p>
    <w:p>
      <w:r>
        <w:rPr>
          <w:b/>
        </w:rPr>
        <w:t xml:space="preserve">Research interpretation: </w:t>
      </w:r>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r>
        <w:rPr>
          <w:b/>
        </w:rPr>
        <w:t xml:space="preserve">Status / uncertainty: </w:t>
      </w:r>
      <w:r>
        <w:t>supported; ECDC counts record reported establishment in administrative units; they depend on surveillance effort and unit definitions and cannot measure climatic suitability. The April 2026 total exceeds the June 2025 total by 15 units while ECDC reports 14 new units; the difference is unexplained. Suitability, establishment, abundance and transmission are distinct quantities measured differently by the later studies. The UK’s establishment status was not verified.</w:t>
      </w:r>
    </w:p>
    <w:p>
      <w:r>
        <w:rPr>
          <w:b/>
        </w:rPr>
        <w:t xml:space="preserve">Original source: </w:t>
      </w:r>
      <w:r>
        <w:t>https://doi.org/10.1098/rsif.2012.0138</w:t>
      </w:r>
    </w:p>
    <w:p>
      <w:pPr>
        <w:pStyle w:val="Heading2"/>
      </w:pPr>
      <w:r>
        <w:t>R24-11. Potential stocks and increments of woody biomass in the European Union under different management and climate scenarios</w:t>
      </w:r>
    </w:p>
    <w:p>
      <w:r>
        <w:rPr>
          <w:b/>
        </w:rPr>
        <w:t xml:space="preserve">Research interpretation: </w:t>
      </w:r>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b/>
        </w:rPr>
        <w:t xml:space="preserve">Status / uncertainty: </w:t>
      </w:r>
      <w:r>
        <w:t>premature; Only the abstract of the 2026 disturbance study was available, so the reference period of the 46% figure is unverified. The 2023 study of global young-forest biomass cited in the earlier account was checked at metadata level only. The latest EEA inventory figures (2022–2024), State of Europe’s Forests 2025 and the debate on harvest trends (2020–2021) were not read. The model’s stem-carbon metric is not directly comparable with inventory sinks, which are frequently recalculated.</w:t>
      </w:r>
    </w:p>
    <w:p>
      <w:r>
        <w:rPr>
          <w:b/>
        </w:rPr>
        <w:t xml:space="preserve">Original source: </w:t>
      </w:r>
      <w:r>
        <w:t>https://doi.org/10.1186/1750-0680-8-2</w:t>
      </w:r>
    </w:p>
    <w:p>
      <w:pPr>
        <w:pStyle w:val="Heading2"/>
      </w:pPr>
      <w:r>
        <w:t>R24-12. Finland-Russia rail transport deregulation: future scenarios of market development</w:t>
      </w:r>
    </w:p>
    <w:p>
      <w:r>
        <w:rPr>
          <w:b/>
        </w:rPr>
        <w:t xml:space="preserve">Research interpretation: </w:t>
      </w:r>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b/>
        </w:rPr>
        <w:t xml:space="preserve">Status / uncertainty: </w:t>
      </w:r>
      <w:r>
        <w:t>mixed; Only the abstract of the original was available, so the content of the three scenarios is unknown. Evidence on market entry rests on a sample of open train data and trade press, not on a full operator analysis; prices and sanctions provisions were not examined. The status of individual border crossings after late 2023 could not be verified. Publisher URLs are given at site level where article-level addresses were not recorded.</w:t>
      </w:r>
    </w:p>
    <w:p>
      <w:r>
        <w:rPr>
          <w:b/>
        </w:rPr>
        <w:t xml:space="preserve">Original source: </w:t>
      </w:r>
      <w:r>
        <w:t>https://doi.org/10.1504/IJSTL.2011.039377</w:t>
      </w:r>
    </w:p>
    <w:p>
      <w:pPr>
        <w:pStyle w:val="Heading2"/>
      </w:pPr>
      <w:r>
        <w:t>R24-13. Backcasting scenarios for Finland 2050 of low emissions</w:t>
      </w:r>
    </w:p>
    <w:p>
      <w:r>
        <w:rPr>
          <w:b/>
        </w:rPr>
        <w:t xml:space="preserve">Research interpretation: </w:t>
      </w:r>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b/>
        </w:rPr>
        <w:t xml:space="preserve">Status / uncertainty: </w:t>
      </w:r>
      <w:r>
        <w:t>premature; Neither the 2012 article nor its underlying 2010 scenario report could be read, so the scenario names, energy mixes and treatment of carbon sinks are unverified; the target state was reconstructed from the 2009 government report as described in parliamentary documents. Land-sector figures are revised substantially between inventory releases, and 2025 figures are preliminary. Some institutional sources are cited at site level where the specific page address was not recorded; the strategy URN should be checked before integration.</w:t>
      </w:r>
    </w:p>
    <w:p>
      <w:r>
        <w:rPr>
          <w:b/>
        </w:rPr>
        <w:t xml:space="preserve">Original source: </w:t>
      </w:r>
      <w:r>
        <w:t>https://doi.org/10.1108/14636681211256099</w:t>
      </w:r>
    </w:p>
    <w:p>
      <w:pPr>
        <w:pStyle w:val="Heading2"/>
      </w:pPr>
      <w:r>
        <w:t>R24-14. O4-2.1 Foresight tackling obesities: future choices</w:t>
      </w:r>
    </w:p>
    <w:p>
      <w:r>
        <w:rPr>
          <w:b/>
        </w:rPr>
        <w:t xml:space="preserve">Research interpretation: </w:t>
      </w:r>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r>
        <w:rPr>
          <w:b/>
        </w:rPr>
        <w:t xml:space="preserve">Status / uncertainty: </w:t>
      </w:r>
      <w:r>
        <w:t>mixed; The original is a conference abstract without figures; the projections come from the 2007 Foresight reports. Health Survey for England headline figures cover adults aged 16 and over rather than the 21–60 band of the projections, and the 2025 survey results are not yet published. NCD-RisC values are modelled estimates. Child measures use different definitions. The levy evidence is associational, and GLP-1 uptake and its effects were not verified.</w:t>
      </w:r>
    </w:p>
    <w:p>
      <w:r>
        <w:rPr>
          <w:b/>
        </w:rPr>
        <w:t xml:space="preserve">Original source: </w:t>
      </w:r>
      <w:r>
        <w:t>https://doi.org/10.1136/jech.2011.142976b.14</w:t>
      </w:r>
    </w:p>
    <w:p>
      <w:pPr>
        <w:pStyle w:val="Heading2"/>
      </w:pPr>
      <w:r>
        <w:t>R24-15. Application of the UK Foresight Obesity Model in Ireland: The Health and Economic Consequences of Projected Obesity Trends in Ireland</w:t>
      </w:r>
    </w:p>
    <w:p>
      <w:r>
        <w:rPr>
          <w:b/>
        </w:rPr>
        <w:t xml:space="preserve">Research interpretation: </w:t>
      </w:r>
      <w:r>
        <w:t>Partly along the envisioned pathway — adult obesity in Ireland is high and still rising — but much more slowly than the extrapolation implied. The 2030 horizon has not arrived, yet the projected prevalence now looks very unlikely, mainly because the steep early trend fitted to few, partly self-reported data points did not continue. The cost projection remains open and unverified.</w:t>
      </w:r>
    </w:p>
    <w:p>
      <w:r>
        <w:rPr>
          <w:b/>
        </w:rPr>
        <w:t xml:space="preserve">Status / uncertainty: </w:t>
      </w:r>
      <w:r>
        <w:t>premature; NCD-RisC values are modelled estimates with wide intervals for Ireland, and the measurement modes of the Irish surveys were not verified, so their lower figures may partly reflect self-report. The paper’s supplementary projections for 2020 were not read, so the authors’ own interim checkpoint could not be compared. No post-2013 Irish cost study was examined, and Irish policy and pharmacological developments were not verified.</w:t>
      </w:r>
    </w:p>
    <w:p>
      <w:r>
        <w:rPr>
          <w:b/>
        </w:rPr>
        <w:t xml:space="preserve">Original source: </w:t>
      </w:r>
      <w:r>
        <w:t>https://doi.org/10.1371/journal.pone.0079827</w:t>
      </w:r>
    </w:p>
    <w:p>
      <w:pPr>
        <w:pStyle w:val="Heading2"/>
      </w:pPr>
      <w:r>
        <w:t>R24-16. Using scenarios to assess the future supply of NHS nursing staff in England</w:t>
      </w:r>
    </w:p>
    <w:p>
      <w:r>
        <w:rPr>
          <w:b/>
        </w:rPr>
        <w:t xml:space="preserve">Research interpretation: </w:t>
      </w:r>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r>
        <w:rPr>
          <w:b/>
        </w:rPr>
        <w:t xml:space="preserve">Status / uncertainty: </w:t>
      </w:r>
      <w:r>
        <w:t>mixed; The 2012 projections count headcount, including midwives and health visitors, whereas most later official series report FTE with different staff-group definitions, so comparison with the scenario end points is approximate. Vacancy statistics are experimental, depend on recorded establishments and changed source around 2019–2020. NMC data cover the whole UK and all employers. Trends in training commissions for 2011–2016 and the reasons for the fall in vacancies after 2023 were not verified. Some publisher URLs are given at site level.</w:t>
      </w:r>
    </w:p>
    <w:p>
      <w:r>
        <w:rPr>
          <w:b/>
        </w:rPr>
        <w:t xml:space="preserve">Original source: </w:t>
      </w:r>
      <w:r>
        <w:t>https://doi.org/10.1186/1478-4491-10-16</w:t>
      </w:r>
    </w:p>
    <w:p>
      <w:pPr>
        <w:pStyle w:val="Heading2"/>
      </w:pPr>
      <w:r>
        <w:t>R24-17. Health impact assessment of waste management facilities in three European countries</w:t>
      </w:r>
    </w:p>
    <w:p>
      <w:r>
        <w:rPr>
          <w:b/>
        </w:rPr>
        <w:t xml:space="preserve">Research interpretation: </w:t>
      </w:r>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r>
        <w:rPr>
          <w:b/>
        </w:rPr>
        <w:t xml:space="preserve">Status / uncertainty: </w:t>
      </w:r>
      <w:r>
        <w:t>not directly testable; The later epidemiological evidence was assessed from abstracts. No study was identified that re-estimates the cancer burden near incinerators in the three countries after 2011. Incineration figures are for the UK rather than England, and plant numbers were not verified. Eurostat’s 2001 baselines differ from the paper’s own table.</w:t>
      </w:r>
    </w:p>
    <w:p>
      <w:r>
        <w:rPr>
          <w:b/>
        </w:rPr>
        <w:t xml:space="preserve">Original source: </w:t>
      </w:r>
      <w:r>
        <w:t>https://doi.org/10.1186/1476-069X-10-53</w:t>
      </w:r>
    </w:p>
    <w:p>
      <w:pPr>
        <w:pStyle w:val="Heading2"/>
      </w:pPr>
      <w:r>
        <w:t>R24-18. Immigration and integration scenarios in global Europe: Forward-looking up to 2050</w:t>
      </w:r>
    </w:p>
    <w:p>
      <w:r>
        <w:rPr>
          <w:b/>
        </w:rPr>
        <w:t xml:space="preserve">Research interpretation: </w:t>
      </w:r>
      <w:r>
        <w:t>The methodological recommendation developed broadly along the envisioned pathway: integration and labour-market scenarios became standard companions of EU population projections. The migration pathway itself was transformed by unexpected events — an asylum surge, a pandemic and a war — rather than shaped by planned recruitment, and the zero-immigration storyline survives as a counterfactual reference case in official projections. The 2050 horizon has not been reached.</w:t>
      </w:r>
    </w:p>
    <w:p>
      <w:r>
        <w:rPr>
          <w:b/>
        </w:rPr>
        <w:t xml:space="preserve">Status / uncertainty: </w:t>
      </w:r>
      <w:r>
        <w:t>not directly testable; The original article could be assessed only from its abstract, so its specific projection figures, scenario names and listed social consequences of zero immigration remain unchecked. Eurostat net migration is a residual measure with series breaks and provisional recent values. The JRC–IIASA scenarios cover the EU-28 including the United Kingdom and model labour supply only. Recent policy milestones (the 2024 Pact on Migration and Asylum, the 2021–2027 integration action plan, the EU Talent Pool) were not verified in this review and are therefore not used.</w:t>
      </w:r>
    </w:p>
    <w:p>
      <w:r>
        <w:rPr>
          <w:b/>
        </w:rPr>
        <w:t xml:space="preserve">Original source: </w:t>
      </w:r>
      <w:r>
        <w:t>https://doi.org/10.2298/SOC1302169A</w:t>
      </w:r>
    </w:p>
    <w:p>
      <w:pPr>
        <w:pStyle w:val="Heading2"/>
      </w:pPr>
      <w:r>
        <w:t>R24-19. Superconductivity and the environment: a Roadmap</w:t>
      </w:r>
    </w:p>
    <w:p>
      <w:r>
        <w:rPr>
          <w:b/>
        </w:rPr>
        <w:t xml:space="preserve">Research interpretation: </w:t>
      </w:r>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b/>
        </w:rPr>
        <w:t xml:space="preserve">Status / uncertainty: </w:t>
      </w:r>
      <w:r>
        <w:t>unresolved; The roadmap was assessed from its abstract only, so section-level expectations and any dated milestones are unchecked. No later evidence on superconductor deployment was verified. The energy-demand statistics in the earlier account (wind and solar growth in 2024, fossil-fuel use) could not be traced to identifiable documents. The claim’s European scope is marginal.</w:t>
      </w:r>
    </w:p>
    <w:p>
      <w:r>
        <w:rPr>
          <w:b/>
        </w:rPr>
        <w:t xml:space="preserve">Original source: </w:t>
      </w:r>
      <w:r>
        <w:t>https://doi.org/10.1088/0953-2048/26/11/113001</w:t>
      </w:r>
    </w:p>
    <w:p>
      <w:pPr>
        <w:pStyle w:val="Heading2"/>
      </w:pPr>
      <w:r>
        <w:t>P26-01. How far away is hydrogen? Its role in the medium and long-term decarbonisation of the European energy system</w:t>
      </w:r>
    </w:p>
    <w:p>
      <w:r>
        <w:rPr>
          <w:b/>
        </w:rPr>
        <w:t xml:space="preserve">Research interpretation: </w:t>
      </w:r>
      <w:r>
        <w:t>{"similarities": "The 2015 JRC-EU-TIMES paper treats hydrogen as a plausible decarbonisation technology where sustained carbon policy changes long-run incentives. Operational electrolysers and a developing final-investment-decision pipeline show that an industry is materialising.", "differences":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 "still_unestablished":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 "present_relevance": "A July 2026 EU-body report provides an operational E</w:t>
      </w:r>
    </w:p>
    <w:p>
      <w:r>
        <w:rPr>
          <w:b/>
        </w:rPr>
        <w:t xml:space="preserve">Status / uncertainty: </w:t>
      </w:r>
      <w:r>
        <w:t>premature;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r>
        <w:rPr>
          <w:b/>
        </w:rPr>
        <w:t xml:space="preserve">Original source: </w:t>
      </w:r>
      <w:r>
        <w:t>https://doi.org/10.1016/j.ijhydene.2015.09.004</w:t>
      </w:r>
    </w:p>
    <w:p>
      <w:pPr>
        <w:pStyle w:val="Heading1"/>
      </w:pPr>
      <w:r>
        <w:t>Twenty high-value research questions</w:t>
      </w:r>
    </w:p>
    <w:p>
      <w:pPr>
        <w:pStyle w:val="Heading2"/>
      </w:pPr>
      <w:r>
        <w:t>GAP-01. What share of the EU hydrogen project pipeline reaches commissioned production before 2030?</w:t>
      </w:r>
    </w:p>
    <w:p>
      <w:r>
        <w:rPr>
          <w:b/>
        </w:rPr>
        <w:t xml:space="preserve">Specific investigation: </w:t>
      </w:r>
      <w:r>
        <w:t>Compare ACER annual installed capacity, JRC tracking and independent market data to original carbon-cap scenario; separate EU from wider-Europe and input from output MW.</w:t>
      </w:r>
    </w:p>
    <w:p>
      <w:r>
        <w:rPr>
          <w:b/>
        </w:rPr>
        <w:t xml:space="preserve">Original record: </w:t>
      </w:r>
      <w:r>
        <w:t>claim-af58b0bea2ac0aaa · https://doi.org/10.1016/j.ijhydene.2015.09.004</w:t>
      </w:r>
    </w:p>
    <w:p>
      <w:pPr>
        <w:pStyle w:val="Heading2"/>
      </w:pPr>
      <w:r>
        <w:t>GAP-02. Will Finland meet 2035 net-zero once land-use emissions are included?</w:t>
      </w:r>
    </w:p>
    <w:p>
      <w:r>
        <w:rPr>
          <w:b/>
        </w:rPr>
        <w:t xml:space="preserve">Specific investigation: </w:t>
      </w:r>
      <w:r>
        <w:t>Audit Statistics Finland revised inventory and Luke forest sink, stress-test harvest and land-area assumptions; compare net versus non-land-use pathways.</w:t>
      </w:r>
    </w:p>
    <w:p>
      <w:r>
        <w:rPr>
          <w:b/>
        </w:rPr>
        <w:t xml:space="preserve">Original record: </w:t>
      </w:r>
      <w:r>
        <w:t>claim-93d981a3ef93589e · https://doi.org/10.1108/14636681211256099</w:t>
      </w:r>
    </w:p>
    <w:p>
      <w:pPr>
        <w:pStyle w:val="Heading2"/>
      </w:pPr>
      <w:r>
        <w:t>GAP-03. Do CRMA strategic projects measurably reduce single-country supply concentration by 2030?</w:t>
      </w:r>
    </w:p>
    <w:p>
      <w:r>
        <w:rPr>
          <w:b/>
        </w:rPr>
        <w:t xml:space="preserve">Specific investigation: </w:t>
      </w:r>
      <w:r>
        <w:t>Follow ECA special report 04/2026; build material-level data for 17 strategic minerals and track operating rather than designated capacity.</w:t>
      </w:r>
    </w:p>
    <w:p>
      <w:r>
        <w:rPr>
          <w:b/>
        </w:rPr>
        <w:t xml:space="preserve">Original record: </w:t>
      </w:r>
      <w:r>
        <w:t>report-3eff29ec207eb208 · https://commission.europa.eu/strategy-and-policy/strategic-foresight/2022-strategic-foresight-report_en</w:t>
      </w:r>
    </w:p>
    <w:p>
      <w:pPr>
        <w:pStyle w:val="Heading2"/>
      </w:pPr>
      <w:r>
        <w:t>GAP-04. Which mechanism explains the 2013 gas-demand forecast divergence?</w:t>
      </w:r>
    </w:p>
    <w:p>
      <w:r>
        <w:rPr>
          <w:b/>
        </w:rPr>
        <w:t xml:space="preserve">Specific investigation: </w:t>
      </w:r>
      <w:r>
        <w:t>Retrieve Kluwer full paper and historical EU consumption/production balance; isolate changing consumption, production and supplier concentration.</w:t>
      </w:r>
    </w:p>
    <w:p>
      <w:r>
        <w:rPr>
          <w:b/>
        </w:rPr>
        <w:t xml:space="preserve">Original record: </w:t>
      </w:r>
      <w:r>
        <w:t>claim-c8bd592f750e834c · https://doi.org/10.54648/eerr2013040</w:t>
      </w:r>
    </w:p>
    <w:p>
      <w:pPr>
        <w:pStyle w:val="Heading2"/>
      </w:pPr>
      <w:r>
        <w:t>GAP-05. How much physical EU CO2 storage and cross-border transport will exist by 2030?</w:t>
      </w:r>
    </w:p>
    <w:p>
      <w:r>
        <w:rPr>
          <w:b/>
        </w:rPr>
        <w:t xml:space="preserve">Specific investigation: </w:t>
      </w:r>
      <w:r>
        <w:t>Audit Northern Lights and EU projects annually; distinguish 50 Mt 2030 legal goal from installed injection and delivered storage.</w:t>
      </w:r>
    </w:p>
    <w:p>
      <w:r>
        <w:rPr>
          <w:b/>
        </w:rPr>
        <w:t xml:space="preserve">Original record: </w:t>
      </w:r>
      <w:r>
        <w:t>claim-29bd38aa3695dbd3 · https://doi.org/10.1002/ghg.1410</w:t>
      </w:r>
    </w:p>
    <w:p>
      <w:pPr>
        <w:pStyle w:val="Heading2"/>
      </w:pPr>
      <w:r>
        <w:t>GAP-06. Did North Africa-to-Europe electricity exports lag because of political, economic or technical constraints?</w:t>
      </w:r>
    </w:p>
    <w:p>
      <w:r>
        <w:rPr>
          <w:b/>
        </w:rPr>
        <w:t xml:space="preserve">Specific investigation: </w:t>
      </w:r>
      <w:r>
        <w:t>Rebuild 2014 four scenarios and compare plant additions and cross-border traded MWh for each country; separate proposed cables and hydrogen trade.</w:t>
      </w:r>
    </w:p>
    <w:p>
      <w:r>
        <w:rPr>
          <w:b/>
        </w:rPr>
        <w:t xml:space="preserve">Original record: </w:t>
      </w:r>
      <w:r>
        <w:t>claim-b2a08bb4b054505c · https://doi.org/10.12720/sgce.3.3.299-306</w:t>
      </w:r>
    </w:p>
    <w:p>
      <w:pPr>
        <w:pStyle w:val="Heading2"/>
      </w:pPr>
      <w:r>
        <w:t>GAP-07. How well did the 2012 mosquito model forecast regional establishment when trade and surveillance are controlled?</w:t>
      </w:r>
    </w:p>
    <w:p>
      <w:r>
        <w:rPr>
          <w:b/>
        </w:rPr>
        <w:t xml:space="preserve">Specific investigation: </w:t>
      </w:r>
      <w:r>
        <w:t>Geospatial hindcast with harmonised EU/EEA units, trade importation proxies and surveillance intensity, then test climate-only and joint explanations.</w:t>
      </w:r>
    </w:p>
    <w:p>
      <w:r>
        <w:rPr>
          <w:b/>
        </w:rPr>
        <w:t xml:space="preserve">Original record: </w:t>
      </w:r>
      <w:r>
        <w:t>claim-e0f3cbcdc25788f2 · https://doi.org/10.1098/rsif.2012.0138</w:t>
      </w:r>
    </w:p>
    <w:p>
      <w:pPr>
        <w:pStyle w:val="Heading2"/>
      </w:pPr>
      <w:r>
        <w:t>GAP-08. Are long-lived European tree species keeping pace with climatic range shifts?</w:t>
      </w:r>
    </w:p>
    <w:p>
      <w:r>
        <w:rPr>
          <w:b/>
        </w:rPr>
        <w:t xml:space="preserve">Specific investigation: </w:t>
      </w:r>
      <w:r>
        <w:t>Reconstruct 2011 model grid and compare with ICP Forests 2020s plots, including disturbance and drought mortality.</w:t>
      </w:r>
    </w:p>
    <w:p>
      <w:r>
        <w:rPr>
          <w:b/>
        </w:rPr>
        <w:t xml:space="preserve">Original record: </w:t>
      </w:r>
      <w:r>
        <w:t>claim-529dd495e6d148e4 · https://doi.org/10.1111/j.1466-8238.2011.00669.x</w:t>
      </w:r>
    </w:p>
    <w:p>
      <w:pPr>
        <w:pStyle w:val="Heading2"/>
      </w:pPr>
      <w:r>
        <w:t>GAP-09. Have 2030 EU ozone indicators followed the 2012 model’s high- versus low-emission paths?</w:t>
      </w:r>
    </w:p>
    <w:p>
      <w:r>
        <w:rPr>
          <w:b/>
        </w:rPr>
        <w:t xml:space="preserve">Specific investigation: </w:t>
      </w:r>
      <w:r>
        <w:t>Retrieve model tables; align SOMO35, maximum daily 8-hour mean and growing-season metrics in EEA AirBase.</w:t>
      </w:r>
    </w:p>
    <w:p>
      <w:r>
        <w:rPr>
          <w:b/>
        </w:rPr>
        <w:t xml:space="preserve">Original record: </w:t>
      </w:r>
      <w:r>
        <w:t>claim-872e8bc8934fa439 · https://doi.org/10.5194/acp-12-10613-2012</w:t>
      </w:r>
    </w:p>
    <w:p>
      <w:pPr>
        <w:pStyle w:val="Heading2"/>
      </w:pPr>
      <w:r>
        <w:t>GAP-10. How much later ozone mortality change is attributable to climate rather than precursor cuts?</w:t>
      </w:r>
    </w:p>
    <w:p>
      <w:r>
        <w:rPr>
          <w:b/>
        </w:rPr>
        <w:t xml:space="preserve">Specific investigation: </w:t>
      </w:r>
      <w:r>
        <w:t>Compare original climate-only model to newer health burden attribution with matched exposure-response functions.</w:t>
      </w:r>
    </w:p>
    <w:p>
      <w:r>
        <w:rPr>
          <w:b/>
        </w:rPr>
        <w:t xml:space="preserve">Original record: </w:t>
      </w:r>
      <w:r>
        <w:t>claim-c5a14eb6f1f7dd43 · https://doi.org/10.1183/09031936.00210411</w:t>
      </w:r>
    </w:p>
    <w:p>
      <w:pPr>
        <w:pStyle w:val="Heading2"/>
      </w:pPr>
      <w:r>
        <w:t>GAP-11. Will EU woody biomass increment stagnate under changing management and disturbance?</w:t>
      </w:r>
    </w:p>
    <w:p>
      <w:r>
        <w:rPr>
          <w:b/>
        </w:rPr>
        <w:t xml:space="preserve">Specific investigation: </w:t>
      </w:r>
      <w:r>
        <w:t>Pair EU forests increment from National Forest Inventories with harvest, disturbance and LULUCF sink; distinguish total stock and annual increment.</w:t>
      </w:r>
    </w:p>
    <w:p>
      <w:r>
        <w:rPr>
          <w:b/>
        </w:rPr>
        <w:t xml:space="preserve">Original record: </w:t>
      </w:r>
      <w:r>
        <w:t>claim-65c6f526acccd869 · https://doi.org/10.1186/1750-0680-8-2</w:t>
      </w:r>
    </w:p>
    <w:p>
      <w:pPr>
        <w:pStyle w:val="Heading2"/>
      </w:pPr>
      <w:r>
        <w:t>GAP-12. Could Finland–Russia rail liberalisation have created competition absent the war?</w:t>
      </w:r>
    </w:p>
    <w:p>
      <w:r>
        <w:rPr>
          <w:b/>
        </w:rPr>
        <w:t xml:space="preserve">Specific investigation: </w:t>
      </w:r>
      <w:r>
        <w:t>Obtain Finnish regulatory rail-market entry decisions and throughput; separate pre-war market uptake and post-2022 rupture.</w:t>
      </w:r>
    </w:p>
    <w:p>
      <w:r>
        <w:rPr>
          <w:b/>
        </w:rPr>
        <w:t xml:space="preserve">Original record: </w:t>
      </w:r>
      <w:r>
        <w:t>claim-bae835546dfc91be · https://doi.org/10.1504/IJSTL.2011.039377</w:t>
      </w:r>
    </w:p>
    <w:p>
      <w:pPr>
        <w:pStyle w:val="Heading2"/>
      </w:pPr>
      <w:r>
        <w:t>GAP-13. Which assumptions explain the gap between UK Foresight obesity curves and 2024 survey data?</w:t>
      </w:r>
    </w:p>
    <w:p>
      <w:r>
        <w:rPr>
          <w:b/>
        </w:rPr>
        <w:t xml:space="preserve">Specific investigation: </w:t>
      </w:r>
      <w:r>
        <w:t>Re-fit Foresight projection to post-2007 data with validation at 2015, 2020 and 2024; separate uncertainty and intervention effects.</w:t>
      </w:r>
    </w:p>
    <w:p>
      <w:r>
        <w:rPr>
          <w:b/>
        </w:rPr>
        <w:t xml:space="preserve">Original record: </w:t>
      </w:r>
      <w:r>
        <w:t>claim-c4bd64f065820699 · https://doi.org/10.1136/jech.2011.142976b.14</w:t>
      </w:r>
    </w:p>
    <w:p>
      <w:pPr>
        <w:pStyle w:val="Heading2"/>
      </w:pPr>
      <w:r>
        <w:t>GAP-14. Will Irish obesity and disease costs approach 2013 extrapolations by 2030?</w:t>
      </w:r>
    </w:p>
    <w:p>
      <w:r>
        <w:rPr>
          <w:b/>
        </w:rPr>
        <w:t xml:space="preserve">Specific investigation: </w:t>
      </w:r>
      <w:r>
        <w:t>Re-estimate paper’s 2013 model with CSO/Healthy Ireland and NCD-RisC; document self-reported versus measured differences.</w:t>
      </w:r>
    </w:p>
    <w:p>
      <w:r>
        <w:rPr>
          <w:b/>
        </w:rPr>
        <w:t xml:space="preserve">Original record: </w:t>
      </w:r>
      <w:r>
        <w:t>claim-d9056b0d2f24898b · https://doi.org/10.1371/journal.pone.0079827</w:t>
      </w:r>
    </w:p>
    <w:p>
      <w:pPr>
        <w:pStyle w:val="Heading2"/>
      </w:pPr>
      <w:r>
        <w:t>GAP-15. What combination of retention, recruitment and training changed the nurse scenario?</w:t>
      </w:r>
    </w:p>
    <w:p>
      <w:r>
        <w:rPr>
          <w:b/>
        </w:rPr>
        <w:t xml:space="preserve">Specific investigation: </w:t>
      </w:r>
      <w:r>
        <w:t>Re-run 2012 conditional scenarios with NHS workforce annual observations and overseas joiner flows; avoid comparing FTE to headcount.</w:t>
      </w:r>
    </w:p>
    <w:p>
      <w:r>
        <w:rPr>
          <w:b/>
        </w:rPr>
        <w:t xml:space="preserve">Original record: </w:t>
      </w:r>
      <w:r>
        <w:t>claim-1b6b71170e9f7fa5 · https://doi.org/10.1186/1478-4491-10-16</w:t>
      </w:r>
    </w:p>
    <w:p>
      <w:pPr>
        <w:pStyle w:val="Heading2"/>
      </w:pPr>
      <w:r>
        <w:t>GAP-16. What was the actual legacy burden near 2001 waste facilities after plant portfolios changed?</w:t>
      </w:r>
    </w:p>
    <w:p>
      <w:r>
        <w:rPr>
          <w:b/>
        </w:rPr>
        <w:t xml:space="preserve">Specific investigation: </w:t>
      </w:r>
      <w:r>
        <w:t>Reproduce 2011 conditional fixed-cohort model; attach facility-level emissions and closure/build chronology, compare with updated epidemiology.</w:t>
      </w:r>
    </w:p>
    <w:p>
      <w:r>
        <w:rPr>
          <w:b/>
        </w:rPr>
        <w:t xml:space="preserve">Original record: </w:t>
      </w:r>
      <w:r>
        <w:t>claim-17422a844c2cce7d · https://doi.org/10.1186/1476-069X-10-53</w:t>
      </w:r>
    </w:p>
    <w:p>
      <w:pPr>
        <w:pStyle w:val="Heading2"/>
      </w:pPr>
      <w:r>
        <w:t>GAP-17. How much of immigration’s demographic benefit depends on actual labour integration?</w:t>
      </w:r>
    </w:p>
    <w:p>
      <w:r>
        <w:rPr>
          <w:b/>
        </w:rPr>
        <w:t xml:space="preserve">Specific investigation: </w:t>
      </w:r>
      <w:r>
        <w:t>Rerun 2013 migration pathways with EUROPOP2023 and JRC 2020 integration scenarios; compare employment rather than raw arrivals.</w:t>
      </w:r>
    </w:p>
    <w:p>
      <w:r>
        <w:rPr>
          <w:b/>
        </w:rPr>
        <w:t xml:space="preserve">Original record: </w:t>
      </w:r>
      <w:r>
        <w:t>claim-33bbbb43737342ec · https://doi.org/10.2298/SOC1302169A</w:t>
      </w:r>
    </w:p>
    <w:p>
      <w:pPr>
        <w:pStyle w:val="Heading2"/>
      </w:pPr>
      <w:r>
        <w:t>GAP-18. Did ageing cause the projected compound-specific Dutch pharmaceutical effluent increases?</w:t>
      </w:r>
    </w:p>
    <w:p>
      <w:r>
        <w:rPr>
          <w:b/>
        </w:rPr>
        <w:t xml:space="preserve">Specific investigation: </w:t>
      </w:r>
      <w:r>
        <w:t>Recompute 2011 age-only baseline against SFK consumption, production mix, and water monitoring, controlling novel drugs and quaternary treatment.</w:t>
      </w:r>
    </w:p>
    <w:p>
      <w:r>
        <w:rPr>
          <w:b/>
        </w:rPr>
        <w:t xml:space="preserve">Original record: </w:t>
      </w:r>
      <w:r>
        <w:t>claim-3d30340f6e823d1c · https://doi.org/10.2166/wst.2011.120</w:t>
      </w:r>
    </w:p>
    <w:p>
      <w:pPr>
        <w:pStyle w:val="Heading2"/>
      </w:pPr>
      <w:r>
        <w:t>GAP-19. What conditions would be required to achieve the 2050 EU rail-freight high-policy scenario?</w:t>
      </w:r>
    </w:p>
    <w:p>
      <w:r>
        <w:rPr>
          <w:b/>
        </w:rPr>
        <w:t xml:space="preserve">Specific investigation: </w:t>
      </w:r>
      <w:r>
        <w:t>Retrieve TRANS-TOOLS scenario input tables; model terminals and costs using harmonised EEA and Eurostat data with 2030 review.</w:t>
      </w:r>
    </w:p>
    <w:p>
      <w:r>
        <w:rPr>
          <w:b/>
        </w:rPr>
        <w:t xml:space="preserve">Original record: </w:t>
      </w:r>
      <w:r>
        <w:t>claim-0e11a67eff6ab8fa · https://doi.org/10.1007/s12544-015-0171-7</w:t>
      </w:r>
    </w:p>
    <w:p>
      <w:pPr>
        <w:pStyle w:val="Heading2"/>
      </w:pPr>
      <w:r>
        <w:t>GAP-20. Have EU 2035 security scenarios become strategically useful rather than merely rhetorically similar?</w:t>
      </w:r>
    </w:p>
    <w:p>
      <w:r>
        <w:rPr>
          <w:b/>
        </w:rPr>
        <w:t xml:space="preserve">Specific investigation: </w:t>
      </w:r>
      <w:r>
        <w:t>Read FP7 project outputs and trace citations in EU capability planning, comparing assumptions against 2022–2026 decisions without post hoc prediction labels.</w:t>
      </w:r>
    </w:p>
    <w:p>
      <w:r>
        <w:rPr>
          <w:b/>
        </w:rPr>
        <w:t xml:space="preserve">Original record: </w:t>
      </w:r>
      <w:r>
        <w:t>claim-69950b53a5830d9a · https://doi.org/10.11610/isij.2902</w:t>
      </w:r>
    </w:p>
    <w:p>
      <w:r>
        <w:br w:type="page"/>
      </w:r>
    </w:p>
    <w:p>
      <w:pPr>
        <w:pStyle w:val="Heading1"/>
      </w:pPr>
      <w:r>
        <w:t>Previous edition — preserved original material</w:t>
      </w:r>
    </w:p>
    <w:p>
      <w:r>
        <w:t>The following is the complete material from the earlier repository edition, retained for research continuity and provenance. The updated research and evidence classifications above take precedence. Earlier accuracy scores, tentative assessments, and source links below are historical records and should not be treated as newly verified findings.</w:t>
      </w:r>
    </w:p>
    <w:p>
      <w:pPr>
        <w:pStyle w:val="Title"/>
      </w:pPr>
      <w:r>
        <w:t>40 ideas to revisit</w:t>
      </w:r>
    </w:p>
    <w:p>
      <w:r>
        <w:rPr>
          <w:b/>
        </w:rPr>
        <w:t>20 strongest research trails  /  20 research trails to recheck (maximum 20 each)</w:t>
      </w:r>
    </w:p>
    <w:p>
      <w:r>
        <w:t>Based on World Radar's living atlas (2026-10-22 06:06 UTC). 1,366 older and newer research entries available. This shortlist updates when Radar 2 publishes new data.</w:t>
      </w:r>
    </w:p>
    <w:p>
      <w:r>
        <w:t>IMPORTANT: "Strongest" means comparatively useful, traceable later evidence; it does NOT mean a prediction came true. "Weakest" means the saved follow-up trail is sparse, old, or potentially unrelated; it does NOT mean the original research was wrong or irrelevant. An unreviewed item is not given a fake 1–100 grade.</w:t>
      </w:r>
    </w:p>
    <w:p>
      <w:pPr>
        <w:pStyle w:val="Heading1"/>
      </w:pPr>
      <w:r>
        <w:t>The strongest research trails (20 selected; maximum 20)</w:t>
      </w:r>
    </w:p>
    <w:p>
      <w:r>
        <w:t>These are the strongest automatically screened later-research trails, not verified successes. Withdrawn, retracted and repeated publications are excluded from positive evidence.</w:t>
      </w:r>
    </w:p>
    <w:p>
      <w:pPr>
        <w:pStyle w:val="Heading2"/>
        <w:keepNext/>
      </w:pPr>
      <w:r>
        <w:t>01.  THE EUROPEAN MIGRATION CRISIS – ECONOMIC AND POLITICAL FACTORS AND CHALLENGES FOR THE FUTURE  (2017)</w:t>
      </w:r>
    </w:p>
    <w:p>
      <w:r>
        <w:rPr>
          <w:b/>
        </w:rPr>
        <w:t xml:space="preserve">NOW  </w:t>
      </w:r>
      <w:r>
        <w:t>A 2021 paper reports: After conducting a series of quantitative tests that control for a variety of factors, we find little evidence that the increase in the number of migrants corresponded to an increase in terrorism during the European crisis.</w:t>
      </w:r>
    </w:p>
    <w:p>
      <w:r>
        <w:rPr>
          <w:b/>
        </w:rPr>
        <w:t xml:space="preserve">WHY HERE  </w:t>
      </w:r>
      <w:r>
        <w:t>This later publication addresses the same research issue. It documents continuing scholarship, not necessarily an observed outcome.</w:t>
      </w:r>
    </w:p>
    <w:p>
      <w:pPr>
        <w:spacing w:after="160"/>
      </w:pPr>
      <w:hyperlink r:id="rId10">
        <w:r>
          <w:rPr>
            <w:color w:val="000000"/>
            <w:u w:val="single"/>
          </w:rPr>
          <w:t>Original publication</w:t>
        </w:r>
      </w:hyperlink>
      <w:r>
        <w:t xml:space="preserve">   ·   </w:t>
      </w:r>
      <w:hyperlink r:id="rId11">
        <w:r>
          <w:rPr>
            <w:color w:val="000000"/>
            <w:u w:val="single"/>
          </w:rPr>
          <w:t>Later publication</w:t>
        </w:r>
      </w:hyperlink>
    </w:p>
    <w:p>
      <w:pPr>
        <w:pStyle w:val="Heading2"/>
        <w:keepNext/>
      </w:pPr>
      <w:r>
        <w:t>02.  Potential stocks and increments of woody biomass in the European Union under different management and climate scenarios  (2013)</w:t>
      </w:r>
    </w:p>
    <w:p>
      <w:r>
        <w:rPr>
          <w:b/>
        </w:rPr>
        <w:t xml:space="preserve">NOW  </w:t>
      </w:r>
      <w:r>
        <w:t>A 2022 paper reports: Between 2013 and 2019, although there was a 2.8% mean annual decrease in the area covered by woody crops, the carbon stock in the biomass of these crops increased annually by 3.8% due to the growth of the remaining woody cropland.</w:t>
      </w:r>
    </w:p>
    <w:p>
      <w:r>
        <w:rPr>
          <w:b/>
        </w:rPr>
        <w:t xml:space="preserve">WHY HERE  </w:t>
      </w:r>
      <w:r>
        <w:t>This later publication addresses the same research issue. It documents continuing scholarship, not necessarily an observed outcome.</w:t>
      </w:r>
    </w:p>
    <w:p>
      <w:pPr>
        <w:spacing w:after="160"/>
      </w:pPr>
      <w:hyperlink r:id="rId12">
        <w:r>
          <w:rPr>
            <w:color w:val="000000"/>
            <w:u w:val="single"/>
          </w:rPr>
          <w:t>Original publication</w:t>
        </w:r>
      </w:hyperlink>
      <w:r>
        <w:t xml:space="preserve">   ·   </w:t>
      </w:r>
      <w:hyperlink r:id="rId13">
        <w:r>
          <w:rPr>
            <w:color w:val="000000"/>
            <w:u w:val="single"/>
          </w:rPr>
          <w:t>Later publication</w:t>
        </w:r>
      </w:hyperlink>
    </w:p>
    <w:p>
      <w:pPr>
        <w:pStyle w:val="Heading2"/>
        <w:keepNext/>
      </w:pPr>
      <w:r>
        <w:t>03.  Female Labour Force Projections Using Microsimulation for Six EU Countries  (2017)</w:t>
      </w:r>
    </w:p>
    <w:p>
      <w:r>
        <w:rPr>
          <w:b/>
        </w:rPr>
        <w:t xml:space="preserve">NOW  </w:t>
      </w:r>
      <w:r>
        <w:t>A 2026 paper reports: Using CHILD-EUROLAB, a discrete choice labour supply and childcare model integrated with EUROMOD, a microsimulation tax-benefit model, we simulate how increased availability of formal childcare affects mothers’ employment decisions across regional clusters defined by th</w:t>
      </w:r>
    </w:p>
    <w:p>
      <w:r>
        <w:rPr>
          <w:b/>
        </w:rPr>
        <w:t xml:space="preserve">WHY HERE  </w:t>
      </w:r>
      <w:r>
        <w:t>This later publication addresses the same research issue. It documents continuing scholarship, not necessarily an observed outcome.</w:t>
      </w:r>
    </w:p>
    <w:p>
      <w:pPr>
        <w:spacing w:after="160"/>
      </w:pPr>
      <w:hyperlink r:id="rId14">
        <w:r>
          <w:rPr>
            <w:color w:val="000000"/>
            <w:u w:val="single"/>
          </w:rPr>
          <w:t>Original publication</w:t>
        </w:r>
      </w:hyperlink>
      <w:r>
        <w:t xml:space="preserve">   ·   </w:t>
      </w:r>
      <w:hyperlink r:id="rId15">
        <w:r>
          <w:rPr>
            <w:color w:val="000000"/>
            <w:u w:val="single"/>
          </w:rPr>
          <w:t>Later publication</w:t>
        </w:r>
      </w:hyperlink>
    </w:p>
    <w:p>
      <w:pPr>
        <w:pStyle w:val="Heading2"/>
        <w:keepNext/>
      </w:pPr>
      <w:r>
        <w:t>04.  Electric vehicle charging strategy to support renewable energy sources in Europe 2050 low-carbon scenario  (2019)</w:t>
      </w:r>
    </w:p>
    <w:p>
      <w:r>
        <w:rPr>
          <w:b/>
        </w:rPr>
        <w:t xml:space="preserve">NOW  </w:t>
      </w:r>
      <w:r>
        <w:t>Newer research (2024) discusses: The methodology is implemented as a calculation module in the open-source online geographic tool for energy transition planning, Citiwatts.</w:t>
      </w:r>
    </w:p>
    <w:p>
      <w:r>
        <w:rPr>
          <w:b/>
        </w:rPr>
        <w:t xml:space="preserve">WHY HERE  </w:t>
      </w:r>
      <w:r>
        <w:t>This later publication addresses the same research issue. It documents continuing scholarship, not necessarily an observed outcome.</w:t>
      </w:r>
    </w:p>
    <w:p>
      <w:pPr>
        <w:spacing w:after="160"/>
      </w:pPr>
      <w:hyperlink r:id="rId16">
        <w:r>
          <w:rPr>
            <w:color w:val="000000"/>
            <w:u w:val="single"/>
          </w:rPr>
          <w:t>Original publication</w:t>
        </w:r>
      </w:hyperlink>
      <w:r>
        <w:t xml:space="preserve">   ·   </w:t>
      </w:r>
      <w:hyperlink r:id="rId17">
        <w:r>
          <w:rPr>
            <w:color w:val="000000"/>
            <w:u w:val="single"/>
          </w:rPr>
          <w:t>Later publication</w:t>
        </w:r>
      </w:hyperlink>
    </w:p>
    <w:p>
      <w:pPr>
        <w:pStyle w:val="Heading2"/>
        <w:keepNext/>
      </w:pPr>
      <w:r>
        <w:t>05.  Winter blues at European airports: The need for airport responsibility and corporate foresight  (2011)</w:t>
      </w:r>
    </w:p>
    <w:p>
      <w:r>
        <w:rPr>
          <w:b/>
        </w:rPr>
        <w:t xml:space="preserve">NOW  </w:t>
      </w:r>
      <w:r>
        <w:t xml:space="preserve">Newer research (2022) discusses: Purpose: The main aim of this paper is to identify and compare areas of social responsibility at the largest Polish airports, based on the ISO 26000 standard.Approach/Methodology/Design: The article uses the prevailing literature </w:t>
      </w:r>
    </w:p>
    <w:p>
      <w:r>
        <w:rPr>
          <w:b/>
        </w:rPr>
        <w:t xml:space="preserve">WHY HERE  </w:t>
      </w:r>
      <w:r>
        <w:t>This later publication addresses the same research issue. It documents continuing scholarship, not necessarily an observed outcome.</w:t>
      </w:r>
    </w:p>
    <w:p>
      <w:pPr>
        <w:spacing w:after="160"/>
      </w:pPr>
      <w:hyperlink r:id="rId18">
        <w:r>
          <w:rPr>
            <w:color w:val="000000"/>
            <w:u w:val="single"/>
          </w:rPr>
          <w:t>Original publication</w:t>
        </w:r>
      </w:hyperlink>
      <w:r>
        <w:t xml:space="preserve">   ·   </w:t>
      </w:r>
      <w:hyperlink r:id="rId19">
        <w:r>
          <w:rPr>
            <w:color w:val="000000"/>
            <w:u w:val="single"/>
          </w:rPr>
          <w:t>Later publication</w:t>
        </w:r>
      </w:hyperlink>
    </w:p>
    <w:p>
      <w:pPr>
        <w:pStyle w:val="Heading2"/>
        <w:keepNext/>
      </w:pPr>
      <w:r>
        <w:t>06.  Testing scenarios for assisted migration of forest trees in Europe  (2015)</w:t>
      </w:r>
    </w:p>
    <w:p>
      <w:r>
        <w:rPr>
          <w:b/>
        </w:rPr>
        <w:t xml:space="preserve">NOW  </w:t>
      </w:r>
      <w:r>
        <w:t>Newer research (2024) discusses: Over a period of 30 to 50 years, the vitality, growth and survival of 18 tree species from 117 seed sources will be monitored to develop tree species recommendations for forest managers.</w:t>
      </w:r>
    </w:p>
    <w:p>
      <w:r>
        <w:rPr>
          <w:b/>
        </w:rPr>
        <w:t xml:space="preserve">WHY HERE  </w:t>
      </w:r>
      <w:r>
        <w:t>This later publication addresses the same research issue. It documents continuing scholarship, not necessarily an observed outcome.</w:t>
      </w:r>
    </w:p>
    <w:p>
      <w:pPr>
        <w:spacing w:after="160"/>
      </w:pPr>
      <w:hyperlink r:id="rId20">
        <w:r>
          <w:rPr>
            <w:color w:val="000000"/>
            <w:u w:val="single"/>
          </w:rPr>
          <w:t>Original publication</w:t>
        </w:r>
      </w:hyperlink>
      <w:r>
        <w:t xml:space="preserve">   ·   </w:t>
      </w:r>
      <w:hyperlink r:id="rId21">
        <w:r>
          <w:rPr>
            <w:color w:val="000000"/>
            <w:u w:val="single"/>
          </w:rPr>
          <w:t>Later publication</w:t>
        </w:r>
      </w:hyperlink>
    </w:p>
    <w:p>
      <w:pPr>
        <w:pStyle w:val="Heading2"/>
        <w:keepNext/>
      </w:pPr>
      <w:r>
        <w:t>07.  Future Projections of Heat Mortality Risk for Major European Cities  (2021)</w:t>
      </w:r>
    </w:p>
    <w:p>
      <w:r>
        <w:rPr>
          <w:b/>
        </w:rPr>
        <w:t xml:space="preserve">NOW  </w:t>
      </w:r>
      <w:r>
        <w:t>A 2025 paper reports: This mortality is comparable to peak COVID-19 mortality in Europe and is not substantially reduced by climate adaptation currently observed across Europe.</w:t>
      </w:r>
    </w:p>
    <w:p>
      <w:r>
        <w:rPr>
          <w:b/>
        </w:rPr>
        <w:t xml:space="preserve">WHY HERE  </w:t>
      </w:r>
      <w:r>
        <w:t>This later publication addresses the same research issue. It documents continuing scholarship, not necessarily an observed outcome.</w:t>
      </w:r>
    </w:p>
    <w:p>
      <w:pPr>
        <w:spacing w:after="160"/>
      </w:pPr>
      <w:hyperlink r:id="rId22">
        <w:r>
          <w:rPr>
            <w:color w:val="000000"/>
            <w:u w:val="single"/>
          </w:rPr>
          <w:t>Original publication</w:t>
        </w:r>
      </w:hyperlink>
      <w:r>
        <w:t xml:space="preserve">   ·   </w:t>
      </w:r>
      <w:hyperlink r:id="rId23">
        <w:r>
          <w:rPr>
            <w:color w:val="000000"/>
            <w:u w:val="single"/>
          </w:rPr>
          <w:t>Later publication</w:t>
        </w:r>
      </w:hyperlink>
    </w:p>
    <w:p>
      <w:pPr>
        <w:pStyle w:val="Heading2"/>
        <w:keepNext/>
      </w:pPr>
      <w:r>
        <w:t>08.  Contagion and Dynamic Correlation of the Main European Stock Index Futures Markets: A Time-frequency Approach  (2015)</w:t>
      </w:r>
    </w:p>
    <w:p>
      <w:r>
        <w:rPr>
          <w:b/>
        </w:rPr>
        <w:t xml:space="preserve">NOW  </w:t>
      </w:r>
      <w:r>
        <w:t>A 2017 paper reports: The most recent US subprime crisis, however, reveals the evidence of fundamental based contagion. (ii) We find increasing short-run and long-run stock market integration, driven by several stages of the establishment of Economic and Monetary Union (EMU), questioning the</w:t>
      </w:r>
    </w:p>
    <w:p>
      <w:r>
        <w:rPr>
          <w:b/>
        </w:rPr>
        <w:t xml:space="preserve">WHY HERE  </w:t>
      </w:r>
      <w:r>
        <w:t>This later publication addresses the same research issue. It documents continuing scholarship, not necessarily an observed outcome.</w:t>
      </w:r>
    </w:p>
    <w:p>
      <w:pPr>
        <w:spacing w:after="160"/>
      </w:pPr>
      <w:hyperlink r:id="rId24">
        <w:r>
          <w:rPr>
            <w:color w:val="000000"/>
            <w:u w:val="single"/>
          </w:rPr>
          <w:t>Original publication</w:t>
        </w:r>
      </w:hyperlink>
      <w:r>
        <w:t xml:space="preserve">   ·   </w:t>
      </w:r>
      <w:hyperlink r:id="rId25">
        <w:r>
          <w:rPr>
            <w:color w:val="000000"/>
            <w:u w:val="single"/>
          </w:rPr>
          <w:t>Later publication</w:t>
        </w:r>
      </w:hyperlink>
    </w:p>
    <w:p>
      <w:pPr>
        <w:pStyle w:val="Heading2"/>
        <w:keepNext/>
      </w:pPr>
      <w:r>
        <w:t>09.  Renewable Energy in Final Energy Consumption and Income in the EU-28 Countries  (2020)</w:t>
      </w:r>
    </w:p>
    <w:p>
      <w:r>
        <w:rPr>
          <w:b/>
        </w:rPr>
        <w:t xml:space="preserve">NOW  </w:t>
      </w:r>
      <w:r>
        <w:t>Newer research (2025) discusses: The EU formally adopted an update of the Renewable Energy Directive (EU) 2018/2001 in October 2023 that, among other measures, increases the binding 2030 target from 32% to 42.5%, with the aim of achieving 45%.</w:t>
      </w:r>
    </w:p>
    <w:p>
      <w:r>
        <w:rPr>
          <w:b/>
        </w:rPr>
        <w:t xml:space="preserve">WHY HERE  </w:t>
      </w:r>
      <w:r>
        <w:t>This later publication addresses the same research issue. It documents continuing scholarship, not necessarily an observed outcome.</w:t>
      </w:r>
    </w:p>
    <w:p>
      <w:pPr>
        <w:spacing w:after="160"/>
      </w:pPr>
      <w:hyperlink r:id="rId26">
        <w:r>
          <w:rPr>
            <w:color w:val="000000"/>
            <w:u w:val="single"/>
          </w:rPr>
          <w:t>Original publication</w:t>
        </w:r>
      </w:hyperlink>
      <w:r>
        <w:t xml:space="preserve">   ·   </w:t>
      </w:r>
      <w:hyperlink r:id="rId27">
        <w:r>
          <w:rPr>
            <w:color w:val="000000"/>
            <w:u w:val="single"/>
          </w:rPr>
          <w:t>Later publication</w:t>
        </w:r>
      </w:hyperlink>
    </w:p>
    <w:p>
      <w:pPr>
        <w:pStyle w:val="Heading2"/>
        <w:keepNext/>
      </w:pPr>
      <w:r>
        <w:t>10.  DEVELOPMENT AND IMPLEMENTATION OF RENEWABLE ENERGY SOURCES IN THE WORLD AND EUROPEAN UNION  (2015)</w:t>
      </w:r>
    </w:p>
    <w:p>
      <w:r>
        <w:rPr>
          <w:b/>
        </w:rPr>
        <w:t xml:space="preserve">NOW  </w:t>
      </w:r>
      <w:r>
        <w:t>A 2025 paper reports: The results show that the use of renewable energy sources (RESs) in the European Union has increased in the analyzed period.</w:t>
      </w:r>
    </w:p>
    <w:p>
      <w:r>
        <w:rPr>
          <w:b/>
        </w:rPr>
        <w:t xml:space="preserve">WHY HERE  </w:t>
      </w:r>
      <w:r>
        <w:t>This later publication addresses the same research issue. It documents continuing scholarship, not necessarily an observed outcome.</w:t>
      </w:r>
    </w:p>
    <w:p>
      <w:pPr>
        <w:spacing w:after="160"/>
      </w:pPr>
      <w:hyperlink r:id="rId28">
        <w:r>
          <w:rPr>
            <w:color w:val="000000"/>
            <w:u w:val="single"/>
          </w:rPr>
          <w:t>Original publication</w:t>
        </w:r>
      </w:hyperlink>
      <w:r>
        <w:t xml:space="preserve">   ·   </w:t>
      </w:r>
      <w:hyperlink r:id="rId29">
        <w:r>
          <w:rPr>
            <w:color w:val="000000"/>
            <w:u w:val="single"/>
          </w:rPr>
          <w:t>Later publication</w:t>
        </w:r>
      </w:hyperlink>
    </w:p>
    <w:p>
      <w:pPr>
        <w:pStyle w:val="Heading2"/>
        <w:keepNext/>
      </w:pPr>
      <w:r>
        <w:t>11.  Mobility partnerships - the future of European migration policy?  (2012)</w:t>
      </w:r>
    </w:p>
    <w:p>
      <w:r>
        <w:rPr>
          <w:b/>
        </w:rPr>
        <w:t xml:space="preserve">NOW  </w:t>
      </w:r>
      <w:r>
        <w:t>A 2014 paper reports: Simultaneously, the formalization of labour mobility within the EU is associated with a legalization that does not correspond to increased rights.1</w:t>
      </w:r>
    </w:p>
    <w:p>
      <w:r>
        <w:rPr>
          <w:b/>
        </w:rPr>
        <w:t xml:space="preserve">WHY HERE  </w:t>
      </w:r>
      <w:r>
        <w:t>This later publication addresses the same research issue. It documents continuing scholarship, not necessarily an observed outcome.</w:t>
      </w:r>
    </w:p>
    <w:p>
      <w:pPr>
        <w:spacing w:after="160"/>
      </w:pPr>
      <w:hyperlink r:id="rId30">
        <w:r>
          <w:rPr>
            <w:color w:val="000000"/>
            <w:u w:val="single"/>
          </w:rPr>
          <w:t>Original publication</w:t>
        </w:r>
      </w:hyperlink>
      <w:r>
        <w:t xml:space="preserve">   ·   </w:t>
      </w:r>
      <w:hyperlink r:id="rId31">
        <w:r>
          <w:rPr>
            <w:color w:val="000000"/>
            <w:u w:val="single"/>
          </w:rPr>
          <w:t>Later publication</w:t>
        </w:r>
      </w:hyperlink>
    </w:p>
    <w:p>
      <w:pPr>
        <w:pStyle w:val="Heading2"/>
        <w:keepNext/>
      </w:pPr>
      <w:r>
        <w:t>12.  The future of direct payments system in the EU agriculture; European Commission scenarios  (2012)</w:t>
      </w:r>
    </w:p>
    <w:p>
      <w:r>
        <w:rPr>
          <w:b/>
        </w:rPr>
        <w:t xml:space="preserve">NOW  </w:t>
      </w:r>
      <w:r>
        <w:t>Newer research (2022) discusses: This study presents an innovative approach to measuring the impact of EU CAP direct payments on the economic resilience of agriculture at a sectoral level.</w:t>
      </w:r>
    </w:p>
    <w:p>
      <w:r>
        <w:rPr>
          <w:b/>
        </w:rPr>
        <w:t xml:space="preserve">WHY HERE  </w:t>
      </w:r>
      <w:r>
        <w:t>This later publication addresses the same research issue. It documents continuing scholarship, not necessarily an observed outcome.</w:t>
      </w:r>
    </w:p>
    <w:p>
      <w:pPr>
        <w:spacing w:after="160"/>
      </w:pPr>
      <w:hyperlink r:id="rId32">
        <w:r>
          <w:rPr>
            <w:color w:val="000000"/>
            <w:u w:val="single"/>
          </w:rPr>
          <w:t>Original publication</w:t>
        </w:r>
      </w:hyperlink>
      <w:r>
        <w:t xml:space="preserve">   ·   </w:t>
      </w:r>
      <w:hyperlink r:id="rId33">
        <w:r>
          <w:rPr>
            <w:color w:val="000000"/>
            <w:u w:val="single"/>
          </w:rPr>
          <w:t>Later publication</w:t>
        </w:r>
      </w:hyperlink>
    </w:p>
    <w:p>
      <w:pPr>
        <w:pStyle w:val="Heading2"/>
        <w:keepNext/>
      </w:pPr>
      <w:r>
        <w:t>13.  Modeling the climatic suitability of leishmaniasis vector species in Europe  (2017)</w:t>
      </w:r>
    </w:p>
    <w:p>
      <w:r>
        <w:rPr>
          <w:b/>
        </w:rPr>
        <w:t xml:space="preserve">NOW  </w:t>
      </w:r>
      <w:r>
        <w:t>A 2026 paper reports: Globally, leishmaniasis risk increased by ∼17% since the 1990s, with Africa, Asia, and the Americas experiencing the greatest rise.</w:t>
      </w:r>
    </w:p>
    <w:p>
      <w:r>
        <w:rPr>
          <w:b/>
        </w:rPr>
        <w:t xml:space="preserve">WHY HERE  </w:t>
      </w:r>
      <w:r>
        <w:t>This later publication addresses the same research issue. It documents continuing scholarship, not necessarily an observed outcome.</w:t>
      </w:r>
    </w:p>
    <w:p>
      <w:pPr>
        <w:spacing w:after="160"/>
      </w:pPr>
      <w:hyperlink r:id="rId34">
        <w:r>
          <w:rPr>
            <w:color w:val="000000"/>
            <w:u w:val="single"/>
          </w:rPr>
          <w:t>Original publication</w:t>
        </w:r>
      </w:hyperlink>
      <w:r>
        <w:t xml:space="preserve">   ·   </w:t>
      </w:r>
      <w:hyperlink r:id="rId35">
        <w:r>
          <w:rPr>
            <w:color w:val="000000"/>
            <w:u w:val="single"/>
          </w:rPr>
          <w:t>Later publication</w:t>
        </w:r>
      </w:hyperlink>
    </w:p>
    <w:p>
      <w:pPr>
        <w:pStyle w:val="Heading2"/>
        <w:keepNext/>
      </w:pPr>
      <w:r>
        <w:t>14.  MIGRATION AND MIGRANT WORKERS IN EUROPE  (2013)</w:t>
      </w:r>
    </w:p>
    <w:p>
      <w:r>
        <w:rPr>
          <w:b/>
        </w:rPr>
        <w:t xml:space="preserve">NOW  </w:t>
      </w:r>
      <w:r>
        <w:t>Newer research (2020) discusses: This open access book explores the different legal and policy instruments that have been adopted to implement circular migration policies in the EU and their consequences for the rights of migrant workers thereby providing underst</w:t>
      </w:r>
    </w:p>
    <w:p>
      <w:r>
        <w:rPr>
          <w:b/>
        </w:rPr>
        <w:t xml:space="preserve">WHY HERE  </w:t>
      </w:r>
      <w:r>
        <w:t>This later publication addresses the same research issue. It documents continuing scholarship, not necessarily an observed outcome.</w:t>
      </w:r>
    </w:p>
    <w:p>
      <w:pPr>
        <w:spacing w:after="160"/>
      </w:pPr>
      <w:hyperlink r:id="rId36">
        <w:r>
          <w:rPr>
            <w:color w:val="000000"/>
            <w:u w:val="single"/>
          </w:rPr>
          <w:t>Original publication</w:t>
        </w:r>
      </w:hyperlink>
      <w:r>
        <w:t xml:space="preserve">   ·   </w:t>
      </w:r>
      <w:hyperlink r:id="rId37">
        <w:r>
          <w:rPr>
            <w:color w:val="000000"/>
            <w:u w:val="single"/>
          </w:rPr>
          <w:t>Later publication</w:t>
        </w:r>
      </w:hyperlink>
    </w:p>
    <w:p>
      <w:pPr>
        <w:pStyle w:val="Heading2"/>
        <w:keepNext/>
      </w:pPr>
      <w:r>
        <w:t>15.  Price risk perceptions and management strategies in selected European food supply chains: An exploratory approach  (2016)</w:t>
      </w:r>
    </w:p>
    <w:p>
      <w:r>
        <w:rPr>
          <w:b/>
        </w:rPr>
        <w:t xml:space="preserve">NOW  </w:t>
      </w:r>
      <w:r>
        <w:t>Newer research (2019) discusses: Consequently, both the EU and many Member States have started operating price and margin monitoring systems in order to obtain a better insight into developments of prices, costs and profits along food supply chains.</w:t>
      </w:r>
    </w:p>
    <w:p>
      <w:r>
        <w:rPr>
          <w:b/>
        </w:rPr>
        <w:t xml:space="preserve">WHY HERE  </w:t>
      </w:r>
      <w:r>
        <w:t>This later publication addresses the same research issue. It documents continuing scholarship, not necessarily an observed outcome.</w:t>
      </w:r>
    </w:p>
    <w:p>
      <w:pPr>
        <w:spacing w:after="160"/>
      </w:pPr>
      <w:hyperlink r:id="rId38">
        <w:r>
          <w:rPr>
            <w:color w:val="000000"/>
            <w:u w:val="single"/>
          </w:rPr>
          <w:t>Original publication</w:t>
        </w:r>
      </w:hyperlink>
      <w:r>
        <w:t xml:space="preserve">   ·   </w:t>
      </w:r>
      <w:hyperlink r:id="rId39">
        <w:r>
          <w:rPr>
            <w:color w:val="000000"/>
            <w:u w:val="single"/>
          </w:rPr>
          <w:t>Later publication</w:t>
        </w:r>
      </w:hyperlink>
    </w:p>
    <w:p>
      <w:pPr>
        <w:pStyle w:val="Heading2"/>
        <w:keepNext/>
      </w:pPr>
      <w:r>
        <w:t>16.  The EU Water Framework Directive: From great expectations to problems with implementation  (2016)</w:t>
      </w:r>
    </w:p>
    <w:p>
      <w:r>
        <w:rPr>
          <w:b/>
        </w:rPr>
        <w:t xml:space="preserve">NOW  </w:t>
      </w:r>
      <w:r>
        <w:t>A 2020 paper reports: We found a great variety in governance approaches, while the nature of measures, in terms of source-based and effect-based, is only slightly different.</w:t>
      </w:r>
    </w:p>
    <w:p>
      <w:r>
        <w:rPr>
          <w:b/>
        </w:rPr>
        <w:t xml:space="preserve">WHY HERE  </w:t>
      </w:r>
      <w:r>
        <w:t>This later publication addresses the same research issue. It documents continuing scholarship, not necessarily an observed outcome.</w:t>
      </w:r>
    </w:p>
    <w:p>
      <w:pPr>
        <w:spacing w:after="160"/>
      </w:pPr>
      <w:hyperlink r:id="rId40">
        <w:r>
          <w:rPr>
            <w:color w:val="000000"/>
            <w:u w:val="single"/>
          </w:rPr>
          <w:t>Original publication</w:t>
        </w:r>
      </w:hyperlink>
      <w:r>
        <w:t xml:space="preserve">   ·   </w:t>
      </w:r>
      <w:hyperlink r:id="rId41">
        <w:r>
          <w:rPr>
            <w:color w:val="000000"/>
            <w:u w:val="single"/>
          </w:rPr>
          <w:t>Later publication</w:t>
        </w:r>
      </w:hyperlink>
    </w:p>
    <w:p>
      <w:pPr>
        <w:pStyle w:val="Heading2"/>
        <w:keepNext/>
      </w:pPr>
      <w:r>
        <w:t>17.  Analysis of the structure and values of the European Commission's Circular Economy Package  (2017)</w:t>
      </w:r>
    </w:p>
    <w:p>
      <w:r>
        <w:rPr>
          <w:b/>
        </w:rPr>
        <w:t xml:space="preserve">NOW  </w:t>
      </w:r>
      <w:r>
        <w:t>Newer research (2020) discusses: Drawing on policy documents and interviews with policy officers of the European Commission, we argue that the monitoring framework and indicator development function as a site collective imagination in which desirable ‘circular’ f</w:t>
      </w:r>
    </w:p>
    <w:p>
      <w:r>
        <w:rPr>
          <w:b/>
        </w:rPr>
        <w:t xml:space="preserve">WHY HERE  </w:t>
      </w:r>
      <w:r>
        <w:t>This later publication addresses the same research issue. It documents continuing scholarship, not necessarily an observed outcome.</w:t>
      </w:r>
    </w:p>
    <w:p>
      <w:pPr>
        <w:spacing w:after="160"/>
      </w:pPr>
      <w:hyperlink r:id="rId42">
        <w:r>
          <w:rPr>
            <w:color w:val="000000"/>
            <w:u w:val="single"/>
          </w:rPr>
          <w:t>Original publication</w:t>
        </w:r>
      </w:hyperlink>
      <w:r>
        <w:t xml:space="preserve">   ·   </w:t>
      </w:r>
      <w:hyperlink r:id="rId43">
        <w:r>
          <w:rPr>
            <w:color w:val="000000"/>
            <w:u w:val="single"/>
          </w:rPr>
          <w:t>Later publication</w:t>
        </w:r>
      </w:hyperlink>
    </w:p>
    <w:p>
      <w:pPr>
        <w:pStyle w:val="Heading2"/>
        <w:keepNext/>
      </w:pPr>
      <w:r>
        <w:t>18.  Forest policy in Europe and 2020 scenarios: between sustainability and rural development  (2012)</w:t>
      </w:r>
    </w:p>
    <w:p>
      <w:r>
        <w:rPr>
          <w:b/>
        </w:rPr>
        <w:t xml:space="preserve">NOW  </w:t>
      </w:r>
      <w:r>
        <w:t>Newer research (2024) discusses: This study employs process tracing using 65 EU forest and rural development policy documents, including legal acts, preparatory documents, communications, related working documents and evaluation reports, predominantly produced ov</w:t>
      </w:r>
    </w:p>
    <w:p>
      <w:r>
        <w:rPr>
          <w:b/>
        </w:rPr>
        <w:t xml:space="preserve">WHY HERE  </w:t>
      </w:r>
      <w:r>
        <w:t>This later publication addresses the same research issue. It documents continuing scholarship, not necessarily an observed outcome.</w:t>
      </w:r>
    </w:p>
    <w:p>
      <w:pPr>
        <w:spacing w:after="160"/>
      </w:pPr>
      <w:hyperlink r:id="rId44">
        <w:r>
          <w:rPr>
            <w:color w:val="000000"/>
            <w:u w:val="single"/>
          </w:rPr>
          <w:t>Original publication</w:t>
        </w:r>
      </w:hyperlink>
      <w:r>
        <w:t xml:space="preserve">   ·   </w:t>
      </w:r>
      <w:hyperlink r:id="rId45">
        <w:r>
          <w:rPr>
            <w:color w:val="000000"/>
            <w:u w:val="single"/>
          </w:rPr>
          <w:t>Later publication</w:t>
        </w:r>
      </w:hyperlink>
    </w:p>
    <w:p>
      <w:pPr>
        <w:pStyle w:val="Heading2"/>
        <w:keepNext/>
      </w:pPr>
      <w:r>
        <w:t>19.  The European pulp and paper industry in transition to a bio-economy: A Delphi study  (2017)</w:t>
      </w:r>
    </w:p>
    <w:p>
      <w:r>
        <w:rPr>
          <w:b/>
        </w:rPr>
        <w:t xml:space="preserve">NOW  </w:t>
      </w:r>
      <w:r>
        <w:t>A 2021 paper reports: The pulp and paper industry faces several challenges linked to climate and environmental impact, resource efficiency, rising energy prices, increased competition for biomass resources, and declining demand for traditional printed paper products.</w:t>
      </w:r>
    </w:p>
    <w:p>
      <w:r>
        <w:rPr>
          <w:b/>
        </w:rPr>
        <w:t xml:space="preserve">WHY HERE  </w:t>
      </w:r>
      <w:r>
        <w:t>This later publication addresses the same research issue. It documents continuing scholarship, not necessarily an observed outcome.</w:t>
      </w:r>
    </w:p>
    <w:p>
      <w:pPr>
        <w:spacing w:after="160"/>
      </w:pPr>
      <w:hyperlink r:id="rId46">
        <w:r>
          <w:rPr>
            <w:color w:val="000000"/>
            <w:u w:val="single"/>
          </w:rPr>
          <w:t>Original publication</w:t>
        </w:r>
      </w:hyperlink>
      <w:r>
        <w:t xml:space="preserve">   ·   </w:t>
      </w:r>
      <w:hyperlink r:id="rId47">
        <w:r>
          <w:rPr>
            <w:color w:val="000000"/>
            <w:u w:val="single"/>
          </w:rPr>
          <w:t>Later publication</w:t>
        </w:r>
      </w:hyperlink>
    </w:p>
    <w:p>
      <w:pPr>
        <w:pStyle w:val="Heading2"/>
        <w:keepNext/>
      </w:pPr>
      <w:r>
        <w:t>20.  Multi-Model Projections of River Flood Risk in Europe under Global Warming  (2018)</w:t>
      </w:r>
    </w:p>
    <w:p>
      <w:r>
        <w:rPr>
          <w:b/>
        </w:rPr>
        <w:t xml:space="preserve">NOW  </w:t>
      </w:r>
      <w:r>
        <w:t>Newer research (2023) discusses: We find that reducing flood peaks using detention areas is economically the most attractive option.</w:t>
      </w:r>
    </w:p>
    <w:p>
      <w:r>
        <w:rPr>
          <w:b/>
        </w:rPr>
        <w:t xml:space="preserve">WHY HERE  </w:t>
      </w:r>
      <w:r>
        <w:t>This later publication addresses the same research issue. It documents continuing scholarship, not necessarily an observed outcome.</w:t>
      </w:r>
    </w:p>
    <w:p>
      <w:pPr>
        <w:spacing w:after="160"/>
      </w:pPr>
      <w:hyperlink r:id="rId48">
        <w:r>
          <w:rPr>
            <w:color w:val="000000"/>
            <w:u w:val="single"/>
          </w:rPr>
          <w:t>Original publication</w:t>
        </w:r>
      </w:hyperlink>
      <w:r>
        <w:t xml:space="preserve">   ·   </w:t>
      </w:r>
      <w:hyperlink r:id="rId49">
        <w:r>
          <w:rPr>
            <w:color w:val="000000"/>
            <w:u w:val="single"/>
          </w:rPr>
          <w:t>Later publication</w:t>
        </w:r>
      </w:hyperlink>
    </w:p>
    <w:p>
      <w:pPr>
        <w:pStyle w:val="Heading1"/>
      </w:pPr>
      <w:r>
        <w:t>Weakest / possibly outdated trails (20 selected; maximum 20)</w:t>
      </w:r>
    </w:p>
    <w:p>
      <w:r>
        <w:t>These are search-quality or publication-status warnings. A missing or poor link does not mean the original idea is obsolete, false or irrelevant.</w:t>
      </w:r>
    </w:p>
    <w:p>
      <w:pPr>
        <w:pStyle w:val="Heading2"/>
        <w:keepNext/>
      </w:pPr>
      <w:r>
        <w:t>01.  Withdrawn: Fossil Futures in Europe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0">
        <w:r>
          <w:rPr>
            <w:color w:val="000000"/>
            <w:u w:val="single"/>
          </w:rPr>
          <w:t>Original publication</w:t>
        </w:r>
      </w:hyperlink>
    </w:p>
    <w:p>
      <w:pPr>
        <w:pStyle w:val="Heading2"/>
        <w:keepNext/>
      </w:pPr>
      <w:r>
        <w:t>02.  RETRACTED ARTICLE: Sustainable development economy and the development of green economy in the European Union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1">
        <w:r>
          <w:rPr>
            <w:color w:val="000000"/>
            <w:u w:val="single"/>
          </w:rPr>
          <w:t>Original publication</w:t>
        </w:r>
      </w:hyperlink>
      <w:r>
        <w:t xml:space="preserve">   ·   </w:t>
      </w:r>
      <w:hyperlink r:id="rId52">
        <w:r>
          <w:rPr>
            <w:color w:val="000000"/>
            <w:u w:val="single"/>
          </w:rPr>
          <w:t>Later publication (check status)</w:t>
        </w:r>
      </w:hyperlink>
    </w:p>
    <w:p>
      <w:pPr>
        <w:pStyle w:val="Heading2"/>
        <w:keepNext/>
      </w:pPr>
      <w:r>
        <w:t>03.  Benchmarking del programa colombiano de prospectiva ante prácticas en Europa y Sur América (título original: Benchmarking the coloIombian foresight programme against practices in Europe and South America)  (2011)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3">
        <w:r>
          <w:rPr>
            <w:color w:val="000000"/>
            <w:u w:val="single"/>
          </w:rPr>
          <w:t>Original publication</w:t>
        </w:r>
      </w:hyperlink>
      <w:r>
        <w:t xml:space="preserve">   ·   </w:t>
      </w:r>
      <w:hyperlink r:id="rId54">
        <w:r>
          <w:rPr>
            <w:color w:val="000000"/>
            <w:u w:val="single"/>
          </w:rPr>
          <w:t>Later publication (check status)</w:t>
        </w:r>
      </w:hyperlink>
    </w:p>
    <w:p>
      <w:pPr>
        <w:pStyle w:val="Heading2"/>
        <w:keepNext/>
      </w:pPr>
      <w:r>
        <w:t>04.  Review: Projections of Power: The United States and Europe in Colonial Southeast Asia, 1919–1941 , by Anne L. Foster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5">
        <w:r>
          <w:rPr>
            <w:color w:val="000000"/>
            <w:u w:val="single"/>
          </w:rPr>
          <w:t>Original publication</w:t>
        </w:r>
      </w:hyperlink>
      <w:r>
        <w:t xml:space="preserve">   ·   </w:t>
      </w:r>
      <w:hyperlink r:id="rId56">
        <w:r>
          <w:rPr>
            <w:color w:val="000000"/>
            <w:u w:val="single"/>
          </w:rPr>
          <w:t>Later publication (check status)</w:t>
        </w:r>
      </w:hyperlink>
    </w:p>
    <w:p>
      <w:pPr>
        <w:pStyle w:val="Heading2"/>
        <w:keepNext/>
      </w:pPr>
      <w:r>
        <w:t>05.  Projections of Power: The United States and Europe in Colonial Southeast Asia, 1919–1941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6">
        <w:r>
          <w:rPr>
            <w:color w:val="000000"/>
            <w:u w:val="single"/>
          </w:rPr>
          <w:t>Original publication</w:t>
        </w:r>
      </w:hyperlink>
      <w:r>
        <w:t xml:space="preserve">   ·   </w:t>
      </w:r>
      <w:hyperlink r:id="rId57">
        <w:r>
          <w:rPr>
            <w:color w:val="000000"/>
            <w:u w:val="single"/>
          </w:rPr>
          <w:t>Later publication (check status)</w:t>
        </w:r>
      </w:hyperlink>
    </w:p>
    <w:p>
      <w:pPr>
        <w:pStyle w:val="Heading2"/>
        <w:keepNext/>
      </w:pPr>
      <w:r>
        <w:t>06.  FORECASTED TRENDS IN CHANGES OF VEGETATION IN THE EUROPEAN PART OF RUSSIA IN CONNECTION WITH GLOBAL WARMING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8">
        <w:r>
          <w:rPr>
            <w:color w:val="000000"/>
            <w:u w:val="single"/>
          </w:rPr>
          <w:t>Original publication</w:t>
        </w:r>
      </w:hyperlink>
      <w:r>
        <w:t xml:space="preserve">   ·   </w:t>
      </w:r>
      <w:hyperlink r:id="rId59">
        <w:r>
          <w:rPr>
            <w:color w:val="000000"/>
            <w:u w:val="single"/>
          </w:rPr>
          <w:t>Later publication (check status)</w:t>
        </w:r>
      </w:hyperlink>
    </w:p>
    <w:p>
      <w:pPr>
        <w:pStyle w:val="Heading2"/>
        <w:keepNext/>
      </w:pPr>
      <w:r>
        <w:t>07.  INTRODUCTION OF THE GRAIN FUTURES MARKET IN THE BLACK SEA REGION  (2013)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0">
        <w:r>
          <w:rPr>
            <w:color w:val="000000"/>
            <w:u w:val="single"/>
          </w:rPr>
          <w:t>Original publication</w:t>
        </w:r>
      </w:hyperlink>
      <w:r>
        <w:t xml:space="preserve">   ·   </w:t>
      </w:r>
      <w:hyperlink r:id="rId61">
        <w:r>
          <w:rPr>
            <w:color w:val="000000"/>
            <w:u w:val="single"/>
          </w:rPr>
          <w:t>Later publication (check status)</w:t>
        </w:r>
      </w:hyperlink>
    </w:p>
    <w:p>
      <w:pPr>
        <w:pStyle w:val="Heading2"/>
        <w:keepNext/>
      </w:pPr>
      <w:r>
        <w:t>08.  Twitter data analysis as contribution to strategic foresight-The case of the EU Research Project “Foresight and Modelling for European Health Policy and Regulations” (FRESHER)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2">
        <w:r>
          <w:rPr>
            <w:color w:val="000000"/>
            <w:u w:val="single"/>
          </w:rPr>
          <w:t>Original publication</w:t>
        </w:r>
      </w:hyperlink>
      <w:r>
        <w:t xml:space="preserve">   ·   </w:t>
      </w:r>
      <w:hyperlink r:id="rId63">
        <w:r>
          <w:rPr>
            <w:color w:val="000000"/>
            <w:u w:val="single"/>
          </w:rPr>
          <w:t>Later publication (check status)</w:t>
        </w:r>
      </w:hyperlink>
    </w:p>
    <w:p>
      <w:pPr>
        <w:pStyle w:val="Heading2"/>
        <w:keepNext/>
      </w:pPr>
      <w:r>
        <w:t>09.  New forms of innovation: critical issues for future pathways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4">
        <w:r>
          <w:rPr>
            <w:color w:val="000000"/>
            <w:u w:val="single"/>
          </w:rPr>
          <w:t>Original publication</w:t>
        </w:r>
      </w:hyperlink>
      <w:r>
        <w:t xml:space="preserve">   ·   </w:t>
      </w:r>
      <w:hyperlink r:id="rId65">
        <w:r>
          <w:rPr>
            <w:color w:val="000000"/>
            <w:u w:val="single"/>
          </w:rPr>
          <w:t>Later publication (check status)</w:t>
        </w:r>
      </w:hyperlink>
    </w:p>
    <w:p>
      <w:pPr>
        <w:pStyle w:val="Heading2"/>
        <w:keepNext/>
      </w:pPr>
      <w:r>
        <w:t>10.  Energy system impacts and policy implications of the European Intended Nationally Determined Contribution and low-carbon pathway to 2050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6">
        <w:r>
          <w:rPr>
            <w:color w:val="000000"/>
            <w:u w:val="single"/>
          </w:rPr>
          <w:t>Original publication</w:t>
        </w:r>
      </w:hyperlink>
      <w:r>
        <w:t xml:space="preserve">   ·   </w:t>
      </w:r>
      <w:hyperlink r:id="rId67">
        <w:r>
          <w:rPr>
            <w:color w:val="000000"/>
            <w:u w:val="single"/>
          </w:rPr>
          <w:t>Later publication (check status)</w:t>
        </w:r>
      </w:hyperlink>
    </w:p>
    <w:p>
      <w:pPr>
        <w:pStyle w:val="Heading2"/>
        <w:keepNext/>
      </w:pPr>
      <w:r>
        <w:t>11.  Convenience Yields and Risk Premiums in the EU‐ETS—Evidence from the Kyoto Commitment Period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8">
        <w:r>
          <w:rPr>
            <w:color w:val="000000"/>
            <w:u w:val="single"/>
          </w:rPr>
          <w:t>Original publication</w:t>
        </w:r>
      </w:hyperlink>
      <w:r>
        <w:t xml:space="preserve">   ·   </w:t>
      </w:r>
      <w:hyperlink r:id="rId69">
        <w:r>
          <w:rPr>
            <w:color w:val="000000"/>
            <w:u w:val="single"/>
          </w:rPr>
          <w:t>Later publication (check status)</w:t>
        </w:r>
      </w:hyperlink>
    </w:p>
    <w:p>
      <w:pPr>
        <w:pStyle w:val="Heading2"/>
        <w:keepNext/>
      </w:pPr>
      <w:r>
        <w:t>12.  Volatility Spillovers and Causality of Carbon Emissions, Oil and Coal Spot and Futures for the EU and USA  (2017)</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0">
        <w:r>
          <w:rPr>
            <w:color w:val="000000"/>
            <w:u w:val="single"/>
          </w:rPr>
          <w:t>Original publication</w:t>
        </w:r>
      </w:hyperlink>
      <w:r>
        <w:t xml:space="preserve">   ·   </w:t>
      </w:r>
      <w:hyperlink r:id="rId71">
        <w:r>
          <w:rPr>
            <w:color w:val="000000"/>
            <w:u w:val="single"/>
          </w:rPr>
          <w:t>Later publication (check status)</w:t>
        </w:r>
      </w:hyperlink>
    </w:p>
    <w:p>
      <w:pPr>
        <w:pStyle w:val="Heading2"/>
        <w:keepNext/>
      </w:pPr>
      <w:r>
        <w:t>13.  European Security Architecture after the United Kingdom’s Withdrawal from the European Union: Future Scenarios  (2019)</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2">
        <w:r>
          <w:rPr>
            <w:color w:val="000000"/>
            <w:u w:val="single"/>
          </w:rPr>
          <w:t>Original publication</w:t>
        </w:r>
      </w:hyperlink>
      <w:r>
        <w:t xml:space="preserve">   ·   </w:t>
      </w:r>
      <w:hyperlink r:id="rId73">
        <w:r>
          <w:rPr>
            <w:color w:val="000000"/>
            <w:u w:val="single"/>
          </w:rPr>
          <w:t>Later publication (check status)</w:t>
        </w:r>
      </w:hyperlink>
    </w:p>
    <w:p>
      <w:pPr>
        <w:pStyle w:val="Heading2"/>
        <w:keepNext/>
      </w:pPr>
      <w:r>
        <w:t>14.  The Impact of Decarbonization Scenarios on Air Quality and Human Health in Poland—Analysis of Scenarios up to 2050  (2020)</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4">
        <w:r>
          <w:rPr>
            <w:color w:val="000000"/>
            <w:u w:val="single"/>
          </w:rPr>
          <w:t>Original publication</w:t>
        </w:r>
      </w:hyperlink>
      <w:r>
        <w:t xml:space="preserve">   ·   </w:t>
      </w:r>
      <w:hyperlink r:id="rId75">
        <w:r>
          <w:rPr>
            <w:color w:val="000000"/>
            <w:u w:val="single"/>
          </w:rPr>
          <w:t>Later publication (check status)</w:t>
        </w:r>
      </w:hyperlink>
    </w:p>
    <w:p>
      <w:pPr>
        <w:pStyle w:val="Heading2"/>
        <w:keepNext/>
      </w:pPr>
      <w:r>
        <w:t>15.  Disaggregation of official demographic projections in sub-groups by education level: the neglected “composition effect” in the future path of life expectancy  (2021)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6">
        <w:r>
          <w:rPr>
            <w:color w:val="000000"/>
            <w:u w:val="single"/>
          </w:rPr>
          <w:t>Original publication</w:t>
        </w:r>
      </w:hyperlink>
      <w:r>
        <w:t xml:space="preserve">   ·   </w:t>
      </w:r>
      <w:hyperlink r:id="rId77">
        <w:r>
          <w:rPr>
            <w:color w:val="000000"/>
            <w:u w:val="single"/>
          </w:rPr>
          <w:t>Later publication (check status)</w:t>
        </w:r>
      </w:hyperlink>
    </w:p>
    <w:p>
      <w:pPr>
        <w:pStyle w:val="Heading2"/>
        <w:keepNext/>
      </w:pPr>
      <w:r>
        <w:t>16.  Ensuring sustainable agriculture by analyzing the European Union and Romanian legislation on soil resources protection  (2022)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8">
        <w:r>
          <w:rPr>
            <w:color w:val="000000"/>
            <w:u w:val="single"/>
          </w:rPr>
          <w:t>Original publication</w:t>
        </w:r>
      </w:hyperlink>
      <w:r>
        <w:t xml:space="preserve">   ·   </w:t>
      </w:r>
      <w:hyperlink r:id="rId79">
        <w:r>
          <w:rPr>
            <w:color w:val="000000"/>
            <w:u w:val="single"/>
          </w:rPr>
          <w:t>Later publication (check status)</w:t>
        </w:r>
      </w:hyperlink>
    </w:p>
    <w:p>
      <w:pPr>
        <w:pStyle w:val="Heading2"/>
        <w:keepNext/>
      </w:pPr>
      <w:r>
        <w:t>17.  Thematic Issue Presentation: Perspectives on innovation governance - challenges and dilemmas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0">
        <w:r>
          <w:rPr>
            <w:color w:val="000000"/>
            <w:u w:val="single"/>
          </w:rPr>
          <w:t>Original publication</w:t>
        </w:r>
      </w:hyperlink>
      <w:r>
        <w:t xml:space="preserve">   ·   </w:t>
      </w:r>
      <w:hyperlink r:id="rId81">
        <w:r>
          <w:rPr>
            <w:color w:val="000000"/>
            <w:u w:val="single"/>
          </w:rPr>
          <w:t>Later publication (check status)</w:t>
        </w:r>
      </w:hyperlink>
    </w:p>
    <w:p>
      <w:pPr>
        <w:pStyle w:val="Heading2"/>
        <w:keepNext/>
      </w:pPr>
      <w:r>
        <w:t>18.  Strategic routes for wastewater treatment plant upgrades to reduce micropollutants in European surface water bodies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2">
        <w:r>
          <w:rPr>
            <w:color w:val="000000"/>
            <w:u w:val="single"/>
          </w:rPr>
          <w:t>Original publication</w:t>
        </w:r>
      </w:hyperlink>
      <w:r>
        <w:t xml:space="preserve">   ·   </w:t>
      </w:r>
      <w:hyperlink r:id="rId83">
        <w:r>
          <w:rPr>
            <w:color w:val="000000"/>
            <w:u w:val="single"/>
          </w:rPr>
          <w:t>Later publication (check status)</w:t>
        </w:r>
      </w:hyperlink>
    </w:p>
    <w:p>
      <w:pPr>
        <w:pStyle w:val="Heading2"/>
        <w:keepNext/>
      </w:pPr>
      <w:r>
        <w:t>19.  Experts’ assessments of migration scenarios between the Middle East &amp; North Africa and Europe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4">
        <w:r>
          <w:rPr>
            <w:color w:val="000000"/>
            <w:u w:val="single"/>
          </w:rPr>
          <w:t>Original publication</w:t>
        </w:r>
      </w:hyperlink>
      <w:r>
        <w:t xml:space="preserve">   ·   </w:t>
      </w:r>
      <w:hyperlink r:id="rId85">
        <w:r>
          <w:rPr>
            <w:color w:val="000000"/>
            <w:u w:val="single"/>
          </w:rPr>
          <w:t>Later publication (check status)</w:t>
        </w:r>
      </w:hyperlink>
    </w:p>
    <w:p>
      <w:pPr>
        <w:pStyle w:val="Heading2"/>
        <w:keepNext/>
      </w:pPr>
      <w:r>
        <w:t>20.  A future EU overall strategy for agriculture and forest genetic resources management: Finding consensus through policymakers’ participation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6">
        <w:r>
          <w:rPr>
            <w:color w:val="000000"/>
            <w:u w:val="single"/>
          </w:rPr>
          <w:t>Original publication</w:t>
        </w:r>
      </w:hyperlink>
      <w:r>
        <w:t xml:space="preserve">   ·   </w:t>
      </w:r>
      <w:hyperlink r:id="rId87">
        <w:r>
          <w:rPr>
            <w:color w:val="000000"/>
            <w:u w:val="single"/>
          </w:rPr>
          <w:t>Later publication (check status)</w:t>
        </w:r>
      </w:hyperlink>
    </w:p>
    <w:p>
      <w:pPr>
        <w:pStyle w:val="Heading1"/>
      </w:pPr>
      <w:r>
        <w:t>How this list updates</w:t>
      </w:r>
    </w:p>
    <w:p>
      <w:r>
        <w:t>Each successful Radar 2 run refreshes living-atlas.json. The companion Word workflow then builds this file again from those saved entries. It selects candidates by source-linked review, same-question follow-ups, freshness and diversity of subjects. It does not perform an extra paid research scan.</w:t>
      </w:r>
    </w:p>
    <w:p>
      <w:r>
        <w:t>A proper best/worst judgement requires reading the original claim and checking independent later observations. Where that review is missing, the shortlist is a research triage list rather than a verdict.</w:t>
      </w:r>
    </w:p>
    <w:sectPr w:rsidR="00FC693F" w:rsidRPr="0006063C" w:rsidSect="00034616">
      <w:footerReference w:type="default" r:id="rId9"/>
      <w:pgSz w:w="12240" w:h="15840"/>
      <w:pgMar w:top="1080" w:right="1267" w:bottom="1037"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VV FUTURES  |  Evidence-led research · 2026-10-28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543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5435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54353"/>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5755/j01.eis.0.11.18958" TargetMode="External"/><Relationship Id="rId11" Type="http://schemas.openxmlformats.org/officeDocument/2006/relationships/hyperlink" Target="https://doi.org/10.1080/14678802.2021.1940781" TargetMode="External"/><Relationship Id="rId12" Type="http://schemas.openxmlformats.org/officeDocument/2006/relationships/hyperlink" Target="https://doi.org/10.1186/1750-0680-8-2" TargetMode="External"/><Relationship Id="rId13" Type="http://schemas.openxmlformats.org/officeDocument/2006/relationships/hyperlink" Target="https://doi.org/10.1007/s13593-022-00827-y" TargetMode="External"/><Relationship Id="rId14" Type="http://schemas.openxmlformats.org/officeDocument/2006/relationships/hyperlink" Target="https://doi.org/10.34196/ijm.00180" TargetMode="External"/><Relationship Id="rId15" Type="http://schemas.openxmlformats.org/officeDocument/2006/relationships/hyperlink" Target="https://openalex.org/W7213478999" TargetMode="External"/><Relationship Id="rId16" Type="http://schemas.openxmlformats.org/officeDocument/2006/relationships/hyperlink" Target="https://doi.org/10.1016/j.energy.2019.06.118" TargetMode="External"/><Relationship Id="rId17" Type="http://schemas.openxmlformats.org/officeDocument/2006/relationships/hyperlink" Target="https://doi.org/10.54337/ijsepm.8151" TargetMode="External"/><Relationship Id="rId18" Type="http://schemas.openxmlformats.org/officeDocument/2006/relationships/hyperlink" Target="https://doi.org/10.69554/wdbn2222" TargetMode="External"/><Relationship Id="rId19" Type="http://schemas.openxmlformats.org/officeDocument/2006/relationships/hyperlink" Target="https://doi.org/10.35808/ersj/2915" TargetMode="External"/><Relationship Id="rId20" Type="http://schemas.openxmlformats.org/officeDocument/2006/relationships/hyperlink" Target="https://doi.org/10.1007/s11056-015-9481-9" TargetMode="External"/><Relationship Id="rId21" Type="http://schemas.openxmlformats.org/officeDocument/2006/relationships/hyperlink" Target="https://doi.org/10.3389/ffgc.2024.1396798" TargetMode="External"/><Relationship Id="rId22" Type="http://schemas.openxmlformats.org/officeDocument/2006/relationships/hyperlink" Target="https://doi.org/10.1175/wcas-d-20-0142.1" TargetMode="External"/><Relationship Id="rId23" Type="http://schemas.openxmlformats.org/officeDocument/2006/relationships/hyperlink" Target="https://doi.org/10.1038/s41558-025-02480-1" TargetMode="External"/><Relationship Id="rId24" Type="http://schemas.openxmlformats.org/officeDocument/2006/relationships/hyperlink" Target="https://doi.org/10.1016/s2212-5671(15)00042-8" TargetMode="External"/><Relationship Id="rId25" Type="http://schemas.openxmlformats.org/officeDocument/2006/relationships/hyperlink" Target="https://doi.org/10.1080/1540496x.2016.1266614" TargetMode="External"/><Relationship Id="rId26" Type="http://schemas.openxmlformats.org/officeDocument/2006/relationships/hyperlink" Target="https://doi.org/10.3390/en13092280" TargetMode="External"/><Relationship Id="rId27" Type="http://schemas.openxmlformats.org/officeDocument/2006/relationships/hyperlink" Target="https://doi.org/10.2909/5fe4bbc9-ff3e-41dc-a2bc-4e0ed9d18c52" TargetMode="External"/><Relationship Id="rId28" Type="http://schemas.openxmlformats.org/officeDocument/2006/relationships/hyperlink" Target="https://doi.org/10.7251/comen1502130k" TargetMode="External"/><Relationship Id="rId29" Type="http://schemas.openxmlformats.org/officeDocument/2006/relationships/hyperlink" Target="https://doi.org/10.3390/su17020766" TargetMode="External"/><Relationship Id="rId30" Type="http://schemas.openxmlformats.org/officeDocument/2006/relationships/hyperlink" Target="https://doi.org/10.1080/21632324.2012.740851" TargetMode="External"/><Relationship Id="rId31" Type="http://schemas.openxmlformats.org/officeDocument/2006/relationships/hyperlink" Target="https://doi.org/10.4324/9781315884431-23" TargetMode="External"/><Relationship Id="rId32" Type="http://schemas.openxmlformats.org/officeDocument/2006/relationships/hyperlink" Target="https://doi.org/10.22630/prs.2012.12.3.38" TargetMode="External"/><Relationship Id="rId33" Type="http://schemas.openxmlformats.org/officeDocument/2006/relationships/hyperlink" Target="https://doi.org/10.3390/su141710546" TargetMode="External"/><Relationship Id="rId34" Type="http://schemas.openxmlformats.org/officeDocument/2006/relationships/hyperlink" Target="https://doi.org/10.1038/s41598-017-13822-1" TargetMode="External"/><Relationship Id="rId35" Type="http://schemas.openxmlformats.org/officeDocument/2006/relationships/hyperlink" Target="https://doi.org/10.64898/2026.05.19.26353551" TargetMode="External"/><Relationship Id="rId36" Type="http://schemas.openxmlformats.org/officeDocument/2006/relationships/hyperlink" Target="https://doi.org/10.25142/aak.2013.045" TargetMode="External"/><Relationship Id="rId37" Type="http://schemas.openxmlformats.org/officeDocument/2006/relationships/hyperlink" Target="https://doi.org/10.1007/978-3-030-52689-4" TargetMode="External"/><Relationship Id="rId38" Type="http://schemas.openxmlformats.org/officeDocument/2006/relationships/hyperlink" Target="https://doi.org/10.1016/j.njas.2016.11.002" TargetMode="External"/><Relationship Id="rId39" Type="http://schemas.openxmlformats.org/officeDocument/2006/relationships/hyperlink" Target="https://doi.org/10.2760/197814" TargetMode="External"/><Relationship Id="rId40" Type="http://schemas.openxmlformats.org/officeDocument/2006/relationships/hyperlink" Target="https://doi.org/10.1016/j.scitotenv.2016.09.228" TargetMode="External"/><Relationship Id="rId41" Type="http://schemas.openxmlformats.org/officeDocument/2006/relationships/hyperlink" Target="https://doi.org/10.3390/w12051240" TargetMode="External"/><Relationship Id="rId42" Type="http://schemas.openxmlformats.org/officeDocument/2006/relationships/hyperlink" Target="https://doi.org/10.1680/jwarm.17.00009" TargetMode="External"/><Relationship Id="rId43" Type="http://schemas.openxmlformats.org/officeDocument/2006/relationships/hyperlink" Target="https://doi.org/10.1080/14759551.2019.1699092" TargetMode="External"/><Relationship Id="rId44" Type="http://schemas.openxmlformats.org/officeDocument/2006/relationships/hyperlink" Target="https://doi.org/10.4129/ifm.2012.3.01" TargetMode="External"/><Relationship Id="rId45" Type="http://schemas.openxmlformats.org/officeDocument/2006/relationships/hyperlink" Target="https://doi.org/10.1016/j.forpol.2024.103319" TargetMode="External"/><Relationship Id="rId46" Type="http://schemas.openxmlformats.org/officeDocument/2006/relationships/hyperlink" Target="https://doi.org/10.1016/j.futures.2017.02.002" TargetMode="External"/><Relationship Id="rId47" Type="http://schemas.openxmlformats.org/officeDocument/2006/relationships/hyperlink" Target="https://doi.org/10.1016/j.jclepro.2021.127681" TargetMode="External"/><Relationship Id="rId48" Type="http://schemas.openxmlformats.org/officeDocument/2006/relationships/hyperlink" Target="https://doi.org/10.3390/cli6010006" TargetMode="External"/><Relationship Id="rId49" Type="http://schemas.openxmlformats.org/officeDocument/2006/relationships/hyperlink" Target="https://doi.org/10.1038/s41558-022-01540-0" TargetMode="External"/><Relationship Id="rId50" Type="http://schemas.openxmlformats.org/officeDocument/2006/relationships/hyperlink" Target="https://doi.org/10.1111/an.1610" TargetMode="External"/><Relationship Id="rId51" Type="http://schemas.openxmlformats.org/officeDocument/2006/relationships/hyperlink" Target="https://doi.org/10.1186/s13705-023-00410-7" TargetMode="External"/><Relationship Id="rId52" Type="http://schemas.openxmlformats.org/officeDocument/2006/relationships/hyperlink" Target="https://doi.org/10.1016/b978-0-443-41575-3.00019-8" TargetMode="External"/><Relationship Id="rId53" Type="http://schemas.openxmlformats.org/officeDocument/2006/relationships/hyperlink" Target="https://doi.org/10.25100/cdea.v24i40.400" TargetMode="External"/><Relationship Id="rId54" Type="http://schemas.openxmlformats.org/officeDocument/2006/relationships/hyperlink" Target="https://doi.org/10.1596/1813-9450-8783" TargetMode="External"/><Relationship Id="rId55" Type="http://schemas.openxmlformats.org/officeDocument/2006/relationships/hyperlink" Target="https://doi.org/10.1525/phr.2012.81.1.133" TargetMode="External"/><Relationship Id="rId56" Type="http://schemas.openxmlformats.org/officeDocument/2006/relationships/hyperlink" Target="https://doi.org/10.1080/07075332.2012.697330" TargetMode="External"/><Relationship Id="rId57" Type="http://schemas.openxmlformats.org/officeDocument/2006/relationships/hyperlink" Target="https://doi.org/10.1017/9781009589208.006" TargetMode="External"/><Relationship Id="rId58" Type="http://schemas.openxmlformats.org/officeDocument/2006/relationships/hyperlink" Target="https://doi.org/10.24057/2071-9388-2012-5-4-4-16" TargetMode="External"/><Relationship Id="rId59" Type="http://schemas.openxmlformats.org/officeDocument/2006/relationships/hyperlink" Target="https://doi.org/10.1134/s1995425513040094" TargetMode="External"/><Relationship Id="rId60" Type="http://schemas.openxmlformats.org/officeDocument/2006/relationships/hyperlink" Target="https://doi.org/10.22004/ag.econ.162027" TargetMode="External"/><Relationship Id="rId61" Type="http://schemas.openxmlformats.org/officeDocument/2006/relationships/hyperlink" Target="https://doi.org/10.3389/fpls.2026.1880606" TargetMode="External"/><Relationship Id="rId62" Type="http://schemas.openxmlformats.org/officeDocument/2006/relationships/hyperlink" Target="https://doi.org/10.1007/s40309-016-0102-4" TargetMode="External"/><Relationship Id="rId63" Type="http://schemas.openxmlformats.org/officeDocument/2006/relationships/hyperlink" Target="https://doi.org/10.18154/rwth-2019-01287" TargetMode="External"/><Relationship Id="rId64" Type="http://schemas.openxmlformats.org/officeDocument/2006/relationships/hyperlink" Target="https://doi.org/10.1108/fs-07-2014-0050" TargetMode="External"/><Relationship Id="rId65" Type="http://schemas.openxmlformats.org/officeDocument/2006/relationships/hyperlink" Target="https://doi.org/10.2139/ssrn.5098985" TargetMode="External"/><Relationship Id="rId66" Type="http://schemas.openxmlformats.org/officeDocument/2006/relationships/hyperlink" Target="https://doi.org/10.1016/j.enpol.2016.10.023" TargetMode="External"/><Relationship Id="rId67" Type="http://schemas.openxmlformats.org/officeDocument/2006/relationships/hyperlink" Target="https://doi.org/10.1051/978-2-7598-2250-8-009" TargetMode="External"/><Relationship Id="rId68" Type="http://schemas.openxmlformats.org/officeDocument/2006/relationships/hyperlink" Target="https://doi.org/10.1002/fut.21780" TargetMode="External"/><Relationship Id="rId69" Type="http://schemas.openxmlformats.org/officeDocument/2006/relationships/hyperlink" Target="https://doi.org/10.17016/2380-7172.4161" TargetMode="External"/><Relationship Id="rId70" Type="http://schemas.openxmlformats.org/officeDocument/2006/relationships/hyperlink" Target="https://doi.org/10.3390/su9101789" TargetMode="External"/><Relationship Id="rId71" Type="http://schemas.openxmlformats.org/officeDocument/2006/relationships/hyperlink" Target="https://doi.org/10.1016/j.jclepro.2022.132330" TargetMode="External"/><Relationship Id="rId72" Type="http://schemas.openxmlformats.org/officeDocument/2006/relationships/hyperlink" Target="https://doi.org/10.2478/lasr-2019-0007" TargetMode="External"/><Relationship Id="rId73" Type="http://schemas.openxmlformats.org/officeDocument/2006/relationships/hyperlink" Target="https://doi.org/10.5281/zenodo.21428676" TargetMode="External"/><Relationship Id="rId74" Type="http://schemas.openxmlformats.org/officeDocument/2006/relationships/hyperlink" Target="https://doi.org/10.3390/atmos11111222" TargetMode="External"/><Relationship Id="rId75" Type="http://schemas.openxmlformats.org/officeDocument/2006/relationships/hyperlink" Target="https://doi.org/10.3389/fpubh.2020.563358" TargetMode="External"/><Relationship Id="rId76" Type="http://schemas.openxmlformats.org/officeDocument/2006/relationships/hyperlink" Target="https://doi.org/10.1186/s41118-020-00113-3" TargetMode="External"/><Relationship Id="rId77" Type="http://schemas.openxmlformats.org/officeDocument/2006/relationships/hyperlink" Target="https://doi.org/10.24235/edueksos.v13i02.17448" TargetMode="External"/><Relationship Id="rId78" Type="http://schemas.openxmlformats.org/officeDocument/2006/relationships/hyperlink" Target="https://doi.org/10.46676/ij-fanres.v3i2.65" TargetMode="External"/><Relationship Id="rId79" Type="http://schemas.openxmlformats.org/officeDocument/2006/relationships/hyperlink" Target="https://doi.org/10.51886/1999-740x_2026_2_83" TargetMode="External"/><Relationship Id="rId80" Type="http://schemas.openxmlformats.org/officeDocument/2006/relationships/hyperlink" Target="https://doi.org/10.5380/nocsi.v0i5.93600" TargetMode="External"/><Relationship Id="rId81" Type="http://schemas.openxmlformats.org/officeDocument/2006/relationships/hyperlink" Target="https://doi.org/10.24857/edgsa.978-65-84610-97-2_2" TargetMode="External"/><Relationship Id="rId82" Type="http://schemas.openxmlformats.org/officeDocument/2006/relationships/hyperlink" Target="https://doi.org/10.1016/j.jclepro.2023.137867" TargetMode="External"/><Relationship Id="rId83" Type="http://schemas.openxmlformats.org/officeDocument/2006/relationships/hyperlink" Target="https://doi.org/10.66021/pakmcr1487" TargetMode="External"/><Relationship Id="rId84" Type="http://schemas.openxmlformats.org/officeDocument/2006/relationships/hyperlink" Target="https://doi.org/10.1038/s41597-023-02532-1" TargetMode="External"/><Relationship Id="rId85" Type="http://schemas.openxmlformats.org/officeDocument/2006/relationships/hyperlink" Target="https://doi.org/10.3390/socsci15040258" TargetMode="External"/><Relationship Id="rId86" Type="http://schemas.openxmlformats.org/officeDocument/2006/relationships/hyperlink" Target="https://doi.org/10.1016/j.futures.2023.103179" TargetMode="External"/><Relationship Id="rId87" Type="http://schemas.openxmlformats.org/officeDocument/2006/relationships/hyperlink" Target="https://doi.org/10.5281/zenodo.227440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Forty research trails to revisit</dc:title>
  <dc:subject>VV FUTURES evidence-led research update | 2026-10-28</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